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BD49" w14:textId="77777777" w:rsidR="00115936" w:rsidRDefault="00C50CB9">
      <w:pPr>
        <w:spacing w:before="240"/>
        <w:jc w:val="center"/>
      </w:pPr>
      <w:r>
        <w:rPr>
          <w:b/>
          <w:color w:val="1F4E79"/>
          <w:sz w:val="36"/>
        </w:rPr>
        <w:t>VÄIKEHANKE KIRJELDUS</w:t>
      </w:r>
    </w:p>
    <w:p w14:paraId="77EB461A" w14:textId="793AA188" w:rsidR="00115936" w:rsidRDefault="00C50CB9" w:rsidP="00616616">
      <w:pPr>
        <w:jc w:val="center"/>
      </w:pPr>
      <w:r>
        <w:rPr>
          <w:b/>
          <w:color w:val="1F4E79"/>
          <w:sz w:val="28"/>
        </w:rPr>
        <w:t>Isikuandmete töötleja rollide määratlemine RIT teenustes</w:t>
      </w:r>
    </w:p>
    <w:tbl>
      <w:tblPr>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firstRow="1" w:lastRow="0" w:firstColumn="1" w:lastColumn="0" w:noHBand="0" w:noVBand="1"/>
      </w:tblPr>
      <w:tblGrid>
        <w:gridCol w:w="4986"/>
        <w:gridCol w:w="4986"/>
      </w:tblGrid>
      <w:tr w:rsidR="00115936" w14:paraId="26CE2C1D" w14:textId="77777777">
        <w:trPr>
          <w:jc w:val="center"/>
        </w:trPr>
        <w:tc>
          <w:tcPr>
            <w:tcW w:w="4986" w:type="dxa"/>
            <w:shd w:val="clear" w:color="auto" w:fill="D9EAF7"/>
            <w:tcMar>
              <w:top w:w="100" w:type="dxa"/>
              <w:left w:w="120" w:type="dxa"/>
              <w:bottom w:w="100" w:type="dxa"/>
              <w:right w:w="120" w:type="dxa"/>
            </w:tcMar>
            <w:vAlign w:val="center"/>
          </w:tcPr>
          <w:p w14:paraId="17ED3980" w14:textId="77777777" w:rsidR="00115936" w:rsidRDefault="00C50CB9">
            <w:pPr>
              <w:spacing w:after="0"/>
            </w:pPr>
            <w:r>
              <w:rPr>
                <w:b/>
                <w:color w:val="1F4E79"/>
                <w:sz w:val="19"/>
              </w:rPr>
              <w:t>Hankija</w:t>
            </w:r>
          </w:p>
        </w:tc>
        <w:tc>
          <w:tcPr>
            <w:tcW w:w="4986" w:type="dxa"/>
            <w:tcMar>
              <w:top w:w="100" w:type="dxa"/>
              <w:left w:w="120" w:type="dxa"/>
              <w:bottom w:w="100" w:type="dxa"/>
              <w:right w:w="120" w:type="dxa"/>
            </w:tcMar>
            <w:vAlign w:val="center"/>
          </w:tcPr>
          <w:p w14:paraId="02C3A644" w14:textId="77777777" w:rsidR="00115936" w:rsidRDefault="00C50CB9">
            <w:pPr>
              <w:spacing w:after="0"/>
            </w:pPr>
            <w:r>
              <w:rPr>
                <w:sz w:val="19"/>
              </w:rPr>
              <w:t>Riigi Info- ja Kommunikatsioonitehnoloogia Keskus</w:t>
            </w:r>
          </w:p>
        </w:tc>
      </w:tr>
      <w:tr w:rsidR="00115936" w14:paraId="2B9F3E5F" w14:textId="77777777">
        <w:trPr>
          <w:jc w:val="center"/>
        </w:trPr>
        <w:tc>
          <w:tcPr>
            <w:tcW w:w="4986" w:type="dxa"/>
            <w:shd w:val="clear" w:color="auto" w:fill="D9EAF7"/>
            <w:tcMar>
              <w:top w:w="100" w:type="dxa"/>
              <w:left w:w="120" w:type="dxa"/>
              <w:bottom w:w="100" w:type="dxa"/>
              <w:right w:w="120" w:type="dxa"/>
            </w:tcMar>
            <w:vAlign w:val="center"/>
          </w:tcPr>
          <w:p w14:paraId="4E7F0ADC" w14:textId="77777777" w:rsidR="00115936" w:rsidRDefault="00C50CB9">
            <w:pPr>
              <w:spacing w:after="0"/>
            </w:pPr>
            <w:r>
              <w:rPr>
                <w:b/>
                <w:color w:val="1F4E79"/>
                <w:sz w:val="19"/>
              </w:rPr>
              <w:t>Koostatud</w:t>
            </w:r>
          </w:p>
        </w:tc>
        <w:tc>
          <w:tcPr>
            <w:tcW w:w="4986" w:type="dxa"/>
            <w:tcMar>
              <w:top w:w="100" w:type="dxa"/>
              <w:left w:w="120" w:type="dxa"/>
              <w:bottom w:w="100" w:type="dxa"/>
              <w:right w:w="120" w:type="dxa"/>
            </w:tcMar>
            <w:vAlign w:val="center"/>
          </w:tcPr>
          <w:p w14:paraId="7AD07ED9" w14:textId="77777777" w:rsidR="00115936" w:rsidRDefault="00C50CB9">
            <w:pPr>
              <w:spacing w:after="0"/>
            </w:pPr>
            <w:r>
              <w:rPr>
                <w:sz w:val="19"/>
              </w:rPr>
              <w:t>02.06.2026</w:t>
            </w:r>
          </w:p>
        </w:tc>
      </w:tr>
      <w:tr w:rsidR="00115936" w14:paraId="167F9C4B" w14:textId="77777777">
        <w:trPr>
          <w:jc w:val="center"/>
        </w:trPr>
        <w:tc>
          <w:tcPr>
            <w:tcW w:w="4986" w:type="dxa"/>
            <w:shd w:val="clear" w:color="auto" w:fill="D9EAF7"/>
            <w:tcMar>
              <w:top w:w="100" w:type="dxa"/>
              <w:left w:w="120" w:type="dxa"/>
              <w:bottom w:w="100" w:type="dxa"/>
              <w:right w:w="120" w:type="dxa"/>
            </w:tcMar>
            <w:vAlign w:val="center"/>
          </w:tcPr>
          <w:p w14:paraId="17289FF3" w14:textId="77777777" w:rsidR="00115936" w:rsidRDefault="00C50CB9">
            <w:pPr>
              <w:spacing w:after="0"/>
            </w:pPr>
            <w:r>
              <w:rPr>
                <w:b/>
                <w:color w:val="1F4E79"/>
                <w:sz w:val="19"/>
              </w:rPr>
              <w:t>Pakkumuste esitamise tähtaeg</w:t>
            </w:r>
          </w:p>
        </w:tc>
        <w:tc>
          <w:tcPr>
            <w:tcW w:w="4986" w:type="dxa"/>
            <w:tcMar>
              <w:top w:w="100" w:type="dxa"/>
              <w:left w:w="120" w:type="dxa"/>
              <w:bottom w:w="100" w:type="dxa"/>
              <w:right w:w="120" w:type="dxa"/>
            </w:tcMar>
            <w:vAlign w:val="center"/>
          </w:tcPr>
          <w:p w14:paraId="0C8CF42A" w14:textId="77777777" w:rsidR="00115936" w:rsidRDefault="00C50CB9">
            <w:pPr>
              <w:spacing w:after="0"/>
            </w:pPr>
            <w:r>
              <w:rPr>
                <w:sz w:val="19"/>
              </w:rPr>
              <w:t>12.06.2026</w:t>
            </w:r>
          </w:p>
        </w:tc>
      </w:tr>
      <w:tr w:rsidR="00115936" w14:paraId="531F57D5" w14:textId="77777777">
        <w:trPr>
          <w:jc w:val="center"/>
        </w:trPr>
        <w:tc>
          <w:tcPr>
            <w:tcW w:w="4986" w:type="dxa"/>
            <w:shd w:val="clear" w:color="auto" w:fill="D9EAF7"/>
            <w:tcMar>
              <w:top w:w="100" w:type="dxa"/>
              <w:left w:w="120" w:type="dxa"/>
              <w:bottom w:w="100" w:type="dxa"/>
              <w:right w:w="120" w:type="dxa"/>
            </w:tcMar>
            <w:vAlign w:val="center"/>
          </w:tcPr>
          <w:p w14:paraId="389BA317" w14:textId="77777777" w:rsidR="00115936" w:rsidRDefault="00C50CB9">
            <w:pPr>
              <w:spacing w:after="0"/>
            </w:pPr>
            <w:r>
              <w:rPr>
                <w:b/>
                <w:color w:val="1F4E79"/>
                <w:sz w:val="19"/>
              </w:rPr>
              <w:t>Töö eeldatav lõpptähtaeg</w:t>
            </w:r>
          </w:p>
        </w:tc>
        <w:tc>
          <w:tcPr>
            <w:tcW w:w="4986" w:type="dxa"/>
            <w:tcMar>
              <w:top w:w="100" w:type="dxa"/>
              <w:left w:w="120" w:type="dxa"/>
              <w:bottom w:w="100" w:type="dxa"/>
              <w:right w:w="120" w:type="dxa"/>
            </w:tcMar>
            <w:vAlign w:val="center"/>
          </w:tcPr>
          <w:p w14:paraId="45CC8BE3" w14:textId="77777777" w:rsidR="00115936" w:rsidRDefault="00C50CB9">
            <w:pPr>
              <w:spacing w:after="0"/>
            </w:pPr>
            <w:r>
              <w:rPr>
                <w:sz w:val="19"/>
              </w:rPr>
              <w:t>30.09.2026</w:t>
            </w:r>
          </w:p>
        </w:tc>
      </w:tr>
    </w:tbl>
    <w:p w14:paraId="74797472" w14:textId="77777777" w:rsidR="00115936" w:rsidRDefault="00115936"/>
    <w:p w14:paraId="72753318" w14:textId="77777777" w:rsidR="00115936" w:rsidRDefault="00C50CB9">
      <w:pPr>
        <w:pStyle w:val="Pealkiri1"/>
        <w:spacing w:before="240" w:after="80"/>
      </w:pPr>
      <w:r>
        <w:rPr>
          <w:rFonts w:ascii="Arial" w:hAnsi="Arial"/>
        </w:rPr>
        <w:t>1. Eesmärk ja taust</w:t>
      </w:r>
    </w:p>
    <w:p w14:paraId="15361F53" w14:textId="77777777" w:rsidR="00115936" w:rsidRDefault="00C50CB9">
      <w:pPr>
        <w:spacing w:after="120" w:line="259" w:lineRule="auto"/>
      </w:pPr>
      <w:r>
        <w:t>Hanke eesmärk on tellida õiguslik ja protsessipõhine analüüs, mis määratleb RIT-i teenustes isikuandmete töötlemise rollid töötlemistoimingute kaupa. Analüüs peab selgitama, millal tegutseb RIT vastutava töötlejana, volitatud töötlejana, kaasvastutava töötlejana või eraldi vastutava töötlejana.</w:t>
      </w:r>
    </w:p>
    <w:p w14:paraId="585C7384" w14:textId="77777777" w:rsidR="00115936" w:rsidRDefault="00C50CB9">
      <w:pPr>
        <w:spacing w:after="120" w:line="259" w:lineRule="auto"/>
      </w:pPr>
      <w:r>
        <w:t>RIT osutab klientasutustele standardseid IKT alusteenuseid. Käesoleva hanke fookuses on arvutitöökohateenus (ATK) ja serveri alustaristu ehk Riigipilve teenus, sealhulgas nende osutamisega seotud tugiprotsessid: identiteedihaldus, pöördumiste haldus, seire, logimine ja kasutajatugi.</w:t>
      </w:r>
    </w:p>
    <w:p w14:paraId="6DC869EA" w14:textId="77777777" w:rsidR="00115936" w:rsidRDefault="00C50CB9">
      <w:pPr>
        <w:spacing w:after="120" w:line="259" w:lineRule="auto"/>
      </w:pPr>
      <w:r>
        <w:t>Analüüsi eesmärk on vähendada rollide ja vastutuse ebaselgust klientasutustega sõlmitavates dokumentides ning tagada, et lepinguline raamistik, standardid, teenustingimused ja lõppkasutaja teavitused kirjeldaksid tegelikke andmetöötlustoiminguid kooskõlas IKÜM-i loogika ja RIT-i põhimäärusest tulenevate ülesannetega.</w:t>
      </w:r>
    </w:p>
    <w:p w14:paraId="3C94237B" w14:textId="77777777" w:rsidR="00115936" w:rsidRDefault="00C50CB9">
      <w:pPr>
        <w:spacing w:after="120" w:line="259" w:lineRule="auto"/>
      </w:pPr>
      <w:r>
        <w:t>Analüüsis tuleb lähtuda IKÜM-i rollide funktsionaalsest käsitlusest: roll määratakse iga töötlemistoimingu tegeliku eesmärgi, oluliste vahendite määramise, otsustusõiguse, õigusliku kohustuse ja praktilise kontrolli alusel, sõltumata sellest, kuidas pooled on rolli lepingus nimetanud.</w:t>
      </w:r>
    </w:p>
    <w:p w14:paraId="1A21E7B3" w14:textId="77777777" w:rsidR="00115936" w:rsidRDefault="00C50CB9">
      <w:pPr>
        <w:pStyle w:val="Pealkiri1"/>
        <w:spacing w:before="240" w:after="80"/>
      </w:pPr>
      <w:r>
        <w:rPr>
          <w:rFonts w:ascii="Arial" w:hAnsi="Arial"/>
        </w:rPr>
        <w:t>2. Hanke ese</w:t>
      </w:r>
    </w:p>
    <w:p w14:paraId="21C2727B" w14:textId="77777777" w:rsidR="00115936" w:rsidRDefault="00C50CB9">
      <w:pPr>
        <w:spacing w:after="120" w:line="259" w:lineRule="auto"/>
      </w:pPr>
      <w:r>
        <w:t>Hanke esemeks on analüüsi- ja nõustamisteenus, mis hõlmab vähemalt järgmisi tegevusi:</w:t>
      </w:r>
    </w:p>
    <w:p w14:paraId="3BAE91DB" w14:textId="77777777" w:rsidR="00115936" w:rsidRDefault="00C50CB9">
      <w:pPr>
        <w:pStyle w:val="Loenditpp"/>
        <w:spacing w:after="40"/>
        <w:ind w:left="227"/>
      </w:pPr>
      <w:r>
        <w:t>ATK ja Riigipilve teenuste andmetöötlustoimingute kaardistamine, sealhulgas automaatseire, manuaalkontroll, logide käsitlemine ja kasutajatugi.</w:t>
      </w:r>
    </w:p>
    <w:p w14:paraId="331E48BD" w14:textId="77777777" w:rsidR="00115936" w:rsidRDefault="00C50CB9">
      <w:pPr>
        <w:pStyle w:val="Loenditpp"/>
        <w:spacing w:after="40"/>
        <w:ind w:left="227"/>
      </w:pPr>
      <w:r>
        <w:t>Rollide määratlemine iga peamise toimingu lõikes: kes määrab eesmärgid ja olulised vahendid, kelle nimel andmeid töödeldakse, millised vahendid on üksnes tehnilised või korralduslikud ning millal võib RIT tegutseda enda iseseisvate õiguslike kohustuste, teenuse turvalisuse või töökindluse tagamiseks.</w:t>
      </w:r>
    </w:p>
    <w:p w14:paraId="2BD94DC2" w14:textId="77777777" w:rsidR="00115936" w:rsidRDefault="00C50CB9">
      <w:pPr>
        <w:pStyle w:val="Loenditpp"/>
        <w:spacing w:after="40"/>
        <w:ind w:left="227"/>
      </w:pPr>
      <w:r>
        <w:t>Rollikaardi koostamine teenuse ja alamprotsessi vaates.</w:t>
      </w:r>
    </w:p>
    <w:p w14:paraId="4A88CFD0" w14:textId="77777777" w:rsidR="00115936" w:rsidRDefault="00C50CB9">
      <w:pPr>
        <w:pStyle w:val="Loenditpp"/>
        <w:spacing w:after="40"/>
        <w:ind w:left="227"/>
      </w:pPr>
      <w:r>
        <w:t>Lepinguliste dokumentide, teenustingimuste, standardite ja lõppkasutaja teavituste kooskõla hindamine ning konkreetsete parandusettepanekute koostamine.</w:t>
      </w:r>
    </w:p>
    <w:p w14:paraId="7D992B36" w14:textId="77777777" w:rsidR="00115936" w:rsidRDefault="00C50CB9">
      <w:pPr>
        <w:pStyle w:val="Loenditpp"/>
        <w:spacing w:after="40"/>
        <w:ind w:left="227"/>
      </w:pPr>
      <w:r>
        <w:t>Praktiliste rakendussoovituste andmine rollide ja vastutuste kasutamiseks igapäevatöös, sealhulgas andmesubjekti pöördumiste, auditite, rikkumisteavituste ja standardite uuendamise käsitlus.</w:t>
      </w:r>
    </w:p>
    <w:p w14:paraId="781BAFD9" w14:textId="77777777" w:rsidR="00115936" w:rsidRDefault="00C50CB9">
      <w:pPr>
        <w:pStyle w:val="Loenditpp"/>
        <w:spacing w:after="40"/>
        <w:ind w:left="227"/>
      </w:pPr>
      <w:r>
        <w:t>Rolli määramise otsustuspuu või kontrollküsimustiku koostamine RIT-i edasiseks kasutamiseks uute teenuste, teenusemuudatuste, alltöövõtjate kaasamise ja klientasutuste küsimuste korral.</w:t>
      </w:r>
    </w:p>
    <w:p w14:paraId="59361423" w14:textId="77777777" w:rsidR="00115936" w:rsidRDefault="00C50CB9">
      <w:pPr>
        <w:pStyle w:val="Pealkiri1"/>
        <w:spacing w:before="240" w:after="80"/>
      </w:pPr>
      <w:r>
        <w:rPr>
          <w:rFonts w:ascii="Arial" w:hAnsi="Arial"/>
        </w:rPr>
        <w:t>3. Ulatus ja eeldused</w:t>
      </w:r>
    </w:p>
    <w:p w14:paraId="0AAF69BF" w14:textId="77777777" w:rsidR="00115936" w:rsidRDefault="00C50CB9">
      <w:pPr>
        <w:spacing w:after="120" w:line="259" w:lineRule="auto"/>
      </w:pPr>
      <w:r>
        <w:t>Analüüs peab katma vähemalt järgmised teenuseplokid:</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835"/>
        <w:gridCol w:w="6236"/>
      </w:tblGrid>
      <w:tr w:rsidR="00115936" w14:paraId="416A1E10" w14:textId="77777777">
        <w:trPr>
          <w:tblHeader/>
          <w:jc w:val="center"/>
        </w:trPr>
        <w:tc>
          <w:tcPr>
            <w:tcW w:w="2835" w:type="dxa"/>
            <w:shd w:val="clear" w:color="auto" w:fill="1F4E79"/>
            <w:tcMar>
              <w:top w:w="80" w:type="dxa"/>
              <w:left w:w="80" w:type="dxa"/>
              <w:bottom w:w="80" w:type="dxa"/>
              <w:right w:w="80" w:type="dxa"/>
            </w:tcMar>
            <w:vAlign w:val="center"/>
          </w:tcPr>
          <w:p w14:paraId="06786E80" w14:textId="77777777" w:rsidR="00115936" w:rsidRDefault="00C50CB9">
            <w:r>
              <w:rPr>
                <w:b/>
                <w:color w:val="FFFFFF"/>
                <w:sz w:val="19"/>
              </w:rPr>
              <w:t>Teenuseplokk</w:t>
            </w:r>
          </w:p>
        </w:tc>
        <w:tc>
          <w:tcPr>
            <w:tcW w:w="6236" w:type="dxa"/>
            <w:shd w:val="clear" w:color="auto" w:fill="1F4E79"/>
            <w:tcMar>
              <w:top w:w="80" w:type="dxa"/>
              <w:left w:w="80" w:type="dxa"/>
              <w:bottom w:w="80" w:type="dxa"/>
              <w:right w:w="80" w:type="dxa"/>
            </w:tcMar>
            <w:vAlign w:val="center"/>
          </w:tcPr>
          <w:p w14:paraId="5533DB1F" w14:textId="77777777" w:rsidR="00115936" w:rsidRDefault="00C50CB9">
            <w:r>
              <w:rPr>
                <w:b/>
                <w:color w:val="FFFFFF"/>
                <w:sz w:val="19"/>
              </w:rPr>
              <w:t>Miinimumulatus</w:t>
            </w:r>
          </w:p>
        </w:tc>
      </w:tr>
      <w:tr w:rsidR="00115936" w14:paraId="0E308D4D" w14:textId="77777777">
        <w:trPr>
          <w:jc w:val="center"/>
        </w:trPr>
        <w:tc>
          <w:tcPr>
            <w:tcW w:w="2835" w:type="dxa"/>
            <w:tcMar>
              <w:top w:w="80" w:type="dxa"/>
              <w:left w:w="80" w:type="dxa"/>
              <w:bottom w:w="80" w:type="dxa"/>
              <w:right w:w="80" w:type="dxa"/>
            </w:tcMar>
            <w:vAlign w:val="center"/>
          </w:tcPr>
          <w:p w14:paraId="1F101193" w14:textId="77777777" w:rsidR="00115936" w:rsidRDefault="00C50CB9">
            <w:r>
              <w:rPr>
                <w:sz w:val="19"/>
              </w:rPr>
              <w:t>ATK teenus</w:t>
            </w:r>
          </w:p>
        </w:tc>
        <w:tc>
          <w:tcPr>
            <w:tcW w:w="6236" w:type="dxa"/>
            <w:tcMar>
              <w:top w:w="80" w:type="dxa"/>
              <w:left w:w="80" w:type="dxa"/>
              <w:bottom w:w="80" w:type="dxa"/>
              <w:right w:w="80" w:type="dxa"/>
            </w:tcMar>
            <w:vAlign w:val="center"/>
          </w:tcPr>
          <w:p w14:paraId="467EEC00" w14:textId="77777777" w:rsidR="00115936" w:rsidRDefault="00C50CB9">
            <w:r>
              <w:rPr>
                <w:sz w:val="19"/>
              </w:rPr>
              <w:t xml:space="preserve">Identiteedihaldus, e-post ja ühistöövahendid teenuse koosseisus, </w:t>
            </w:r>
            <w:r>
              <w:rPr>
                <w:sz w:val="19"/>
              </w:rPr>
              <w:lastRenderedPageBreak/>
              <w:t>töökoha haldus, pöördumiste haldus, turvaseire ja logid.</w:t>
            </w:r>
          </w:p>
        </w:tc>
      </w:tr>
      <w:tr w:rsidR="00115936" w14:paraId="2E6969C3" w14:textId="77777777">
        <w:trPr>
          <w:jc w:val="center"/>
        </w:trPr>
        <w:tc>
          <w:tcPr>
            <w:tcW w:w="2835" w:type="dxa"/>
            <w:tcMar>
              <w:top w:w="80" w:type="dxa"/>
              <w:left w:w="80" w:type="dxa"/>
              <w:bottom w:w="80" w:type="dxa"/>
              <w:right w:w="80" w:type="dxa"/>
            </w:tcMar>
            <w:vAlign w:val="center"/>
          </w:tcPr>
          <w:p w14:paraId="77A97984" w14:textId="77777777" w:rsidR="00115936" w:rsidRDefault="00C50CB9">
            <w:r>
              <w:rPr>
                <w:sz w:val="19"/>
              </w:rPr>
              <w:lastRenderedPageBreak/>
              <w:t>Riigipilv</w:t>
            </w:r>
          </w:p>
        </w:tc>
        <w:tc>
          <w:tcPr>
            <w:tcW w:w="6236" w:type="dxa"/>
            <w:tcMar>
              <w:top w:w="80" w:type="dxa"/>
              <w:left w:w="80" w:type="dxa"/>
              <w:bottom w:w="80" w:type="dxa"/>
              <w:right w:w="80" w:type="dxa"/>
            </w:tcMar>
            <w:vAlign w:val="center"/>
          </w:tcPr>
          <w:p w14:paraId="3BA7C626" w14:textId="77777777" w:rsidR="00115936" w:rsidRDefault="00C50CB9">
            <w:r>
              <w:rPr>
                <w:sz w:val="19"/>
              </w:rPr>
              <w:t>Iseteenindus, peakasutaja/projektihalduri rollid, kasutajatugi ning teenusepakkujate kaasamine teenuse osutamisel.</w:t>
            </w:r>
          </w:p>
        </w:tc>
      </w:tr>
      <w:tr w:rsidR="00115936" w14:paraId="691218D6" w14:textId="77777777">
        <w:trPr>
          <w:jc w:val="center"/>
        </w:trPr>
        <w:tc>
          <w:tcPr>
            <w:tcW w:w="2835" w:type="dxa"/>
            <w:tcMar>
              <w:top w:w="80" w:type="dxa"/>
              <w:left w:w="80" w:type="dxa"/>
              <w:bottom w:w="80" w:type="dxa"/>
              <w:right w:w="80" w:type="dxa"/>
            </w:tcMar>
            <w:vAlign w:val="center"/>
          </w:tcPr>
          <w:p w14:paraId="1D0B1C08" w14:textId="77777777" w:rsidR="00115936" w:rsidRDefault="00C50CB9">
            <w:r>
              <w:rPr>
                <w:sz w:val="19"/>
              </w:rPr>
              <w:t>Avalike pilveteenuste vahendamine</w:t>
            </w:r>
          </w:p>
        </w:tc>
        <w:tc>
          <w:tcPr>
            <w:tcW w:w="6236" w:type="dxa"/>
            <w:tcMar>
              <w:top w:w="80" w:type="dxa"/>
              <w:left w:w="80" w:type="dxa"/>
              <w:bottom w:w="80" w:type="dxa"/>
              <w:right w:w="80" w:type="dxa"/>
            </w:tcMar>
            <w:vAlign w:val="center"/>
          </w:tcPr>
          <w:p w14:paraId="4E3F2F9A" w14:textId="77777777" w:rsidR="00115936" w:rsidRDefault="00C50CB9">
            <w:r>
              <w:rPr>
                <w:sz w:val="19"/>
              </w:rPr>
              <w:t>Rollijaotus olukorras, kus RIT ei ole konkreetse pilveteenuse andmetöötlustingimuste pool, vaid vahendab või haldab teenuse kasutuselevõttu ja kasutamist klientasutuse jaoks.</w:t>
            </w:r>
          </w:p>
        </w:tc>
      </w:tr>
    </w:tbl>
    <w:p w14:paraId="764FA72D" w14:textId="77777777" w:rsidR="00115936" w:rsidRDefault="00115936">
      <w:pPr>
        <w:spacing w:after="40"/>
      </w:pPr>
    </w:p>
    <w:p w14:paraId="68CD5697" w14:textId="77777777" w:rsidR="00115936" w:rsidRDefault="00C50CB9">
      <w:pPr>
        <w:spacing w:after="120" w:line="259" w:lineRule="auto"/>
      </w:pPr>
      <w:r>
        <w:t>Avalike pilveteenuste vahendamise analüüs peab eraldi käsitlema järgmisi küsimusi:</w:t>
      </w:r>
    </w:p>
    <w:p w14:paraId="287FD8C4" w14:textId="77777777" w:rsidR="00115936" w:rsidRDefault="00C50CB9">
      <w:pPr>
        <w:pStyle w:val="Loenditpp"/>
        <w:spacing w:after="40"/>
        <w:ind w:left="227"/>
      </w:pPr>
      <w:r>
        <w:t>kas RIT sõlmib lepingu enda nimel, kliendi nimel või tegutseb üksnes tehnilise või haldusliku vahendajana;</w:t>
      </w:r>
    </w:p>
    <w:p w14:paraId="4BAB9EFC" w14:textId="77777777" w:rsidR="00115936" w:rsidRDefault="00C50CB9">
      <w:pPr>
        <w:pStyle w:val="Loenditpp"/>
        <w:spacing w:after="40"/>
        <w:ind w:left="227"/>
      </w:pPr>
      <w:r>
        <w:t>kes aktsepteerib pilveteenuse andmetöötlustingimused;</w:t>
      </w:r>
    </w:p>
    <w:p w14:paraId="11FF03D7" w14:textId="77777777" w:rsidR="00115936" w:rsidRDefault="00C50CB9">
      <w:pPr>
        <w:pStyle w:val="Loenditpp"/>
        <w:spacing w:after="40"/>
        <w:ind w:left="227"/>
      </w:pPr>
      <w:r>
        <w:t>kas RIT-il on tegelik võimalus mõjutada pilveteenuse pakkuja andmetöötlustingimusi;</w:t>
      </w:r>
    </w:p>
    <w:p w14:paraId="7F42FDDB" w14:textId="77777777" w:rsidR="00115936" w:rsidRDefault="00C50CB9">
      <w:pPr>
        <w:pStyle w:val="Loenditpp"/>
        <w:spacing w:after="40"/>
        <w:ind w:left="227"/>
      </w:pPr>
      <w:r>
        <w:t>kes kontrollib alltöötlejate nimekirja ja muudatusi;</w:t>
      </w:r>
    </w:p>
    <w:p w14:paraId="4811C7F3" w14:textId="77777777" w:rsidR="00115936" w:rsidRDefault="00C50CB9">
      <w:pPr>
        <w:pStyle w:val="Loenditpp"/>
        <w:spacing w:after="40"/>
        <w:ind w:left="227"/>
      </w:pPr>
      <w:r>
        <w:t>kuidas käsitletakse rahvusvahelisi edastusi, andmete asukohta, logisid ja tugipöördumisi;</w:t>
      </w:r>
    </w:p>
    <w:p w14:paraId="6D3085D3" w14:textId="77777777" w:rsidR="00115936" w:rsidRDefault="00C50CB9">
      <w:pPr>
        <w:pStyle w:val="Loenditpp"/>
        <w:spacing w:after="40"/>
        <w:ind w:left="227"/>
      </w:pPr>
      <w:r>
        <w:t>kuidas kajastada vahendussuhet RIT-i ja klientasutuse dokumentides.</w:t>
      </w:r>
    </w:p>
    <w:p w14:paraId="798AD39A" w14:textId="77777777" w:rsidR="00115936" w:rsidRDefault="00C50CB9">
      <w:pPr>
        <w:spacing w:after="120" w:line="259" w:lineRule="auto"/>
      </w:pPr>
      <w:r>
        <w:t>Kõik rollide jaotused tuleb koostada andmetöötlustoimingute põhiselt ning siduda konkreetsete soovitustega, mida tuleb muuta olemasolevates dokumentides, protsessides või teavitustes.</w:t>
      </w:r>
    </w:p>
    <w:p w14:paraId="5DE4C722" w14:textId="77777777" w:rsidR="00115936" w:rsidRDefault="00C50CB9">
      <w:pPr>
        <w:spacing w:after="120" w:line="259" w:lineRule="auto"/>
      </w:pPr>
      <w:r>
        <w:t>Analüüsi aluseks on teenuste kehtiv lepinguline raamistik, teenuste standardid ja eeskirjad ning teenustingimused. Tegemist on standardteenustega, mille puhul klientasutuste individuaalsed erisused on piiratud ning muudatused peavad olema rakendatavad ühtlaselt.</w:t>
      </w:r>
    </w:p>
    <w:p w14:paraId="2CB85DDC" w14:textId="77777777" w:rsidR="00115936" w:rsidRDefault="00C50CB9">
      <w:pPr>
        <w:spacing w:after="120" w:line="259" w:lineRule="auto"/>
      </w:pPr>
      <w:r>
        <w:t>Oluline osa analüüsist on RIT-i töötajatega läbiviidavate intervjuude käigus saadud teabe kogumine ja valideerimine. Töö ei tohi piirduda üksnes olemasoleva dokumentatsiooni läbivaatamisega.</w:t>
      </w:r>
    </w:p>
    <w:p w14:paraId="37F59A16" w14:textId="77777777" w:rsidR="00115936" w:rsidRDefault="00C50CB9">
      <w:pPr>
        <w:spacing w:after="120" w:line="259" w:lineRule="auto"/>
      </w:pPr>
      <w:r>
        <w:t>Pakkuja peab eraldi tuvastama töötlemistoimingud, mille puhul RIT võib töödelda isikuandmeid enda iseseisvate õiguslike kohustuste, teenuse turvalisuse, teenuse kvaliteedi, intsidentide lahendamise, auditeeritavuse või õigusnõuete täitmise eesmärgil, ning tegema ettepaneku, kuidas eristada neid kliendi nimel tehtavast töötlemisest.</w:t>
      </w:r>
    </w:p>
    <w:p w14:paraId="64251DAC" w14:textId="77777777" w:rsidR="00115936" w:rsidRDefault="00C50CB9">
      <w:pPr>
        <w:pStyle w:val="Pealkiri1"/>
        <w:spacing w:before="240" w:after="80"/>
      </w:pPr>
      <w:r>
        <w:rPr>
          <w:rFonts w:ascii="Arial" w:hAnsi="Arial"/>
        </w:rPr>
        <w:t>4. Oodatavad tulemid</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835"/>
        <w:gridCol w:w="6236"/>
      </w:tblGrid>
      <w:tr w:rsidR="00115936" w14:paraId="67548AA6" w14:textId="77777777">
        <w:trPr>
          <w:tblHeader/>
          <w:jc w:val="center"/>
        </w:trPr>
        <w:tc>
          <w:tcPr>
            <w:tcW w:w="2835" w:type="dxa"/>
            <w:shd w:val="clear" w:color="auto" w:fill="1F4E79"/>
            <w:tcMar>
              <w:top w:w="80" w:type="dxa"/>
              <w:left w:w="80" w:type="dxa"/>
              <w:bottom w:w="80" w:type="dxa"/>
              <w:right w:w="80" w:type="dxa"/>
            </w:tcMar>
            <w:vAlign w:val="center"/>
          </w:tcPr>
          <w:p w14:paraId="7EF04DF6" w14:textId="77777777" w:rsidR="00115936" w:rsidRDefault="00C50CB9">
            <w:r>
              <w:rPr>
                <w:b/>
                <w:color w:val="FFFFFF"/>
                <w:sz w:val="19"/>
              </w:rPr>
              <w:t>Tulem</w:t>
            </w:r>
          </w:p>
        </w:tc>
        <w:tc>
          <w:tcPr>
            <w:tcW w:w="6236" w:type="dxa"/>
            <w:shd w:val="clear" w:color="auto" w:fill="1F4E79"/>
            <w:tcMar>
              <w:top w:w="80" w:type="dxa"/>
              <w:left w:w="80" w:type="dxa"/>
              <w:bottom w:w="80" w:type="dxa"/>
              <w:right w:w="80" w:type="dxa"/>
            </w:tcMar>
            <w:vAlign w:val="center"/>
          </w:tcPr>
          <w:p w14:paraId="63EBC795" w14:textId="77777777" w:rsidR="00115936" w:rsidRDefault="00C50CB9">
            <w:r>
              <w:rPr>
                <w:b/>
                <w:color w:val="FFFFFF"/>
                <w:sz w:val="19"/>
              </w:rPr>
              <w:t>Kirjeldus</w:t>
            </w:r>
          </w:p>
        </w:tc>
      </w:tr>
      <w:tr w:rsidR="00115936" w14:paraId="3817484C" w14:textId="77777777">
        <w:trPr>
          <w:jc w:val="center"/>
        </w:trPr>
        <w:tc>
          <w:tcPr>
            <w:tcW w:w="2835" w:type="dxa"/>
            <w:tcMar>
              <w:top w:w="80" w:type="dxa"/>
              <w:left w:w="80" w:type="dxa"/>
              <w:bottom w:w="80" w:type="dxa"/>
              <w:right w:w="80" w:type="dxa"/>
            </w:tcMar>
            <w:vAlign w:val="center"/>
          </w:tcPr>
          <w:p w14:paraId="3157F53F" w14:textId="77777777" w:rsidR="00115936" w:rsidRDefault="00C50CB9">
            <w:r>
              <w:rPr>
                <w:sz w:val="19"/>
              </w:rPr>
              <w:t>Analüüsiraport</w:t>
            </w:r>
          </w:p>
        </w:tc>
        <w:tc>
          <w:tcPr>
            <w:tcW w:w="6236" w:type="dxa"/>
            <w:tcMar>
              <w:top w:w="80" w:type="dxa"/>
              <w:left w:w="80" w:type="dxa"/>
              <w:bottom w:w="80" w:type="dxa"/>
              <w:right w:w="80" w:type="dxa"/>
            </w:tcMar>
            <w:vAlign w:val="center"/>
          </w:tcPr>
          <w:p w14:paraId="16683DCB" w14:textId="77777777" w:rsidR="00115936" w:rsidRDefault="00C50CB9">
            <w:r>
              <w:rPr>
                <w:sz w:val="19"/>
              </w:rPr>
              <w:t>Kirjalik raport koos kokkuvõtte, järelduste ja põhjendatud rollijäreldustega.</w:t>
            </w:r>
          </w:p>
        </w:tc>
      </w:tr>
      <w:tr w:rsidR="00115936" w14:paraId="55557D11" w14:textId="77777777">
        <w:trPr>
          <w:jc w:val="center"/>
        </w:trPr>
        <w:tc>
          <w:tcPr>
            <w:tcW w:w="2835" w:type="dxa"/>
            <w:tcMar>
              <w:top w:w="80" w:type="dxa"/>
              <w:left w:w="80" w:type="dxa"/>
              <w:bottom w:w="80" w:type="dxa"/>
              <w:right w:w="80" w:type="dxa"/>
            </w:tcMar>
            <w:vAlign w:val="center"/>
          </w:tcPr>
          <w:p w14:paraId="703D643F" w14:textId="77777777" w:rsidR="00115936" w:rsidRDefault="00C50CB9">
            <w:r>
              <w:rPr>
                <w:sz w:val="19"/>
              </w:rPr>
              <w:t>Rollikaardid</w:t>
            </w:r>
          </w:p>
        </w:tc>
        <w:tc>
          <w:tcPr>
            <w:tcW w:w="6236" w:type="dxa"/>
            <w:tcMar>
              <w:top w:w="80" w:type="dxa"/>
              <w:left w:w="80" w:type="dxa"/>
              <w:bottom w:w="80" w:type="dxa"/>
              <w:right w:w="80" w:type="dxa"/>
            </w:tcMar>
            <w:vAlign w:val="center"/>
          </w:tcPr>
          <w:p w14:paraId="7E3BC084" w14:textId="77777777" w:rsidR="00115936" w:rsidRDefault="00C50CB9">
            <w:r>
              <w:rPr>
                <w:sz w:val="19"/>
              </w:rPr>
              <w:t>ATK, Riigipilve ja avalike pilveteenuste vahendamise rollikaardid ühtses tabelistruktuuris.</w:t>
            </w:r>
          </w:p>
        </w:tc>
      </w:tr>
      <w:tr w:rsidR="00115936" w14:paraId="72583043" w14:textId="77777777">
        <w:trPr>
          <w:jc w:val="center"/>
        </w:trPr>
        <w:tc>
          <w:tcPr>
            <w:tcW w:w="2835" w:type="dxa"/>
            <w:tcMar>
              <w:top w:w="80" w:type="dxa"/>
              <w:left w:w="80" w:type="dxa"/>
              <w:bottom w:w="80" w:type="dxa"/>
              <w:right w:w="80" w:type="dxa"/>
            </w:tcMar>
            <w:vAlign w:val="center"/>
          </w:tcPr>
          <w:p w14:paraId="4BABCB6B" w14:textId="77777777" w:rsidR="00115936" w:rsidRDefault="00C50CB9">
            <w:r>
              <w:rPr>
                <w:sz w:val="19"/>
              </w:rPr>
              <w:t>Dokumendimuudatuste ettepanekud</w:t>
            </w:r>
          </w:p>
        </w:tc>
        <w:tc>
          <w:tcPr>
            <w:tcW w:w="6236" w:type="dxa"/>
            <w:tcMar>
              <w:top w:w="80" w:type="dxa"/>
              <w:left w:w="80" w:type="dxa"/>
              <w:bottom w:w="80" w:type="dxa"/>
              <w:right w:w="80" w:type="dxa"/>
            </w:tcMar>
            <w:vAlign w:val="center"/>
          </w:tcPr>
          <w:p w14:paraId="18A7A456" w14:textId="77777777" w:rsidR="00115936" w:rsidRDefault="00C50CB9">
            <w:r>
              <w:rPr>
                <w:sz w:val="19"/>
              </w:rPr>
              <w:t>Konkreetsed ettepanekud koos soovitatava sõnastusega lepingute, teenustingimuste, standardite, protsesside ja lõppkasutaja teavituste muutmiseks.</w:t>
            </w:r>
          </w:p>
        </w:tc>
      </w:tr>
      <w:tr w:rsidR="00115936" w14:paraId="3CFD0033" w14:textId="77777777">
        <w:trPr>
          <w:jc w:val="center"/>
        </w:trPr>
        <w:tc>
          <w:tcPr>
            <w:tcW w:w="2835" w:type="dxa"/>
            <w:tcMar>
              <w:top w:w="80" w:type="dxa"/>
              <w:left w:w="80" w:type="dxa"/>
              <w:bottom w:w="80" w:type="dxa"/>
              <w:right w:w="80" w:type="dxa"/>
            </w:tcMar>
            <w:vAlign w:val="center"/>
          </w:tcPr>
          <w:p w14:paraId="3C405CF2" w14:textId="77777777" w:rsidR="00115936" w:rsidRDefault="00C50CB9">
            <w:r>
              <w:rPr>
                <w:sz w:val="19"/>
              </w:rPr>
              <w:t>Otsustuspuu või kontrollküsimustik</w:t>
            </w:r>
          </w:p>
        </w:tc>
        <w:tc>
          <w:tcPr>
            <w:tcW w:w="6236" w:type="dxa"/>
            <w:tcMar>
              <w:top w:w="80" w:type="dxa"/>
              <w:left w:w="80" w:type="dxa"/>
              <w:bottom w:w="80" w:type="dxa"/>
              <w:right w:w="80" w:type="dxa"/>
            </w:tcMar>
            <w:vAlign w:val="center"/>
          </w:tcPr>
          <w:p w14:paraId="0C3A8B41" w14:textId="77777777" w:rsidR="00115936" w:rsidRDefault="00C50CB9">
            <w:r>
              <w:rPr>
                <w:sz w:val="19"/>
              </w:rPr>
              <w:t>Praktiline abivahend RIT-i edasiseks kasutamiseks rollide määramisel.</w:t>
            </w:r>
          </w:p>
        </w:tc>
      </w:tr>
      <w:tr w:rsidR="00115936" w14:paraId="5EBC3FA5" w14:textId="77777777">
        <w:trPr>
          <w:jc w:val="center"/>
        </w:trPr>
        <w:tc>
          <w:tcPr>
            <w:tcW w:w="2835" w:type="dxa"/>
            <w:tcMar>
              <w:top w:w="80" w:type="dxa"/>
              <w:left w:w="80" w:type="dxa"/>
              <w:bottom w:w="80" w:type="dxa"/>
              <w:right w:w="80" w:type="dxa"/>
            </w:tcMar>
            <w:vAlign w:val="center"/>
          </w:tcPr>
          <w:p w14:paraId="50FD7839" w14:textId="77777777" w:rsidR="00115936" w:rsidRDefault="00C50CB9">
            <w:r>
              <w:rPr>
                <w:sz w:val="19"/>
              </w:rPr>
              <w:t>Vaheversioon</w:t>
            </w:r>
          </w:p>
        </w:tc>
        <w:tc>
          <w:tcPr>
            <w:tcW w:w="6236" w:type="dxa"/>
            <w:tcMar>
              <w:top w:w="80" w:type="dxa"/>
              <w:left w:w="80" w:type="dxa"/>
              <w:bottom w:w="80" w:type="dxa"/>
              <w:right w:w="80" w:type="dxa"/>
            </w:tcMar>
            <w:vAlign w:val="center"/>
          </w:tcPr>
          <w:p w14:paraId="26F9F86D" w14:textId="77777777" w:rsidR="00115936" w:rsidRDefault="00C50CB9">
            <w:r>
              <w:rPr>
                <w:sz w:val="19"/>
              </w:rPr>
              <w:t>Vähemalt üks esmane rollihüpotees või vahearuanne tellijale kooskõlastamiseks enne lõpparuande koostamist.</w:t>
            </w:r>
          </w:p>
        </w:tc>
      </w:tr>
      <w:tr w:rsidR="00115936" w14:paraId="11F98BC7" w14:textId="77777777">
        <w:trPr>
          <w:jc w:val="center"/>
        </w:trPr>
        <w:tc>
          <w:tcPr>
            <w:tcW w:w="2835" w:type="dxa"/>
            <w:tcMar>
              <w:top w:w="80" w:type="dxa"/>
              <w:left w:w="80" w:type="dxa"/>
              <w:bottom w:w="80" w:type="dxa"/>
              <w:right w:w="80" w:type="dxa"/>
            </w:tcMar>
            <w:vAlign w:val="center"/>
          </w:tcPr>
          <w:p w14:paraId="76E272CE" w14:textId="77777777" w:rsidR="00115936" w:rsidRDefault="00C50CB9">
            <w:r>
              <w:rPr>
                <w:sz w:val="19"/>
              </w:rPr>
              <w:t>Tulemuste tutvustus</w:t>
            </w:r>
          </w:p>
        </w:tc>
        <w:tc>
          <w:tcPr>
            <w:tcW w:w="6236" w:type="dxa"/>
            <w:tcMar>
              <w:top w:w="80" w:type="dxa"/>
              <w:left w:w="80" w:type="dxa"/>
              <w:bottom w:w="80" w:type="dxa"/>
              <w:right w:w="80" w:type="dxa"/>
            </w:tcMar>
            <w:vAlign w:val="center"/>
          </w:tcPr>
          <w:p w14:paraId="685B4F2E" w14:textId="77777777" w:rsidR="00115936" w:rsidRDefault="00C50CB9">
            <w:r>
              <w:rPr>
                <w:sz w:val="19"/>
              </w:rPr>
              <w:t>Vähemalt 2-tunnine koosolek või töötuba tulemuste tutvustamiseks ja küsimustele vastamiseks.</w:t>
            </w:r>
          </w:p>
        </w:tc>
      </w:tr>
    </w:tbl>
    <w:p w14:paraId="2D7412A2" w14:textId="77777777" w:rsidR="00115936" w:rsidRDefault="00115936">
      <w:pPr>
        <w:spacing w:after="40"/>
      </w:pPr>
    </w:p>
    <w:p w14:paraId="58FB9350" w14:textId="77777777" w:rsidR="00115936" w:rsidRDefault="00C50CB9">
      <w:pPr>
        <w:spacing w:after="120" w:line="259" w:lineRule="auto"/>
      </w:pPr>
      <w:r>
        <w:t>Töö loetakse vastuvõetuks, kui pakkuja on esitanud kõik kokkulepitud tulemid, käsitlenud tellija tagasisidet ning esitanud lõppversioonid vormis, mis võimaldab neid kasutada RIT-i lepingute, teenustingimuste, standardite, protsesside ja lõppkasutaja teavituste muutmiseks.</w:t>
      </w:r>
    </w:p>
    <w:p w14:paraId="464F4252" w14:textId="77777777" w:rsidR="00115936" w:rsidRDefault="00C50CB9">
      <w:pPr>
        <w:pStyle w:val="Pealkiri1"/>
        <w:spacing w:before="240" w:after="80"/>
      </w:pPr>
      <w:r>
        <w:rPr>
          <w:rFonts w:ascii="Arial" w:hAnsi="Arial"/>
        </w:rPr>
        <w:lastRenderedPageBreak/>
        <w:t>5. Rollikaardi miinimumstruktuur</w:t>
      </w:r>
    </w:p>
    <w:p w14:paraId="69B030F5" w14:textId="77777777" w:rsidR="00115936" w:rsidRDefault="00C50CB9">
      <w:pPr>
        <w:spacing w:after="120" w:line="259" w:lineRule="auto"/>
      </w:pPr>
      <w:r>
        <w:t>Rollikaardi tabelites tuleb kasutada ühtset struktuuri, mis võimaldab võrrelda ATK, Riigipilve ja avalike pilveteenuste vahendamise töötlemistoiminguid ning siduda iga rollijärelduse konkreetse muudatusvajadusega.</w:t>
      </w:r>
    </w:p>
    <w:p w14:paraId="275319CC" w14:textId="77777777" w:rsidR="00115936" w:rsidRDefault="00C50CB9">
      <w:pPr>
        <w:pStyle w:val="Loenditpp"/>
        <w:spacing w:after="40"/>
        <w:ind w:left="227"/>
      </w:pPr>
      <w:r>
        <w:t>teenus või alamprotsess</w:t>
      </w:r>
    </w:p>
    <w:p w14:paraId="3A116513" w14:textId="77777777" w:rsidR="00115936" w:rsidRDefault="00C50CB9">
      <w:pPr>
        <w:pStyle w:val="Loenditpp"/>
        <w:spacing w:after="40"/>
        <w:ind w:left="227"/>
      </w:pPr>
      <w:r>
        <w:t>töötlemistoiming</w:t>
      </w:r>
    </w:p>
    <w:p w14:paraId="485F6C0F" w14:textId="77777777" w:rsidR="00115936" w:rsidRDefault="00C50CB9">
      <w:pPr>
        <w:pStyle w:val="Loenditpp"/>
        <w:spacing w:after="40"/>
        <w:ind w:left="227"/>
      </w:pPr>
      <w:r>
        <w:t>andmesubjektide kategooriad</w:t>
      </w:r>
    </w:p>
    <w:p w14:paraId="0FC15358" w14:textId="77777777" w:rsidR="00115936" w:rsidRDefault="00C50CB9">
      <w:pPr>
        <w:pStyle w:val="Loenditpp"/>
        <w:spacing w:after="40"/>
        <w:ind w:left="227"/>
      </w:pPr>
      <w:r>
        <w:t>andmekategooriad</w:t>
      </w:r>
    </w:p>
    <w:p w14:paraId="06A70CEC" w14:textId="77777777" w:rsidR="00115936" w:rsidRDefault="00C50CB9">
      <w:pPr>
        <w:pStyle w:val="Loenditpp"/>
        <w:spacing w:after="40"/>
        <w:ind w:left="227"/>
      </w:pPr>
      <w:r>
        <w:t>töötlemise eesmärk</w:t>
      </w:r>
    </w:p>
    <w:p w14:paraId="51A764D1" w14:textId="77777777" w:rsidR="00115936" w:rsidRDefault="00C50CB9">
      <w:pPr>
        <w:pStyle w:val="Loenditpp"/>
        <w:spacing w:after="40"/>
        <w:ind w:left="227"/>
      </w:pPr>
      <w:r>
        <w:t>eesmärgi määraja</w:t>
      </w:r>
    </w:p>
    <w:p w14:paraId="1DD390C7" w14:textId="77777777" w:rsidR="00115936" w:rsidRDefault="00C50CB9">
      <w:pPr>
        <w:pStyle w:val="Loenditpp"/>
        <w:spacing w:after="40"/>
        <w:ind w:left="227"/>
      </w:pPr>
      <w:r>
        <w:t>oluliste vahendite määraja</w:t>
      </w:r>
    </w:p>
    <w:p w14:paraId="5865D684" w14:textId="77777777" w:rsidR="00115936" w:rsidRDefault="00C50CB9">
      <w:pPr>
        <w:pStyle w:val="Loenditpp"/>
        <w:spacing w:after="40"/>
        <w:ind w:left="227"/>
      </w:pPr>
      <w:r>
        <w:t>õiguslik alus</w:t>
      </w:r>
    </w:p>
    <w:p w14:paraId="55E376F2" w14:textId="77777777" w:rsidR="00115936" w:rsidRDefault="00C50CB9">
      <w:pPr>
        <w:pStyle w:val="Loenditpp"/>
        <w:spacing w:after="40"/>
        <w:ind w:left="227"/>
      </w:pPr>
      <w:r>
        <w:t>RIT-i roll</w:t>
      </w:r>
    </w:p>
    <w:p w14:paraId="1256F876" w14:textId="77777777" w:rsidR="00115936" w:rsidRDefault="00C50CB9">
      <w:pPr>
        <w:pStyle w:val="Loenditpp"/>
        <w:spacing w:after="40"/>
        <w:ind w:left="227"/>
      </w:pPr>
      <w:r>
        <w:t>klientasutuse roll</w:t>
      </w:r>
    </w:p>
    <w:p w14:paraId="2D86727A" w14:textId="77777777" w:rsidR="00115936" w:rsidRDefault="00C50CB9">
      <w:pPr>
        <w:pStyle w:val="Loenditpp"/>
        <w:spacing w:after="40"/>
        <w:ind w:left="227"/>
      </w:pPr>
      <w:r>
        <w:t>kolmandad osapooled või allvolitatud töötlejad</w:t>
      </w:r>
    </w:p>
    <w:p w14:paraId="19E28139" w14:textId="77777777" w:rsidR="00115936" w:rsidRDefault="00C50CB9">
      <w:pPr>
        <w:pStyle w:val="Loenditpp"/>
        <w:spacing w:after="40"/>
        <w:ind w:left="227"/>
      </w:pPr>
      <w:r>
        <w:t>andmete asukoht või võimalikud edastused</w:t>
      </w:r>
    </w:p>
    <w:p w14:paraId="21842573" w14:textId="77777777" w:rsidR="00115936" w:rsidRDefault="00C50CB9">
      <w:pPr>
        <w:pStyle w:val="Loenditpp"/>
        <w:spacing w:after="40"/>
        <w:ind w:left="227"/>
      </w:pPr>
      <w:r>
        <w:t>säilitamine</w:t>
      </w:r>
    </w:p>
    <w:p w14:paraId="659D7A07" w14:textId="77777777" w:rsidR="00115936" w:rsidRDefault="00C50CB9">
      <w:pPr>
        <w:pStyle w:val="Loenditpp"/>
        <w:spacing w:after="40"/>
        <w:ind w:left="227"/>
      </w:pPr>
      <w:r>
        <w:t>andmesubjekti õiguste käsitlus</w:t>
      </w:r>
    </w:p>
    <w:p w14:paraId="655F42CC" w14:textId="77777777" w:rsidR="00115936" w:rsidRDefault="00C50CB9">
      <w:pPr>
        <w:pStyle w:val="Loenditpp"/>
        <w:spacing w:after="40"/>
        <w:ind w:left="227"/>
      </w:pPr>
      <w:r>
        <w:t>rikkumisteavituse vastutus</w:t>
      </w:r>
    </w:p>
    <w:p w14:paraId="1292674D" w14:textId="77777777" w:rsidR="00115936" w:rsidRDefault="00C50CB9">
      <w:pPr>
        <w:pStyle w:val="Loenditpp"/>
        <w:spacing w:after="40"/>
        <w:ind w:left="227"/>
      </w:pPr>
      <w:r>
        <w:t>vajalik muudatus lepingus, standardis, protsessis või teavituses</w:t>
      </w:r>
    </w:p>
    <w:p w14:paraId="1591AAA0" w14:textId="77777777" w:rsidR="00115936" w:rsidRDefault="00C50CB9">
      <w:pPr>
        <w:pStyle w:val="Pealkiri1"/>
        <w:spacing w:before="240" w:after="80"/>
      </w:pPr>
      <w:r>
        <w:rPr>
          <w:rFonts w:ascii="Arial" w:hAnsi="Arial"/>
        </w:rPr>
        <w:t>6. Alusmaterjalid</w:t>
      </w:r>
    </w:p>
    <w:p w14:paraId="104B71B4" w14:textId="77777777" w:rsidR="00115936" w:rsidRDefault="00C50CB9">
      <w:pPr>
        <w:spacing w:after="120" w:line="259" w:lineRule="auto"/>
      </w:pPr>
      <w:r>
        <w:t>Tellija annab pakkujale töö alustamiseks kasutamiseks järgmised alusmaterjalid või viited:</w:t>
      </w:r>
    </w:p>
    <w:p w14:paraId="3955B4FF" w14:textId="77777777" w:rsidR="00115936" w:rsidRDefault="00C50CB9">
      <w:pPr>
        <w:pStyle w:val="Loenditpp"/>
        <w:spacing w:after="40"/>
        <w:ind w:left="227"/>
      </w:pPr>
      <w:r>
        <w:t>koostöökokkuleppe vormid (ATK ja Riigipilv) ning nende lisad;</w:t>
      </w:r>
    </w:p>
    <w:p w14:paraId="280D73BA" w14:textId="77777777" w:rsidR="00115936" w:rsidRDefault="00C50CB9">
      <w:pPr>
        <w:pStyle w:val="Loenditpp"/>
        <w:spacing w:after="40"/>
        <w:ind w:left="227"/>
      </w:pPr>
      <w:r>
        <w:t>teenuste osutamise tingimused (ATK/Riigipilv) ja teenuste standardid;</w:t>
      </w:r>
    </w:p>
    <w:p w14:paraId="271D7F4A" w14:textId="77777777" w:rsidR="00115936" w:rsidRDefault="00C50CB9">
      <w:pPr>
        <w:pStyle w:val="Loenditpp"/>
        <w:spacing w:after="40"/>
        <w:ind w:left="227"/>
      </w:pPr>
      <w:r>
        <w:t>Andmekaitse Inspektsiooni analüüs RIT ja RTK teenuste õigusraamistiku kohta;</w:t>
      </w:r>
    </w:p>
    <w:p w14:paraId="31A8EFC2" w14:textId="77777777" w:rsidR="00115936" w:rsidRDefault="00C50CB9">
      <w:pPr>
        <w:pStyle w:val="Loenditpp"/>
        <w:spacing w:after="40"/>
        <w:ind w:left="227"/>
      </w:pPr>
      <w:r>
        <w:t>asjakohased juhendid;</w:t>
      </w:r>
    </w:p>
    <w:p w14:paraId="3902AFF5" w14:textId="77777777" w:rsidR="00115936" w:rsidRDefault="00C50CB9">
      <w:pPr>
        <w:pStyle w:val="Loenditpp"/>
        <w:spacing w:after="40"/>
        <w:ind w:left="227"/>
      </w:pPr>
      <w:r>
        <w:t>varasem õigusanalüüs rollisuhete kohta taustmaterjalina.</w:t>
      </w:r>
    </w:p>
    <w:p w14:paraId="3725129C" w14:textId="77777777" w:rsidR="00115936" w:rsidRDefault="00C50CB9">
      <w:pPr>
        <w:pStyle w:val="Pealkiri1"/>
        <w:spacing w:before="240" w:after="80"/>
      </w:pPr>
      <w:r>
        <w:rPr>
          <w:rFonts w:ascii="Arial" w:hAnsi="Arial"/>
        </w:rPr>
        <w:t>7. Koostöö ja töökorraldus</w:t>
      </w:r>
    </w:p>
    <w:p w14:paraId="2447C4E3" w14:textId="77777777" w:rsidR="00115936" w:rsidRDefault="00C50CB9">
      <w:pPr>
        <w:spacing w:after="120" w:line="259" w:lineRule="auto"/>
      </w:pPr>
      <w:r>
        <w:t>Tellija esindaja korraldab vajalikud kohtumised RIT-i töötajatega ning tagab pakkujale tööks vajaliku teabe ja alusmaterjalide kättesaadavuse ulatuses, mis on töö eesmärgi saavutamiseks vajalik.</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835"/>
        <w:gridCol w:w="6236"/>
      </w:tblGrid>
      <w:tr w:rsidR="00115936" w14:paraId="4990FB52" w14:textId="77777777">
        <w:trPr>
          <w:tblHeader/>
          <w:jc w:val="center"/>
        </w:trPr>
        <w:tc>
          <w:tcPr>
            <w:tcW w:w="2835" w:type="dxa"/>
            <w:shd w:val="clear" w:color="auto" w:fill="1F4E79"/>
            <w:tcMar>
              <w:top w:w="80" w:type="dxa"/>
              <w:left w:w="80" w:type="dxa"/>
              <w:bottom w:w="80" w:type="dxa"/>
              <w:right w:w="80" w:type="dxa"/>
            </w:tcMar>
            <w:vAlign w:val="center"/>
          </w:tcPr>
          <w:p w14:paraId="7059069D" w14:textId="77777777" w:rsidR="00115936" w:rsidRDefault="00C50CB9">
            <w:r>
              <w:rPr>
                <w:b/>
                <w:color w:val="FFFFFF"/>
                <w:sz w:val="19"/>
              </w:rPr>
              <w:t>Etapp</w:t>
            </w:r>
          </w:p>
        </w:tc>
        <w:tc>
          <w:tcPr>
            <w:tcW w:w="6236" w:type="dxa"/>
            <w:shd w:val="clear" w:color="auto" w:fill="1F4E79"/>
            <w:tcMar>
              <w:top w:w="80" w:type="dxa"/>
              <w:left w:w="80" w:type="dxa"/>
              <w:bottom w:w="80" w:type="dxa"/>
              <w:right w:w="80" w:type="dxa"/>
            </w:tcMar>
            <w:vAlign w:val="center"/>
          </w:tcPr>
          <w:p w14:paraId="225FA02F" w14:textId="77777777" w:rsidR="00115936" w:rsidRDefault="00C50CB9">
            <w:r>
              <w:rPr>
                <w:b/>
                <w:color w:val="FFFFFF"/>
                <w:sz w:val="19"/>
              </w:rPr>
              <w:t>Sisu</w:t>
            </w:r>
          </w:p>
        </w:tc>
      </w:tr>
      <w:tr w:rsidR="00115936" w14:paraId="708F0A37" w14:textId="77777777">
        <w:trPr>
          <w:jc w:val="center"/>
        </w:trPr>
        <w:tc>
          <w:tcPr>
            <w:tcW w:w="2835" w:type="dxa"/>
            <w:tcMar>
              <w:top w:w="80" w:type="dxa"/>
              <w:left w:w="80" w:type="dxa"/>
              <w:bottom w:w="80" w:type="dxa"/>
              <w:right w:w="80" w:type="dxa"/>
            </w:tcMar>
            <w:vAlign w:val="center"/>
          </w:tcPr>
          <w:p w14:paraId="5A06673B" w14:textId="77777777" w:rsidR="00115936" w:rsidRDefault="00C50CB9">
            <w:r>
              <w:rPr>
                <w:sz w:val="19"/>
              </w:rPr>
              <w:t>1. Avakoosolek</w:t>
            </w:r>
          </w:p>
        </w:tc>
        <w:tc>
          <w:tcPr>
            <w:tcW w:w="6236" w:type="dxa"/>
            <w:tcMar>
              <w:top w:w="80" w:type="dxa"/>
              <w:left w:w="80" w:type="dxa"/>
              <w:bottom w:w="80" w:type="dxa"/>
              <w:right w:w="80" w:type="dxa"/>
            </w:tcMar>
            <w:vAlign w:val="center"/>
          </w:tcPr>
          <w:p w14:paraId="42B33898" w14:textId="77777777" w:rsidR="00115936" w:rsidRDefault="00C50CB9">
            <w:r>
              <w:rPr>
                <w:sz w:val="19"/>
              </w:rPr>
              <w:t>Tööplaani, intervjuude ulatuse ja ajakava täpsustamine.</w:t>
            </w:r>
          </w:p>
        </w:tc>
      </w:tr>
      <w:tr w:rsidR="00115936" w14:paraId="2A2F6F33" w14:textId="77777777">
        <w:trPr>
          <w:jc w:val="center"/>
        </w:trPr>
        <w:tc>
          <w:tcPr>
            <w:tcW w:w="2835" w:type="dxa"/>
            <w:tcMar>
              <w:top w:w="80" w:type="dxa"/>
              <w:left w:w="80" w:type="dxa"/>
              <w:bottom w:w="80" w:type="dxa"/>
              <w:right w:w="80" w:type="dxa"/>
            </w:tcMar>
            <w:vAlign w:val="center"/>
          </w:tcPr>
          <w:p w14:paraId="3A87C882" w14:textId="77777777" w:rsidR="00115936" w:rsidRDefault="00C50CB9">
            <w:r>
              <w:rPr>
                <w:sz w:val="19"/>
              </w:rPr>
              <w:t>2. Dokumentide ja protsesside läbivaatamine</w:t>
            </w:r>
          </w:p>
        </w:tc>
        <w:tc>
          <w:tcPr>
            <w:tcW w:w="6236" w:type="dxa"/>
            <w:tcMar>
              <w:top w:w="80" w:type="dxa"/>
              <w:left w:w="80" w:type="dxa"/>
              <w:bottom w:w="80" w:type="dxa"/>
              <w:right w:w="80" w:type="dxa"/>
            </w:tcMar>
            <w:vAlign w:val="center"/>
          </w:tcPr>
          <w:p w14:paraId="0623E5B1" w14:textId="77777777" w:rsidR="00115936" w:rsidRDefault="00C50CB9">
            <w:r>
              <w:rPr>
                <w:sz w:val="19"/>
              </w:rPr>
              <w:t>Alusmaterjalide analüüs ning esmane töötlemistoimingute loend.</w:t>
            </w:r>
          </w:p>
        </w:tc>
      </w:tr>
      <w:tr w:rsidR="00115936" w14:paraId="4D214573" w14:textId="77777777">
        <w:trPr>
          <w:jc w:val="center"/>
        </w:trPr>
        <w:tc>
          <w:tcPr>
            <w:tcW w:w="2835" w:type="dxa"/>
            <w:tcMar>
              <w:top w:w="80" w:type="dxa"/>
              <w:left w:w="80" w:type="dxa"/>
              <w:bottom w:w="80" w:type="dxa"/>
              <w:right w:w="80" w:type="dxa"/>
            </w:tcMar>
            <w:vAlign w:val="center"/>
          </w:tcPr>
          <w:p w14:paraId="78C9BE55" w14:textId="77777777" w:rsidR="00115936" w:rsidRDefault="00C50CB9">
            <w:r>
              <w:rPr>
                <w:sz w:val="19"/>
              </w:rPr>
              <w:t>3. Intervjuud</w:t>
            </w:r>
          </w:p>
        </w:tc>
        <w:tc>
          <w:tcPr>
            <w:tcW w:w="6236" w:type="dxa"/>
            <w:tcMar>
              <w:top w:w="80" w:type="dxa"/>
              <w:left w:w="80" w:type="dxa"/>
              <w:bottom w:w="80" w:type="dxa"/>
              <w:right w:w="80" w:type="dxa"/>
            </w:tcMar>
            <w:vAlign w:val="center"/>
          </w:tcPr>
          <w:p w14:paraId="6E97B5AB" w14:textId="77777777" w:rsidR="00115936" w:rsidRDefault="00C50CB9">
            <w:r>
              <w:rPr>
                <w:sz w:val="19"/>
              </w:rPr>
              <w:t>Teenuste ja tugiprotsesside tegeliku toimimise kaardistamine.</w:t>
            </w:r>
          </w:p>
        </w:tc>
      </w:tr>
      <w:tr w:rsidR="00115936" w14:paraId="2AA7D8AF" w14:textId="77777777">
        <w:trPr>
          <w:jc w:val="center"/>
        </w:trPr>
        <w:tc>
          <w:tcPr>
            <w:tcW w:w="2835" w:type="dxa"/>
            <w:tcMar>
              <w:top w:w="80" w:type="dxa"/>
              <w:left w:w="80" w:type="dxa"/>
              <w:bottom w:w="80" w:type="dxa"/>
              <w:right w:w="80" w:type="dxa"/>
            </w:tcMar>
            <w:vAlign w:val="center"/>
          </w:tcPr>
          <w:p w14:paraId="10722F03" w14:textId="77777777" w:rsidR="00115936" w:rsidRDefault="00C50CB9">
            <w:r>
              <w:rPr>
                <w:sz w:val="19"/>
              </w:rPr>
              <w:t>4. Esmane rollihüpotees</w:t>
            </w:r>
          </w:p>
        </w:tc>
        <w:tc>
          <w:tcPr>
            <w:tcW w:w="6236" w:type="dxa"/>
            <w:tcMar>
              <w:top w:w="80" w:type="dxa"/>
              <w:left w:w="80" w:type="dxa"/>
              <w:bottom w:w="80" w:type="dxa"/>
              <w:right w:w="80" w:type="dxa"/>
            </w:tcMar>
            <w:vAlign w:val="center"/>
          </w:tcPr>
          <w:p w14:paraId="07823E97" w14:textId="77777777" w:rsidR="00115936" w:rsidRDefault="00C50CB9">
            <w:r>
              <w:rPr>
                <w:sz w:val="19"/>
              </w:rPr>
              <w:t>Esialgsed rollikaardid ja vaidluskohad tellijale kooskõlastamiseks.</w:t>
            </w:r>
          </w:p>
        </w:tc>
      </w:tr>
      <w:tr w:rsidR="00115936" w14:paraId="758702CC" w14:textId="77777777">
        <w:trPr>
          <w:jc w:val="center"/>
        </w:trPr>
        <w:tc>
          <w:tcPr>
            <w:tcW w:w="2835" w:type="dxa"/>
            <w:tcMar>
              <w:top w:w="80" w:type="dxa"/>
              <w:left w:w="80" w:type="dxa"/>
              <w:bottom w:w="80" w:type="dxa"/>
              <w:right w:w="80" w:type="dxa"/>
            </w:tcMar>
            <w:vAlign w:val="center"/>
          </w:tcPr>
          <w:p w14:paraId="04308366" w14:textId="77777777" w:rsidR="00115936" w:rsidRDefault="00C50CB9">
            <w:r>
              <w:rPr>
                <w:sz w:val="19"/>
              </w:rPr>
              <w:t>5. Lõpptulemid</w:t>
            </w:r>
          </w:p>
        </w:tc>
        <w:tc>
          <w:tcPr>
            <w:tcW w:w="6236" w:type="dxa"/>
            <w:tcMar>
              <w:top w:w="80" w:type="dxa"/>
              <w:left w:w="80" w:type="dxa"/>
              <w:bottom w:w="80" w:type="dxa"/>
              <w:right w:w="80" w:type="dxa"/>
            </w:tcMar>
            <w:vAlign w:val="center"/>
          </w:tcPr>
          <w:p w14:paraId="542DA104" w14:textId="77777777" w:rsidR="00115936" w:rsidRDefault="00C50CB9">
            <w:r>
              <w:rPr>
                <w:sz w:val="19"/>
              </w:rPr>
              <w:t>Raport, rollikaardid, dokumendimuudatuste ettepanekud ja otsustuspuu/kontrollküsimustik.</w:t>
            </w:r>
          </w:p>
        </w:tc>
      </w:tr>
    </w:tbl>
    <w:p w14:paraId="57833EF9" w14:textId="77777777" w:rsidR="00115936" w:rsidRDefault="00115936">
      <w:pPr>
        <w:spacing w:after="40"/>
      </w:pPr>
    </w:p>
    <w:p w14:paraId="6113C1D4" w14:textId="77777777" w:rsidR="00115936" w:rsidRDefault="00C50CB9">
      <w:pPr>
        <w:spacing w:after="120" w:line="259" w:lineRule="auto"/>
      </w:pPr>
      <w:r>
        <w:t>Tulemuste tutvustamiseks korraldab pakkuja töö lõpus vähemalt 2-tunnise koosoleku või töötoa tellijale.</w:t>
      </w:r>
    </w:p>
    <w:p w14:paraId="4DFFC705" w14:textId="77777777" w:rsidR="00115936" w:rsidRDefault="00C50CB9">
      <w:pPr>
        <w:pStyle w:val="Pealkiri1"/>
        <w:spacing w:before="240" w:after="80"/>
      </w:pPr>
      <w:r>
        <w:rPr>
          <w:rFonts w:ascii="Arial" w:hAnsi="Arial"/>
        </w:rPr>
        <w:t>8. Lepingu sõlmimine</w:t>
      </w:r>
    </w:p>
    <w:p w14:paraId="6882DEF5" w14:textId="77777777" w:rsidR="00115936" w:rsidRDefault="00C50CB9">
      <w:pPr>
        <w:pStyle w:val="Loenditpp"/>
        <w:spacing w:after="40"/>
        <w:ind w:left="227"/>
      </w:pPr>
      <w:r>
        <w:t>Hankija sõlmib edukaks tunnistatud pakkumuse esitanud pakkujaga teenuse osutamise lepingu.</w:t>
      </w:r>
    </w:p>
    <w:p w14:paraId="7FB05C87" w14:textId="77777777" w:rsidR="00115936" w:rsidRDefault="00C50CB9">
      <w:pPr>
        <w:pStyle w:val="Loenditpp"/>
        <w:spacing w:after="40"/>
        <w:ind w:left="227"/>
      </w:pPr>
      <w:r>
        <w:lastRenderedPageBreak/>
        <w:t>Edukaks tunnistatud pakkujal on kohustus leping allkirjastada hiljemalt 5 tööpäeva jooksul pärast lepingu allkirjastamiseks saamist.</w:t>
      </w:r>
    </w:p>
    <w:p w14:paraId="2BDAAD17" w14:textId="77777777" w:rsidR="00115936" w:rsidRDefault="00C50CB9">
      <w:pPr>
        <w:pStyle w:val="Pealkiri1"/>
        <w:spacing w:before="240" w:after="80"/>
      </w:pPr>
      <w:r>
        <w:rPr>
          <w:rFonts w:ascii="Arial" w:hAnsi="Arial"/>
        </w:rPr>
        <w:t>9. Hindamiskriteeriumid ja hindamismetoodika</w:t>
      </w:r>
    </w:p>
    <w:p w14:paraId="7F2F238B" w14:textId="77777777" w:rsidR="00115936" w:rsidRDefault="00C50CB9">
      <w:pPr>
        <w:spacing w:after="120" w:line="259" w:lineRule="auto"/>
      </w:pPr>
      <w:r>
        <w:t>Pakkumuste hindamisel lähtutakse majanduslikult soodsaima pakkumuse põhimõttest.</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6803"/>
        <w:gridCol w:w="2268"/>
      </w:tblGrid>
      <w:tr w:rsidR="00115936" w14:paraId="5ECF211D" w14:textId="77777777">
        <w:trPr>
          <w:tblHeader/>
          <w:jc w:val="center"/>
        </w:trPr>
        <w:tc>
          <w:tcPr>
            <w:tcW w:w="6803" w:type="dxa"/>
            <w:shd w:val="clear" w:color="auto" w:fill="1F4E79"/>
            <w:tcMar>
              <w:top w:w="80" w:type="dxa"/>
              <w:left w:w="80" w:type="dxa"/>
              <w:bottom w:w="80" w:type="dxa"/>
              <w:right w:w="80" w:type="dxa"/>
            </w:tcMar>
            <w:vAlign w:val="center"/>
          </w:tcPr>
          <w:p w14:paraId="4E7383AE" w14:textId="77777777" w:rsidR="00115936" w:rsidRDefault="00C50CB9">
            <w:r>
              <w:rPr>
                <w:b/>
                <w:color w:val="FFFFFF"/>
                <w:sz w:val="19"/>
              </w:rPr>
              <w:t>Kriteerium</w:t>
            </w:r>
          </w:p>
        </w:tc>
        <w:tc>
          <w:tcPr>
            <w:tcW w:w="2268" w:type="dxa"/>
            <w:shd w:val="clear" w:color="auto" w:fill="1F4E79"/>
            <w:tcMar>
              <w:top w:w="80" w:type="dxa"/>
              <w:left w:w="80" w:type="dxa"/>
              <w:bottom w:w="80" w:type="dxa"/>
              <w:right w:w="80" w:type="dxa"/>
            </w:tcMar>
            <w:vAlign w:val="center"/>
          </w:tcPr>
          <w:p w14:paraId="408F918A" w14:textId="77777777" w:rsidR="00115936" w:rsidRDefault="00C50CB9">
            <w:r>
              <w:rPr>
                <w:b/>
                <w:color w:val="FFFFFF"/>
                <w:sz w:val="19"/>
              </w:rPr>
              <w:t>Kaal</w:t>
            </w:r>
          </w:p>
        </w:tc>
      </w:tr>
      <w:tr w:rsidR="00115936" w14:paraId="7CD7C6BA" w14:textId="77777777">
        <w:trPr>
          <w:jc w:val="center"/>
        </w:trPr>
        <w:tc>
          <w:tcPr>
            <w:tcW w:w="6803" w:type="dxa"/>
            <w:tcMar>
              <w:top w:w="80" w:type="dxa"/>
              <w:left w:w="80" w:type="dxa"/>
              <w:bottom w:w="80" w:type="dxa"/>
              <w:right w:w="80" w:type="dxa"/>
            </w:tcMar>
            <w:vAlign w:val="center"/>
          </w:tcPr>
          <w:p w14:paraId="4B364866" w14:textId="77777777" w:rsidR="00115936" w:rsidRDefault="00C50CB9">
            <w:r>
              <w:rPr>
                <w:sz w:val="19"/>
              </w:rPr>
              <w:t>Hind käibemaksuta</w:t>
            </w:r>
          </w:p>
        </w:tc>
        <w:tc>
          <w:tcPr>
            <w:tcW w:w="2268" w:type="dxa"/>
            <w:tcMar>
              <w:top w:w="80" w:type="dxa"/>
              <w:left w:w="80" w:type="dxa"/>
              <w:bottom w:w="80" w:type="dxa"/>
              <w:right w:w="80" w:type="dxa"/>
            </w:tcMar>
            <w:vAlign w:val="center"/>
          </w:tcPr>
          <w:p w14:paraId="7C845C59" w14:textId="77777777" w:rsidR="00115936" w:rsidRDefault="00C50CB9">
            <w:r>
              <w:rPr>
                <w:sz w:val="19"/>
              </w:rPr>
              <w:t>40%</w:t>
            </w:r>
          </w:p>
        </w:tc>
      </w:tr>
      <w:tr w:rsidR="00115936" w14:paraId="4044E578" w14:textId="77777777">
        <w:trPr>
          <w:jc w:val="center"/>
        </w:trPr>
        <w:tc>
          <w:tcPr>
            <w:tcW w:w="6803" w:type="dxa"/>
            <w:tcMar>
              <w:top w:w="80" w:type="dxa"/>
              <w:left w:w="80" w:type="dxa"/>
              <w:bottom w:w="80" w:type="dxa"/>
              <w:right w:w="80" w:type="dxa"/>
            </w:tcMar>
            <w:vAlign w:val="center"/>
          </w:tcPr>
          <w:p w14:paraId="7CEFCC45" w14:textId="77777777" w:rsidR="00115936" w:rsidRDefault="00C50CB9">
            <w:r>
              <w:rPr>
                <w:sz w:val="19"/>
              </w:rPr>
              <w:t>Metoodika selgus ja sobivus, projektiplaan ning tulemite praktiline rakendatavus</w:t>
            </w:r>
          </w:p>
        </w:tc>
        <w:tc>
          <w:tcPr>
            <w:tcW w:w="2268" w:type="dxa"/>
            <w:tcMar>
              <w:top w:w="80" w:type="dxa"/>
              <w:left w:w="80" w:type="dxa"/>
              <w:bottom w:w="80" w:type="dxa"/>
              <w:right w:w="80" w:type="dxa"/>
            </w:tcMar>
            <w:vAlign w:val="center"/>
          </w:tcPr>
          <w:p w14:paraId="167C7944" w14:textId="77777777" w:rsidR="00115936" w:rsidRDefault="00C50CB9">
            <w:r>
              <w:rPr>
                <w:sz w:val="19"/>
              </w:rPr>
              <w:t>60%</w:t>
            </w:r>
          </w:p>
        </w:tc>
      </w:tr>
    </w:tbl>
    <w:p w14:paraId="2E23F62D" w14:textId="77777777" w:rsidR="00115936" w:rsidRDefault="00115936">
      <w:pPr>
        <w:spacing w:after="40"/>
      </w:pPr>
    </w:p>
    <w:p w14:paraId="34A7DE10" w14:textId="77777777" w:rsidR="00115936" w:rsidRDefault="00C50CB9">
      <w:pPr>
        <w:spacing w:after="120" w:line="259" w:lineRule="auto"/>
      </w:pPr>
      <w:r>
        <w:t>Hinna hindamisel lähtutakse põhimõttest „vähim on parim“. Madalaima maksumusega pakkumus saab hinna kriteeriumi eest 40 punkti. Teiste pakkumuste punktid arvutatakse valemiga:</w:t>
      </w:r>
    </w:p>
    <w:p w14:paraId="26FECAC1" w14:textId="77777777" w:rsidR="00115936" w:rsidRDefault="00C50CB9">
      <w:pPr>
        <w:jc w:val="center"/>
      </w:pPr>
      <w:r>
        <w:rPr>
          <w:b/>
          <w:color w:val="1F4E79"/>
        </w:rPr>
        <w:t>madalaim pakkumuse maksumus / hinnatava pakkumuse maksumus × 40</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551"/>
        <w:gridCol w:w="5102"/>
        <w:gridCol w:w="1417"/>
      </w:tblGrid>
      <w:tr w:rsidR="00115936" w14:paraId="69A5F791" w14:textId="77777777">
        <w:trPr>
          <w:tblHeader/>
          <w:jc w:val="center"/>
        </w:trPr>
        <w:tc>
          <w:tcPr>
            <w:tcW w:w="2551" w:type="dxa"/>
            <w:shd w:val="clear" w:color="auto" w:fill="1F4E79"/>
            <w:tcMar>
              <w:top w:w="80" w:type="dxa"/>
              <w:left w:w="80" w:type="dxa"/>
              <w:bottom w:w="80" w:type="dxa"/>
              <w:right w:w="80" w:type="dxa"/>
            </w:tcMar>
            <w:vAlign w:val="center"/>
          </w:tcPr>
          <w:p w14:paraId="17B517C5" w14:textId="77777777" w:rsidR="00115936" w:rsidRDefault="00C50CB9">
            <w:r>
              <w:rPr>
                <w:b/>
                <w:color w:val="FFFFFF"/>
                <w:sz w:val="19"/>
              </w:rPr>
              <w:t>Alamkriteerium</w:t>
            </w:r>
          </w:p>
        </w:tc>
        <w:tc>
          <w:tcPr>
            <w:tcW w:w="5102" w:type="dxa"/>
            <w:shd w:val="clear" w:color="auto" w:fill="1F4E79"/>
            <w:tcMar>
              <w:top w:w="80" w:type="dxa"/>
              <w:left w:w="80" w:type="dxa"/>
              <w:bottom w:w="80" w:type="dxa"/>
              <w:right w:w="80" w:type="dxa"/>
            </w:tcMar>
            <w:vAlign w:val="center"/>
          </w:tcPr>
          <w:p w14:paraId="195DA940" w14:textId="77777777" w:rsidR="00115936" w:rsidRDefault="00C50CB9">
            <w:r>
              <w:rPr>
                <w:b/>
                <w:color w:val="FFFFFF"/>
                <w:sz w:val="19"/>
              </w:rPr>
              <w:t>Mida hinnatakse</w:t>
            </w:r>
          </w:p>
        </w:tc>
        <w:tc>
          <w:tcPr>
            <w:tcW w:w="1417" w:type="dxa"/>
            <w:shd w:val="clear" w:color="auto" w:fill="1F4E79"/>
            <w:tcMar>
              <w:top w:w="80" w:type="dxa"/>
              <w:left w:w="80" w:type="dxa"/>
              <w:bottom w:w="80" w:type="dxa"/>
              <w:right w:w="80" w:type="dxa"/>
            </w:tcMar>
            <w:vAlign w:val="center"/>
          </w:tcPr>
          <w:p w14:paraId="3932B712" w14:textId="77777777" w:rsidR="00115936" w:rsidRDefault="00C50CB9">
            <w:r>
              <w:rPr>
                <w:b/>
                <w:color w:val="FFFFFF"/>
                <w:sz w:val="19"/>
              </w:rPr>
              <w:t>Max punktid</w:t>
            </w:r>
          </w:p>
        </w:tc>
      </w:tr>
      <w:tr w:rsidR="00115936" w14:paraId="6BE6D907" w14:textId="77777777">
        <w:trPr>
          <w:jc w:val="center"/>
        </w:trPr>
        <w:tc>
          <w:tcPr>
            <w:tcW w:w="2551" w:type="dxa"/>
            <w:tcMar>
              <w:top w:w="80" w:type="dxa"/>
              <w:left w:w="80" w:type="dxa"/>
              <w:bottom w:w="80" w:type="dxa"/>
              <w:right w:w="80" w:type="dxa"/>
            </w:tcMar>
            <w:vAlign w:val="center"/>
          </w:tcPr>
          <w:p w14:paraId="1F176133" w14:textId="77777777" w:rsidR="00115936" w:rsidRDefault="00C50CB9">
            <w:r>
              <w:rPr>
                <w:sz w:val="19"/>
              </w:rPr>
              <w:t>Rollide määratlemise metoodika</w:t>
            </w:r>
          </w:p>
        </w:tc>
        <w:tc>
          <w:tcPr>
            <w:tcW w:w="5102" w:type="dxa"/>
            <w:tcMar>
              <w:top w:w="80" w:type="dxa"/>
              <w:left w:w="80" w:type="dxa"/>
              <w:bottom w:w="80" w:type="dxa"/>
              <w:right w:w="80" w:type="dxa"/>
            </w:tcMar>
            <w:vAlign w:val="center"/>
          </w:tcPr>
          <w:p w14:paraId="5EF8AE1A" w14:textId="77777777" w:rsidR="00115936" w:rsidRDefault="00C50CB9">
            <w:r>
              <w:rPr>
                <w:sz w:val="19"/>
              </w:rPr>
              <w:t>Eesmärkide, oluliste vahendite, tehniliste/korralduslike vahendite ja iseseisvate õiguslike kohustuste eristamine.</w:t>
            </w:r>
          </w:p>
        </w:tc>
        <w:tc>
          <w:tcPr>
            <w:tcW w:w="1417" w:type="dxa"/>
            <w:tcMar>
              <w:top w:w="80" w:type="dxa"/>
              <w:left w:w="80" w:type="dxa"/>
              <w:bottom w:w="80" w:type="dxa"/>
              <w:right w:w="80" w:type="dxa"/>
            </w:tcMar>
            <w:vAlign w:val="center"/>
          </w:tcPr>
          <w:p w14:paraId="053C0DB7" w14:textId="77777777" w:rsidR="00115936" w:rsidRDefault="00C50CB9">
            <w:r>
              <w:rPr>
                <w:sz w:val="19"/>
              </w:rPr>
              <w:t>15</w:t>
            </w:r>
          </w:p>
        </w:tc>
      </w:tr>
      <w:tr w:rsidR="00115936" w14:paraId="1F1D42FB" w14:textId="77777777">
        <w:trPr>
          <w:jc w:val="center"/>
        </w:trPr>
        <w:tc>
          <w:tcPr>
            <w:tcW w:w="2551" w:type="dxa"/>
            <w:tcMar>
              <w:top w:w="80" w:type="dxa"/>
              <w:left w:w="80" w:type="dxa"/>
              <w:bottom w:w="80" w:type="dxa"/>
              <w:right w:w="80" w:type="dxa"/>
            </w:tcMar>
            <w:vAlign w:val="center"/>
          </w:tcPr>
          <w:p w14:paraId="1220E08D" w14:textId="77777777" w:rsidR="00115936" w:rsidRDefault="00C50CB9">
            <w:r>
              <w:rPr>
                <w:sz w:val="19"/>
              </w:rPr>
              <w:t>Kaardistamise metoodika</w:t>
            </w:r>
          </w:p>
        </w:tc>
        <w:tc>
          <w:tcPr>
            <w:tcW w:w="5102" w:type="dxa"/>
            <w:tcMar>
              <w:top w:w="80" w:type="dxa"/>
              <w:left w:w="80" w:type="dxa"/>
              <w:bottom w:w="80" w:type="dxa"/>
              <w:right w:w="80" w:type="dxa"/>
            </w:tcMar>
            <w:vAlign w:val="center"/>
          </w:tcPr>
          <w:p w14:paraId="12533035" w14:textId="77777777" w:rsidR="00115936" w:rsidRDefault="00C50CB9">
            <w:r>
              <w:rPr>
                <w:sz w:val="19"/>
              </w:rPr>
              <w:t>Andmetöötlustoimingute kaardistamise, intervjuude läbiviimise ja rollikaardi koostamise selgus, loogilisus ja rakendatavus.</w:t>
            </w:r>
          </w:p>
        </w:tc>
        <w:tc>
          <w:tcPr>
            <w:tcW w:w="1417" w:type="dxa"/>
            <w:tcMar>
              <w:top w:w="80" w:type="dxa"/>
              <w:left w:w="80" w:type="dxa"/>
              <w:bottom w:w="80" w:type="dxa"/>
              <w:right w:w="80" w:type="dxa"/>
            </w:tcMar>
            <w:vAlign w:val="center"/>
          </w:tcPr>
          <w:p w14:paraId="1C6D1076" w14:textId="77777777" w:rsidR="00115936" w:rsidRDefault="00C50CB9">
            <w:r>
              <w:rPr>
                <w:sz w:val="19"/>
              </w:rPr>
              <w:t>10</w:t>
            </w:r>
          </w:p>
        </w:tc>
      </w:tr>
      <w:tr w:rsidR="00115936" w14:paraId="3CE69476" w14:textId="77777777">
        <w:trPr>
          <w:jc w:val="center"/>
        </w:trPr>
        <w:tc>
          <w:tcPr>
            <w:tcW w:w="2551" w:type="dxa"/>
            <w:tcMar>
              <w:top w:w="80" w:type="dxa"/>
              <w:left w:w="80" w:type="dxa"/>
              <w:bottom w:w="80" w:type="dxa"/>
              <w:right w:w="80" w:type="dxa"/>
            </w:tcMar>
            <w:vAlign w:val="center"/>
          </w:tcPr>
          <w:p w14:paraId="409F4EEE" w14:textId="77777777" w:rsidR="00115936" w:rsidRDefault="00C50CB9">
            <w:r>
              <w:rPr>
                <w:sz w:val="19"/>
              </w:rPr>
              <w:t>Keerukate stsenaariumide käsitlus</w:t>
            </w:r>
          </w:p>
        </w:tc>
        <w:tc>
          <w:tcPr>
            <w:tcW w:w="5102" w:type="dxa"/>
            <w:tcMar>
              <w:top w:w="80" w:type="dxa"/>
              <w:left w:w="80" w:type="dxa"/>
              <w:bottom w:w="80" w:type="dxa"/>
              <w:right w:w="80" w:type="dxa"/>
            </w:tcMar>
            <w:vAlign w:val="center"/>
          </w:tcPr>
          <w:p w14:paraId="3AA3DFB2" w14:textId="77777777" w:rsidR="00115936" w:rsidRDefault="00C50CB9">
            <w:r>
              <w:rPr>
                <w:sz w:val="19"/>
              </w:rPr>
              <w:t>Tugiprotsessid, logid, seire, kasutajatugi, Riigipilv ja avalike pilveteenuste vahendamine.</w:t>
            </w:r>
          </w:p>
        </w:tc>
        <w:tc>
          <w:tcPr>
            <w:tcW w:w="1417" w:type="dxa"/>
            <w:tcMar>
              <w:top w:w="80" w:type="dxa"/>
              <w:left w:w="80" w:type="dxa"/>
              <w:bottom w:w="80" w:type="dxa"/>
              <w:right w:w="80" w:type="dxa"/>
            </w:tcMar>
            <w:vAlign w:val="center"/>
          </w:tcPr>
          <w:p w14:paraId="3BC98455" w14:textId="77777777" w:rsidR="00115936" w:rsidRDefault="00C50CB9">
            <w:r>
              <w:rPr>
                <w:sz w:val="19"/>
              </w:rPr>
              <w:t>15</w:t>
            </w:r>
          </w:p>
        </w:tc>
      </w:tr>
      <w:tr w:rsidR="00115936" w14:paraId="6B0BD4D4" w14:textId="77777777">
        <w:trPr>
          <w:jc w:val="center"/>
        </w:trPr>
        <w:tc>
          <w:tcPr>
            <w:tcW w:w="2551" w:type="dxa"/>
            <w:tcMar>
              <w:top w:w="80" w:type="dxa"/>
              <w:left w:w="80" w:type="dxa"/>
              <w:bottom w:w="80" w:type="dxa"/>
              <w:right w:w="80" w:type="dxa"/>
            </w:tcMar>
            <w:vAlign w:val="center"/>
          </w:tcPr>
          <w:p w14:paraId="74DA35B3" w14:textId="77777777" w:rsidR="00115936" w:rsidRDefault="00C50CB9">
            <w:r>
              <w:rPr>
                <w:sz w:val="19"/>
              </w:rPr>
              <w:t>Projektiplaan</w:t>
            </w:r>
          </w:p>
        </w:tc>
        <w:tc>
          <w:tcPr>
            <w:tcW w:w="5102" w:type="dxa"/>
            <w:tcMar>
              <w:top w:w="80" w:type="dxa"/>
              <w:left w:w="80" w:type="dxa"/>
              <w:bottom w:w="80" w:type="dxa"/>
              <w:right w:w="80" w:type="dxa"/>
            </w:tcMar>
            <w:vAlign w:val="center"/>
          </w:tcPr>
          <w:p w14:paraId="724B1520" w14:textId="77777777" w:rsidR="00115936" w:rsidRDefault="00C50CB9">
            <w:r>
              <w:rPr>
                <w:sz w:val="19"/>
              </w:rPr>
              <w:t>Tööetappide järjestus, ajakava realistlikkus, tellija kaasamine ja vahekooskõlastused.</w:t>
            </w:r>
          </w:p>
        </w:tc>
        <w:tc>
          <w:tcPr>
            <w:tcW w:w="1417" w:type="dxa"/>
            <w:tcMar>
              <w:top w:w="80" w:type="dxa"/>
              <w:left w:w="80" w:type="dxa"/>
              <w:bottom w:w="80" w:type="dxa"/>
              <w:right w:w="80" w:type="dxa"/>
            </w:tcMar>
            <w:vAlign w:val="center"/>
          </w:tcPr>
          <w:p w14:paraId="45766BA1" w14:textId="77777777" w:rsidR="00115936" w:rsidRDefault="00C50CB9">
            <w:r>
              <w:rPr>
                <w:sz w:val="19"/>
              </w:rPr>
              <w:t>10</w:t>
            </w:r>
          </w:p>
        </w:tc>
      </w:tr>
      <w:tr w:rsidR="00115936" w14:paraId="4CCBE1EB" w14:textId="77777777">
        <w:trPr>
          <w:jc w:val="center"/>
        </w:trPr>
        <w:tc>
          <w:tcPr>
            <w:tcW w:w="2551" w:type="dxa"/>
            <w:tcMar>
              <w:top w:w="80" w:type="dxa"/>
              <w:left w:w="80" w:type="dxa"/>
              <w:bottom w:w="80" w:type="dxa"/>
              <w:right w:w="80" w:type="dxa"/>
            </w:tcMar>
            <w:vAlign w:val="center"/>
          </w:tcPr>
          <w:p w14:paraId="3FF0C4F3" w14:textId="77777777" w:rsidR="00115936" w:rsidRDefault="00C50CB9">
            <w:r>
              <w:rPr>
                <w:sz w:val="19"/>
              </w:rPr>
              <w:t>Riskid ja sõltuvused</w:t>
            </w:r>
          </w:p>
        </w:tc>
        <w:tc>
          <w:tcPr>
            <w:tcW w:w="5102" w:type="dxa"/>
            <w:tcMar>
              <w:top w:w="80" w:type="dxa"/>
              <w:left w:w="80" w:type="dxa"/>
              <w:bottom w:w="80" w:type="dxa"/>
              <w:right w:w="80" w:type="dxa"/>
            </w:tcMar>
            <w:vAlign w:val="center"/>
          </w:tcPr>
          <w:p w14:paraId="12C0628A" w14:textId="77777777" w:rsidR="00115936" w:rsidRDefault="00C50CB9">
            <w:r>
              <w:rPr>
                <w:sz w:val="19"/>
              </w:rPr>
              <w:t>Võimalike kitsaskohtade käsitlemine ja maandamise ettepanekute põhjendatus.</w:t>
            </w:r>
          </w:p>
        </w:tc>
        <w:tc>
          <w:tcPr>
            <w:tcW w:w="1417" w:type="dxa"/>
            <w:tcMar>
              <w:top w:w="80" w:type="dxa"/>
              <w:left w:w="80" w:type="dxa"/>
              <w:bottom w:w="80" w:type="dxa"/>
              <w:right w:w="80" w:type="dxa"/>
            </w:tcMar>
            <w:vAlign w:val="center"/>
          </w:tcPr>
          <w:p w14:paraId="79910DD0" w14:textId="77777777" w:rsidR="00115936" w:rsidRDefault="00C50CB9">
            <w:r>
              <w:rPr>
                <w:sz w:val="19"/>
              </w:rPr>
              <w:t>5</w:t>
            </w:r>
          </w:p>
        </w:tc>
      </w:tr>
      <w:tr w:rsidR="00115936" w14:paraId="3DC146E5" w14:textId="77777777">
        <w:trPr>
          <w:jc w:val="center"/>
        </w:trPr>
        <w:tc>
          <w:tcPr>
            <w:tcW w:w="2551" w:type="dxa"/>
            <w:tcMar>
              <w:top w:w="80" w:type="dxa"/>
              <w:left w:w="80" w:type="dxa"/>
              <w:bottom w:w="80" w:type="dxa"/>
              <w:right w:w="80" w:type="dxa"/>
            </w:tcMar>
            <w:vAlign w:val="center"/>
          </w:tcPr>
          <w:p w14:paraId="44A6C9DD" w14:textId="77777777" w:rsidR="00115936" w:rsidRDefault="00C50CB9">
            <w:r>
              <w:rPr>
                <w:sz w:val="19"/>
              </w:rPr>
              <w:t>Tulemite praktiline kasutatavus</w:t>
            </w:r>
          </w:p>
        </w:tc>
        <w:tc>
          <w:tcPr>
            <w:tcW w:w="5102" w:type="dxa"/>
            <w:tcMar>
              <w:top w:w="80" w:type="dxa"/>
              <w:left w:w="80" w:type="dxa"/>
              <w:bottom w:w="80" w:type="dxa"/>
              <w:right w:w="80" w:type="dxa"/>
            </w:tcMar>
            <w:vAlign w:val="center"/>
          </w:tcPr>
          <w:p w14:paraId="4D9B06CA" w14:textId="77777777" w:rsidR="00115936" w:rsidRDefault="00C50CB9">
            <w:r>
              <w:rPr>
                <w:sz w:val="19"/>
              </w:rPr>
              <w:t>Rollikaardid, dokumendimuudatused, otsustuspuu/kontrollküsimustik ja rakendussoovitused.</w:t>
            </w:r>
          </w:p>
        </w:tc>
        <w:tc>
          <w:tcPr>
            <w:tcW w:w="1417" w:type="dxa"/>
            <w:tcMar>
              <w:top w:w="80" w:type="dxa"/>
              <w:left w:w="80" w:type="dxa"/>
              <w:bottom w:w="80" w:type="dxa"/>
              <w:right w:w="80" w:type="dxa"/>
            </w:tcMar>
            <w:vAlign w:val="center"/>
          </w:tcPr>
          <w:p w14:paraId="4F60559D" w14:textId="77777777" w:rsidR="00115936" w:rsidRDefault="00C50CB9">
            <w:r>
              <w:rPr>
                <w:sz w:val="19"/>
              </w:rPr>
              <w:t>5</w:t>
            </w:r>
          </w:p>
        </w:tc>
      </w:tr>
    </w:tbl>
    <w:p w14:paraId="3AC99762" w14:textId="77777777" w:rsidR="00115936" w:rsidRDefault="00115936">
      <w:pPr>
        <w:spacing w:after="40"/>
      </w:pPr>
    </w:p>
    <w:p w14:paraId="62C15C6C" w14:textId="77777777" w:rsidR="00115936" w:rsidRDefault="00C50CB9">
      <w:pPr>
        <w:spacing w:after="120" w:line="259" w:lineRule="auto"/>
      </w:pPr>
      <w:r>
        <w:t>Iga kvaliteedi alamkriteeriumi hinnatakse skaalal 0–5 ning tulemus teisendatakse vastava alamkriteeriumi kaalule:</w:t>
      </w:r>
    </w:p>
    <w:p w14:paraId="2F038290" w14:textId="77777777" w:rsidR="00115936" w:rsidRDefault="00C50CB9">
      <w:pPr>
        <w:pStyle w:val="Loenditpp"/>
        <w:spacing w:after="40"/>
        <w:ind w:left="227"/>
      </w:pPr>
      <w:r>
        <w:t>0 - ei ole käsitletud;</w:t>
      </w:r>
    </w:p>
    <w:p w14:paraId="34B4944C" w14:textId="77777777" w:rsidR="00115936" w:rsidRDefault="00C50CB9">
      <w:pPr>
        <w:pStyle w:val="Loenditpp"/>
        <w:spacing w:after="40"/>
        <w:ind w:left="227"/>
      </w:pPr>
      <w:r>
        <w:t>1 - käsitlus on väga üldine või oluliste puudustega;</w:t>
      </w:r>
    </w:p>
    <w:p w14:paraId="0EA9F41D" w14:textId="77777777" w:rsidR="00115936" w:rsidRDefault="00C50CB9">
      <w:pPr>
        <w:pStyle w:val="Loenditpp"/>
        <w:spacing w:after="40"/>
        <w:ind w:left="227"/>
      </w:pPr>
      <w:r>
        <w:t>3 - käsitlus on arusaadav ja valdavalt sobiv;</w:t>
      </w:r>
    </w:p>
    <w:p w14:paraId="2906C179" w14:textId="77777777" w:rsidR="00115936" w:rsidRDefault="00C50CB9">
      <w:pPr>
        <w:pStyle w:val="Loenditpp"/>
        <w:spacing w:after="40"/>
        <w:ind w:left="227"/>
      </w:pPr>
      <w:r>
        <w:t>5 - käsitlus on põhjalik, RIT-i teenuste eripära arvestav, praktiliselt rakendatav ja sisaldab selgeid vahe- ning lõpptulemeid.</w:t>
      </w:r>
    </w:p>
    <w:p w14:paraId="0338F6A2" w14:textId="77777777" w:rsidR="00115936" w:rsidRDefault="00C50CB9">
      <w:pPr>
        <w:spacing w:after="120" w:line="259" w:lineRule="auto"/>
      </w:pPr>
      <w:r>
        <w:t>Hankijal on õigus jätta pakkumus edukaks tunnistamata, kui pakkumus saab kvaliteedikriteeriumide eest vähem kui 60% maksimaalsest võimalikust kvaliteedipunktide arvust.</w:t>
      </w:r>
    </w:p>
    <w:p w14:paraId="3B5A56C1" w14:textId="77777777" w:rsidR="00115936" w:rsidRDefault="00C50CB9">
      <w:pPr>
        <w:spacing w:after="120" w:line="259" w:lineRule="auto"/>
      </w:pPr>
      <w:r>
        <w:t>Pakkumuse kogupunktid saadakse hinna- ja kvaliteedikriteeriumi punktide liitmisel. Edukaks tunnistatakse pakkumus, mis kogub hindamisel kõige rohkem punkte.</w:t>
      </w:r>
    </w:p>
    <w:p w14:paraId="13BF02E9" w14:textId="77777777" w:rsidR="00115936" w:rsidRDefault="00C50CB9">
      <w:pPr>
        <w:pStyle w:val="Pealkiri1"/>
        <w:spacing w:before="240" w:after="80"/>
      </w:pPr>
      <w:r>
        <w:rPr>
          <w:rFonts w:ascii="Arial" w:hAnsi="Arial"/>
        </w:rPr>
        <w:t>10. Läbirääkimised</w:t>
      </w:r>
    </w:p>
    <w:p w14:paraId="21DF5221" w14:textId="77777777" w:rsidR="00115936" w:rsidRDefault="00C50CB9">
      <w:pPr>
        <w:spacing w:after="120" w:line="259" w:lineRule="auto"/>
      </w:pPr>
      <w:r>
        <w:t>Hankijal on õigus pidada pakkujatega läbirääkimisi eesmärgiga leida hankija jaoks sobivaim tulemus. Läbirääkimisi võib pidada pärast pakkumuste esitamist. Läbirääkimised võivad hõlmata kõiki tehnilise kirjelduse aspekte, hanke tähtaegu, töö mahtu ja pakkumuse maksumust. Läbirääkimisi juhib hankija ning nende pidamine ei ole hankija jaoks kohustuslik.</w:t>
      </w:r>
    </w:p>
    <w:p w14:paraId="0F5E7948" w14:textId="77777777" w:rsidR="00115936" w:rsidRDefault="00C50CB9">
      <w:pPr>
        <w:pStyle w:val="Pealkiri1"/>
        <w:spacing w:before="240" w:after="80"/>
      </w:pPr>
      <w:r>
        <w:rPr>
          <w:rFonts w:ascii="Arial" w:hAnsi="Arial"/>
        </w:rPr>
        <w:lastRenderedPageBreak/>
        <w:t>11. Nõuded pakkumusele</w:t>
      </w:r>
    </w:p>
    <w:p w14:paraId="365F88F6" w14:textId="77777777" w:rsidR="00115936" w:rsidRDefault="00C50CB9">
      <w:pPr>
        <w:spacing w:after="120" w:line="259" w:lineRule="auto"/>
      </w:pPr>
      <w:r>
        <w:t>Pakkuja esitab pakkumuse, mis sisaldab vähemalt järgmist:</w:t>
      </w:r>
    </w:p>
    <w:p w14:paraId="0A161BFD" w14:textId="77777777" w:rsidR="00115936" w:rsidRDefault="00C50CB9">
      <w:pPr>
        <w:pStyle w:val="Loendinumber"/>
        <w:spacing w:after="40"/>
      </w:pPr>
      <w:r>
        <w:t>metoodika ja lähenemise kirjeldus, sealhulgas andmetöötlustoimingute kaardistamise lähenemine, rollide määratlemise metoodika, rollikaardi koostamise põhimõtted ja keerukamate stsenaariumide käsitlus;</w:t>
      </w:r>
    </w:p>
    <w:p w14:paraId="0D3C6B7D" w14:textId="77777777" w:rsidR="00115936" w:rsidRDefault="00C50CB9">
      <w:pPr>
        <w:pStyle w:val="Loendinumber"/>
        <w:spacing w:after="40"/>
      </w:pPr>
      <w:r>
        <w:t>projektiplaan ja ajakava, sealhulgas töö etapid, intervjuude läbiviimise plaan, vahekooskõlastused ja lõpptulemite esitamise ajakava;</w:t>
      </w:r>
    </w:p>
    <w:p w14:paraId="61F46530" w14:textId="77777777" w:rsidR="00115936" w:rsidRDefault="00C50CB9">
      <w:pPr>
        <w:pStyle w:val="Loendinumber"/>
        <w:spacing w:after="40"/>
      </w:pPr>
      <w:r>
        <w:t>meeskonna kirjeldus ja pädevus;</w:t>
      </w:r>
    </w:p>
    <w:p w14:paraId="77DAC6EA" w14:textId="77777777" w:rsidR="00115936" w:rsidRDefault="00C50CB9">
      <w:pPr>
        <w:pStyle w:val="Loendinumber"/>
        <w:spacing w:after="40"/>
      </w:pPr>
      <w:r>
        <w:t>sarnaste tööde referentsid;</w:t>
      </w:r>
    </w:p>
    <w:p w14:paraId="1F0DEF1A" w14:textId="77777777" w:rsidR="00115936" w:rsidRDefault="00C50CB9">
      <w:pPr>
        <w:pStyle w:val="Loendinumber"/>
        <w:spacing w:after="40"/>
      </w:pPr>
      <w:r>
        <w:t>pakkumuse maksumus käibemaksuta;</w:t>
      </w:r>
    </w:p>
    <w:p w14:paraId="749A8817" w14:textId="77777777" w:rsidR="00115936" w:rsidRDefault="00C50CB9">
      <w:pPr>
        <w:pStyle w:val="Loendinumber"/>
        <w:spacing w:after="40"/>
      </w:pPr>
      <w:r>
        <w:t>kinnitus, et pakkuja esitab kõik hanke kirjelduses nimetatud tulemid: analüüsiraport, rollikaardid, dokumendimuudatuste ettepanekud, otsustuspuu või kontrollküsimustik ja tulemuste tutvustus.</w:t>
      </w:r>
    </w:p>
    <w:p w14:paraId="6763DDC7" w14:textId="77777777" w:rsidR="00115936" w:rsidRDefault="00C50CB9">
      <w:pPr>
        <w:pStyle w:val="Pealkiri1"/>
        <w:spacing w:before="240" w:after="80"/>
      </w:pPr>
      <w:r>
        <w:rPr>
          <w:rFonts w:ascii="Arial" w:hAnsi="Arial"/>
        </w:rPr>
        <w:t>12. Tähtajad</w:t>
      </w:r>
    </w:p>
    <w:tbl>
      <w:tblPr>
        <w:tblStyle w:val="Kontuurtabe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402"/>
        <w:gridCol w:w="5669"/>
      </w:tblGrid>
      <w:tr w:rsidR="00115936" w14:paraId="201B850C" w14:textId="77777777">
        <w:trPr>
          <w:tblHeader/>
          <w:jc w:val="center"/>
        </w:trPr>
        <w:tc>
          <w:tcPr>
            <w:tcW w:w="3402" w:type="dxa"/>
            <w:shd w:val="clear" w:color="auto" w:fill="1F4E79"/>
            <w:tcMar>
              <w:top w:w="80" w:type="dxa"/>
              <w:left w:w="80" w:type="dxa"/>
              <w:bottom w:w="80" w:type="dxa"/>
              <w:right w:w="80" w:type="dxa"/>
            </w:tcMar>
            <w:vAlign w:val="center"/>
          </w:tcPr>
          <w:p w14:paraId="7D400C35" w14:textId="77777777" w:rsidR="00115936" w:rsidRDefault="00C50CB9">
            <w:r>
              <w:rPr>
                <w:b/>
                <w:color w:val="FFFFFF"/>
                <w:sz w:val="19"/>
              </w:rPr>
              <w:t>Tähtaeg</w:t>
            </w:r>
          </w:p>
        </w:tc>
        <w:tc>
          <w:tcPr>
            <w:tcW w:w="5669" w:type="dxa"/>
            <w:shd w:val="clear" w:color="auto" w:fill="1F4E79"/>
            <w:tcMar>
              <w:top w:w="80" w:type="dxa"/>
              <w:left w:w="80" w:type="dxa"/>
              <w:bottom w:w="80" w:type="dxa"/>
              <w:right w:w="80" w:type="dxa"/>
            </w:tcMar>
            <w:vAlign w:val="center"/>
          </w:tcPr>
          <w:p w14:paraId="1D214332" w14:textId="77777777" w:rsidR="00115936" w:rsidRDefault="00C50CB9">
            <w:r>
              <w:rPr>
                <w:b/>
                <w:color w:val="FFFFFF"/>
                <w:sz w:val="19"/>
              </w:rPr>
              <w:t>Kuupäev / tingimus</w:t>
            </w:r>
          </w:p>
        </w:tc>
      </w:tr>
      <w:tr w:rsidR="00115936" w14:paraId="2A53FD12" w14:textId="77777777">
        <w:trPr>
          <w:jc w:val="center"/>
        </w:trPr>
        <w:tc>
          <w:tcPr>
            <w:tcW w:w="3402" w:type="dxa"/>
            <w:tcMar>
              <w:top w:w="80" w:type="dxa"/>
              <w:left w:w="80" w:type="dxa"/>
              <w:bottom w:w="80" w:type="dxa"/>
              <w:right w:w="80" w:type="dxa"/>
            </w:tcMar>
            <w:vAlign w:val="center"/>
          </w:tcPr>
          <w:p w14:paraId="5ACBD375" w14:textId="77777777" w:rsidR="00115936" w:rsidRDefault="00C50CB9">
            <w:r>
              <w:rPr>
                <w:sz w:val="19"/>
              </w:rPr>
              <w:t>Pakkumuste esitamise tähtaeg</w:t>
            </w:r>
          </w:p>
        </w:tc>
        <w:tc>
          <w:tcPr>
            <w:tcW w:w="5669" w:type="dxa"/>
            <w:tcMar>
              <w:top w:w="80" w:type="dxa"/>
              <w:left w:w="80" w:type="dxa"/>
              <w:bottom w:w="80" w:type="dxa"/>
              <w:right w:w="80" w:type="dxa"/>
            </w:tcMar>
            <w:vAlign w:val="center"/>
          </w:tcPr>
          <w:p w14:paraId="587C0EE3" w14:textId="77777777" w:rsidR="00115936" w:rsidRDefault="00C50CB9">
            <w:r>
              <w:rPr>
                <w:sz w:val="19"/>
              </w:rPr>
              <w:t>12.06.2026</w:t>
            </w:r>
          </w:p>
        </w:tc>
      </w:tr>
      <w:tr w:rsidR="00115936" w14:paraId="46D898FF" w14:textId="77777777">
        <w:trPr>
          <w:jc w:val="center"/>
        </w:trPr>
        <w:tc>
          <w:tcPr>
            <w:tcW w:w="3402" w:type="dxa"/>
            <w:tcMar>
              <w:top w:w="80" w:type="dxa"/>
              <w:left w:w="80" w:type="dxa"/>
              <w:bottom w:w="80" w:type="dxa"/>
              <w:right w:w="80" w:type="dxa"/>
            </w:tcMar>
            <w:vAlign w:val="center"/>
          </w:tcPr>
          <w:p w14:paraId="732076E0" w14:textId="77777777" w:rsidR="00115936" w:rsidRDefault="00C50CB9">
            <w:r>
              <w:rPr>
                <w:sz w:val="19"/>
              </w:rPr>
              <w:t>Analüüsi valmimise aeg</w:t>
            </w:r>
          </w:p>
        </w:tc>
        <w:tc>
          <w:tcPr>
            <w:tcW w:w="5669" w:type="dxa"/>
            <w:tcMar>
              <w:top w:w="80" w:type="dxa"/>
              <w:left w:w="80" w:type="dxa"/>
              <w:bottom w:w="80" w:type="dxa"/>
              <w:right w:w="80" w:type="dxa"/>
            </w:tcMar>
            <w:vAlign w:val="center"/>
          </w:tcPr>
          <w:p w14:paraId="3F7D5953" w14:textId="77777777" w:rsidR="00115936" w:rsidRDefault="00C50CB9">
            <w:r>
              <w:rPr>
                <w:sz w:val="19"/>
              </w:rPr>
              <w:t>30.09.2026</w:t>
            </w:r>
          </w:p>
        </w:tc>
      </w:tr>
    </w:tbl>
    <w:p w14:paraId="7E72524A" w14:textId="77777777" w:rsidR="00115936" w:rsidRDefault="00115936">
      <w:pPr>
        <w:spacing w:after="40"/>
      </w:pPr>
    </w:p>
    <w:p w14:paraId="02CBD10E" w14:textId="77777777" w:rsidR="00115936" w:rsidRDefault="00C50CB9">
      <w:pPr>
        <w:spacing w:after="120" w:line="259" w:lineRule="auto"/>
      </w:pPr>
      <w:r>
        <w:t>Hankija võib põhjendatud juhul töö lõpptähtaega muuta, eelkõige juhul, kui intervjuude läbiviimine viibib puhkuste või tellijast sõltuvate asjaolude tõttu.</w:t>
      </w:r>
    </w:p>
    <w:sectPr w:rsidR="00115936" w:rsidSect="00034616">
      <w:footerReference w:type="default" r:id="rId8"/>
      <w:pgSz w:w="12240" w:h="15840"/>
      <w:pgMar w:top="1020"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4AA6" w14:textId="77777777" w:rsidR="00C50CB9" w:rsidRDefault="00C50CB9">
      <w:pPr>
        <w:spacing w:after="0" w:line="240" w:lineRule="auto"/>
      </w:pPr>
      <w:r>
        <w:separator/>
      </w:r>
    </w:p>
  </w:endnote>
  <w:endnote w:type="continuationSeparator" w:id="0">
    <w:p w14:paraId="1B48816A" w14:textId="77777777" w:rsidR="00C50CB9" w:rsidRDefault="00C5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CDDE" w14:textId="3B7DB468" w:rsidR="00115936" w:rsidRDefault="00C50CB9">
    <w:pPr>
      <w:pStyle w:val="Jalus"/>
      <w:jc w:val="center"/>
    </w:pPr>
    <w:r>
      <w:rPr>
        <w:color w:val="5A5A5A"/>
        <w:sz w:val="16"/>
      </w:rPr>
      <w:t xml:space="preserve">Riigi IT Keskus | Väikehanke kirjeldus | lk </w:t>
    </w:r>
    <w:r>
      <w:fldChar w:fldCharType="begin"/>
    </w:r>
    <w:r>
      <w:instrText>PAGE</w:instrText>
    </w:r>
    <w:r w:rsidR="00616616">
      <w:fldChar w:fldCharType="separate"/>
    </w:r>
    <w:r w:rsidR="006166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4C88" w14:textId="77777777" w:rsidR="00C50CB9" w:rsidRDefault="00C50CB9">
      <w:pPr>
        <w:spacing w:after="0" w:line="240" w:lineRule="auto"/>
      </w:pPr>
      <w:r>
        <w:separator/>
      </w:r>
    </w:p>
  </w:footnote>
  <w:footnote w:type="continuationSeparator" w:id="0">
    <w:p w14:paraId="224B85F8" w14:textId="77777777" w:rsidR="00C50CB9" w:rsidRDefault="00C50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607155739">
    <w:abstractNumId w:val="8"/>
  </w:num>
  <w:num w:numId="2" w16cid:durableId="1933466568">
    <w:abstractNumId w:val="6"/>
  </w:num>
  <w:num w:numId="3" w16cid:durableId="209461307">
    <w:abstractNumId w:val="5"/>
  </w:num>
  <w:num w:numId="4" w16cid:durableId="1731539458">
    <w:abstractNumId w:val="4"/>
  </w:num>
  <w:num w:numId="5" w16cid:durableId="500005747">
    <w:abstractNumId w:val="7"/>
  </w:num>
  <w:num w:numId="6" w16cid:durableId="425923068">
    <w:abstractNumId w:val="3"/>
  </w:num>
  <w:num w:numId="7" w16cid:durableId="1265458717">
    <w:abstractNumId w:val="2"/>
  </w:num>
  <w:num w:numId="8" w16cid:durableId="545603114">
    <w:abstractNumId w:val="1"/>
  </w:num>
  <w:num w:numId="9" w16cid:durableId="70440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5936"/>
    <w:rsid w:val="0015074B"/>
    <w:rsid w:val="0029639D"/>
    <w:rsid w:val="00326F90"/>
    <w:rsid w:val="00616616"/>
    <w:rsid w:val="00AA1D8D"/>
    <w:rsid w:val="00B47730"/>
    <w:rsid w:val="00C50CB9"/>
    <w:rsid w:val="00CB0664"/>
    <w:rsid w:val="00F600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7DAC2CC-9761-437A-A4A1-BAC700B2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rPr>
      <w:rFonts w:ascii="Arial" w:eastAsia="Arial" w:hAnsi="Arial"/>
      <w:sz w:val="20"/>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9928</Characters>
  <Application>Microsoft Office Word</Application>
  <DocSecurity>0</DocSecurity>
  <Lines>230</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Väikehanke kirjeldus - isikuandmete töötleja rollide määratlemine RIT teenustes</dc:title>
  <dc:subject>ATK ja Riigipilv</dc:subject>
  <dc:creator>Riigi IT Keskus</dc:creator>
  <cp:keywords/>
  <dc:description>generated by python-docx</dc:description>
  <cp:lastModifiedBy>Kadri Levand - RIT</cp:lastModifiedBy>
  <cp:revision>2</cp:revision>
  <dcterms:created xsi:type="dcterms:W3CDTF">2013-12-23T23:15:00Z</dcterms:created>
  <dcterms:modified xsi:type="dcterms:W3CDTF">2026-06-02T05:31:00Z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2026-06-02T05:31:28Z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c7caf678-c9dd-437e-83b9-052f403cbd6d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