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072" w:type="dxa"/>
        <w:tblLayout w:type="fixed"/>
        <w:tblCellMar>
          <w:left w:w="0" w:type="dxa"/>
          <w:right w:w="0" w:type="dxa"/>
        </w:tblCellMar>
        <w:tblLook w:val="0000" w:firstRow="0" w:lastRow="0" w:firstColumn="0" w:lastColumn="0" w:noHBand="0" w:noVBand="0"/>
      </w:tblPr>
      <w:tblGrid>
        <w:gridCol w:w="5954"/>
        <w:gridCol w:w="3118"/>
      </w:tblGrid>
      <w:tr w:rsidR="00D40650" w14:paraId="2096BD15" w14:textId="77777777" w:rsidTr="00EF4062">
        <w:trPr>
          <w:trHeight w:val="2353"/>
        </w:trPr>
        <w:tc>
          <w:tcPr>
            <w:tcW w:w="5954" w:type="dxa"/>
            <w:shd w:val="clear" w:color="auto" w:fill="auto"/>
          </w:tcPr>
          <w:p w14:paraId="55C57DCB" w14:textId="77777777" w:rsidR="00D40650" w:rsidRPr="00A10E66" w:rsidRDefault="00D40650" w:rsidP="00926C4B">
            <w:pPr>
              <w:pStyle w:val="TableContents"/>
              <w:tabs>
                <w:tab w:val="left" w:pos="3840"/>
              </w:tabs>
              <w:rPr>
                <w:b/>
              </w:rPr>
            </w:pPr>
          </w:p>
        </w:tc>
        <w:tc>
          <w:tcPr>
            <w:tcW w:w="3118" w:type="dxa"/>
            <w:shd w:val="clear" w:color="auto" w:fill="auto"/>
          </w:tcPr>
          <w:p w14:paraId="0A54C7B8" w14:textId="63190D8F" w:rsidR="00BC1A62" w:rsidRPr="00BC1A62" w:rsidRDefault="00BC1A62" w:rsidP="00CC022B">
            <w:pPr>
              <w:pStyle w:val="AK"/>
            </w:pPr>
          </w:p>
          <w:p w14:paraId="717E97E9" w14:textId="77777777" w:rsidR="00BC1A62" w:rsidRPr="00BC1A62" w:rsidRDefault="00BC1A62" w:rsidP="00CC022B">
            <w:pPr>
              <w:jc w:val="left"/>
            </w:pPr>
          </w:p>
        </w:tc>
      </w:tr>
      <w:tr w:rsidR="0076054B" w:rsidRPr="001D4CFB" w14:paraId="4B3F9595" w14:textId="77777777" w:rsidTr="00EF4062">
        <w:trPr>
          <w:trHeight w:val="1531"/>
        </w:trPr>
        <w:tc>
          <w:tcPr>
            <w:tcW w:w="5954" w:type="dxa"/>
            <w:shd w:val="clear" w:color="auto" w:fill="auto"/>
          </w:tcPr>
          <w:p w14:paraId="6D598ABD" w14:textId="03AA979B" w:rsidR="00141C54" w:rsidRDefault="00141C54" w:rsidP="00141C54">
            <w:pPr>
              <w:pStyle w:val="Liik"/>
            </w:pPr>
            <w:r>
              <w:t>VÄLJAVÕTE</w:t>
            </w:r>
          </w:p>
          <w:p w14:paraId="7102B8AF" w14:textId="77777777" w:rsidR="00141C54" w:rsidRDefault="00141C54" w:rsidP="00141C54">
            <w:pPr>
              <w:pStyle w:val="Liik"/>
            </w:pPr>
          </w:p>
          <w:p w14:paraId="51E096C9" w14:textId="6204E644" w:rsidR="0076054B" w:rsidRDefault="001E36B2" w:rsidP="00BE3769">
            <w:pPr>
              <w:pStyle w:val="Liik"/>
              <w:jc w:val="both"/>
            </w:pPr>
            <w:r>
              <w:t>PROTOKOLL</w:t>
            </w:r>
          </w:p>
          <w:p w14:paraId="300573CA" w14:textId="77777777" w:rsidR="0076054B" w:rsidRPr="006B118C" w:rsidRDefault="0076054B" w:rsidP="0076054B"/>
          <w:p w14:paraId="5C37CCE5" w14:textId="77777777" w:rsidR="0076054B" w:rsidRPr="006B118C" w:rsidRDefault="0076054B" w:rsidP="0076054B"/>
        </w:tc>
        <w:tc>
          <w:tcPr>
            <w:tcW w:w="3118" w:type="dxa"/>
            <w:shd w:val="clear" w:color="auto" w:fill="auto"/>
          </w:tcPr>
          <w:p w14:paraId="63BC5617" w14:textId="5E2B4F6A" w:rsidR="0076054B" w:rsidRPr="0076054B" w:rsidRDefault="00141C54" w:rsidP="00CF56D1">
            <w:pPr>
              <w:pStyle w:val="Kuupev1"/>
              <w:rPr>
                <w:i/>
                <w:iCs/>
              </w:rPr>
            </w:pPr>
            <w:r>
              <w:t>27</w:t>
            </w:r>
            <w:r w:rsidR="005F4EFC">
              <w:t>.</w:t>
            </w:r>
            <w:r w:rsidR="00CF56D1">
              <w:t>02</w:t>
            </w:r>
            <w:r w:rsidR="00BC2FCC">
              <w:t>.</w:t>
            </w:r>
            <w:r w:rsidR="005F4EFC">
              <w:t>20</w:t>
            </w:r>
            <w:r w:rsidR="00D6691E">
              <w:t>2</w:t>
            </w:r>
            <w:r w:rsidR="00CF56D1">
              <w:t>4</w:t>
            </w:r>
            <w:r w:rsidR="009F6ADD">
              <w:t xml:space="preserve"> nr </w:t>
            </w:r>
            <w:r w:rsidR="00CF56D1">
              <w:t>13-12/</w:t>
            </w:r>
            <w:r w:rsidR="00F80064">
              <w:t>35</w:t>
            </w:r>
          </w:p>
        </w:tc>
      </w:tr>
      <w:tr w:rsidR="00566D45" w:rsidRPr="001D4CFB" w14:paraId="1E8E1F9C" w14:textId="77777777" w:rsidTr="00EF4062">
        <w:trPr>
          <w:trHeight w:val="624"/>
        </w:trPr>
        <w:tc>
          <w:tcPr>
            <w:tcW w:w="5954" w:type="dxa"/>
            <w:shd w:val="clear" w:color="auto" w:fill="auto"/>
          </w:tcPr>
          <w:p w14:paraId="615A5E2D" w14:textId="74620935" w:rsidR="005B5F4E" w:rsidRPr="00C5574F" w:rsidRDefault="00C5574F" w:rsidP="005B5F4E">
            <w:pPr>
              <w:widowControl/>
              <w:suppressAutoHyphens w:val="0"/>
              <w:spacing w:line="240" w:lineRule="auto"/>
              <w:jc w:val="left"/>
              <w:rPr>
                <w:rFonts w:eastAsia="Times New Roman"/>
                <w:b/>
                <w:bCs/>
                <w:kern w:val="0"/>
                <w:lang w:eastAsia="en-US" w:bidi="ar-SA"/>
              </w:rPr>
            </w:pPr>
            <w:r>
              <w:rPr>
                <w:b/>
                <w:bCs/>
                <w:color w:val="202020"/>
                <w:shd w:val="clear" w:color="auto" w:fill="FFFFFF"/>
              </w:rPr>
              <w:t>Toetusskeemi „</w:t>
            </w:r>
            <w:r w:rsidRPr="00C5574F">
              <w:rPr>
                <w:b/>
                <w:bCs/>
                <w:color w:val="202020"/>
                <w:shd w:val="clear" w:color="auto" w:fill="FFFFFF"/>
              </w:rPr>
              <w:t>Ida-Viru KOV investeeringud ülemineku mõjude leevendamiseks</w:t>
            </w:r>
            <w:r>
              <w:rPr>
                <w:b/>
                <w:bCs/>
                <w:color w:val="202020"/>
                <w:shd w:val="clear" w:color="auto" w:fill="FFFFFF"/>
              </w:rPr>
              <w:t>“ hindamiskomisjon</w:t>
            </w:r>
            <w:r w:rsidR="00451023">
              <w:rPr>
                <w:b/>
                <w:bCs/>
                <w:color w:val="202020"/>
                <w:shd w:val="clear" w:color="auto" w:fill="FFFFFF"/>
              </w:rPr>
              <w:t>i kirjalik menetlus</w:t>
            </w:r>
          </w:p>
          <w:p w14:paraId="62DBD783" w14:textId="77777777" w:rsidR="00566D45" w:rsidRDefault="00566D45" w:rsidP="009F6ADD">
            <w:pPr>
              <w:pStyle w:val="Pealkiri1"/>
            </w:pPr>
          </w:p>
        </w:tc>
        <w:tc>
          <w:tcPr>
            <w:tcW w:w="3118" w:type="dxa"/>
            <w:shd w:val="clear" w:color="auto" w:fill="auto"/>
          </w:tcPr>
          <w:p w14:paraId="26E79D66" w14:textId="77777777" w:rsidR="00566D45" w:rsidRDefault="00566D45" w:rsidP="00CC022B">
            <w:pPr>
              <w:jc w:val="left"/>
            </w:pPr>
            <w:r>
              <w:t xml:space="preserve"> </w:t>
            </w:r>
          </w:p>
        </w:tc>
      </w:tr>
    </w:tbl>
    <w:p w14:paraId="4D5F5712" w14:textId="7EE19156" w:rsidR="001E36B2" w:rsidRPr="001E36B2" w:rsidRDefault="00C10940" w:rsidP="001E36B2">
      <w:pPr>
        <w:widowControl/>
        <w:suppressAutoHyphens w:val="0"/>
        <w:spacing w:line="240" w:lineRule="auto"/>
        <w:jc w:val="left"/>
        <w:rPr>
          <w:rFonts w:eastAsia="Times New Roman"/>
          <w:kern w:val="0"/>
          <w:lang w:eastAsia="en-US" w:bidi="ar-SA"/>
        </w:rPr>
      </w:pPr>
      <w:r>
        <w:rPr>
          <w:b/>
          <w:noProof/>
          <w:lang w:eastAsia="et-EE" w:bidi="ar-SA"/>
        </w:rPr>
        <w:drawing>
          <wp:anchor distT="0" distB="0" distL="114300" distR="114300" simplePos="0" relativeHeight="251658240" behindDoc="0" locked="0" layoutInCell="1" allowOverlap="1" wp14:anchorId="3D9B816D" wp14:editId="11C10519">
            <wp:simplePos x="0" y="0"/>
            <wp:positionH relativeFrom="page">
              <wp:posOffset>307622</wp:posOffset>
            </wp:positionH>
            <wp:positionV relativeFrom="page">
              <wp:posOffset>602901</wp:posOffset>
            </wp:positionV>
            <wp:extent cx="2912055" cy="725170"/>
            <wp:effectExtent l="0" t="0" r="317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2055" cy="725170"/>
                    </a:xfrm>
                    <a:prstGeom prst="rect">
                      <a:avLst/>
                    </a:prstGeom>
                  </pic:spPr>
                </pic:pic>
              </a:graphicData>
            </a:graphic>
            <wp14:sizeRelH relativeFrom="page">
              <wp14:pctWidth>0</wp14:pctWidth>
            </wp14:sizeRelH>
            <wp14:sizeRelV relativeFrom="page">
              <wp14:pctHeight>0</wp14:pctHeight>
            </wp14:sizeRelV>
          </wp:anchor>
        </w:drawing>
      </w:r>
      <w:r w:rsidR="0081726E">
        <w:rPr>
          <w:rFonts w:eastAsia="Times New Roman"/>
          <w:kern w:val="0"/>
          <w:lang w:eastAsia="en-US" w:bidi="ar-SA"/>
        </w:rPr>
        <w:t>Kirjalik menetlus algatatud 20. veebruaril 2024</w:t>
      </w:r>
      <w:r w:rsidR="00737B33">
        <w:rPr>
          <w:rFonts w:eastAsia="Times New Roman"/>
          <w:kern w:val="0"/>
          <w:lang w:eastAsia="en-US" w:bidi="ar-SA"/>
        </w:rPr>
        <w:t>, kirjaliku tagasiside esitamise tähtajaga 23. veebruaril kl 12.00</w:t>
      </w:r>
    </w:p>
    <w:p w14:paraId="5D9C3E9B" w14:textId="77777777" w:rsidR="001E36B2" w:rsidRPr="001E36B2" w:rsidRDefault="001E36B2" w:rsidP="001E36B2">
      <w:pPr>
        <w:widowControl/>
        <w:suppressAutoHyphens w:val="0"/>
        <w:spacing w:line="240" w:lineRule="auto"/>
        <w:jc w:val="left"/>
        <w:rPr>
          <w:rFonts w:eastAsia="Times New Roman"/>
          <w:kern w:val="0"/>
          <w:lang w:eastAsia="en-US" w:bidi="ar-SA"/>
        </w:rPr>
      </w:pPr>
    </w:p>
    <w:p w14:paraId="1C0D486E" w14:textId="000E11C3" w:rsidR="00286A18" w:rsidRDefault="00286A18" w:rsidP="00994FD6">
      <w:pPr>
        <w:widowControl/>
        <w:suppressAutoHyphens w:val="0"/>
        <w:spacing w:line="240" w:lineRule="auto"/>
        <w:rPr>
          <w:rFonts w:eastAsia="Times New Roman"/>
          <w:kern w:val="0"/>
          <w:lang w:eastAsia="en-US" w:bidi="ar-SA"/>
        </w:rPr>
      </w:pPr>
      <w:r>
        <w:rPr>
          <w:rFonts w:eastAsia="Times New Roman"/>
          <w:kern w:val="0"/>
          <w:lang w:eastAsia="en-US" w:bidi="ar-SA"/>
        </w:rPr>
        <w:t xml:space="preserve">Võtsid osa: </w:t>
      </w:r>
      <w:r w:rsidR="00C5574F">
        <w:rPr>
          <w:rFonts w:eastAsia="Times New Roman"/>
          <w:kern w:val="0"/>
          <w:lang w:eastAsia="en-US" w:bidi="ar-SA"/>
        </w:rPr>
        <w:t xml:space="preserve">hindamiskomisjoni liikmed </w:t>
      </w:r>
      <w:r w:rsidR="0081726E">
        <w:rPr>
          <w:rFonts w:eastAsia="Times New Roman"/>
          <w:kern w:val="0"/>
          <w:lang w:eastAsia="en-US" w:bidi="ar-SA"/>
        </w:rPr>
        <w:t xml:space="preserve">Kaire Luht, </w:t>
      </w:r>
      <w:r w:rsidR="00C5574F">
        <w:rPr>
          <w:rFonts w:eastAsia="Times New Roman"/>
          <w:kern w:val="0"/>
          <w:lang w:eastAsia="en-US" w:bidi="ar-SA"/>
        </w:rPr>
        <w:t>Alfred Alt, Jaanus Purga, Regina Sergejeva ja Ivan Sergejev</w:t>
      </w:r>
      <w:r w:rsidR="00CC022B">
        <w:rPr>
          <w:rFonts w:eastAsia="Times New Roman"/>
          <w:kern w:val="0"/>
          <w:lang w:eastAsia="en-US" w:bidi="ar-SA"/>
        </w:rPr>
        <w:t xml:space="preserve"> </w:t>
      </w:r>
    </w:p>
    <w:p w14:paraId="682324A0" w14:textId="77777777" w:rsidR="00994FD6" w:rsidRDefault="00994FD6" w:rsidP="00994FD6">
      <w:pPr>
        <w:widowControl/>
        <w:suppressAutoHyphens w:val="0"/>
        <w:spacing w:line="240" w:lineRule="auto"/>
        <w:rPr>
          <w:rFonts w:eastAsia="Times New Roman"/>
          <w:kern w:val="0"/>
          <w:lang w:eastAsia="en-US" w:bidi="ar-SA"/>
        </w:rPr>
      </w:pPr>
    </w:p>
    <w:p w14:paraId="5CFA5DEE" w14:textId="77777777" w:rsidR="001E36B2" w:rsidRDefault="001E36B2" w:rsidP="001E36B2">
      <w:pPr>
        <w:widowControl/>
        <w:suppressAutoHyphens w:val="0"/>
        <w:spacing w:line="240" w:lineRule="auto"/>
        <w:jc w:val="left"/>
        <w:rPr>
          <w:rFonts w:eastAsia="Times New Roman"/>
          <w:kern w:val="0"/>
          <w:lang w:eastAsia="en-US" w:bidi="ar-SA"/>
        </w:rPr>
      </w:pPr>
    </w:p>
    <w:p w14:paraId="0BF2547F" w14:textId="77777777" w:rsidR="00286A18" w:rsidRDefault="00286A18" w:rsidP="00075245">
      <w:pPr>
        <w:widowControl/>
        <w:suppressAutoHyphens w:val="0"/>
        <w:spacing w:line="240" w:lineRule="auto"/>
        <w:jc w:val="left"/>
        <w:rPr>
          <w:rFonts w:eastAsia="Times New Roman"/>
          <w:b/>
          <w:kern w:val="0"/>
          <w:lang w:eastAsia="en-US" w:bidi="ar-SA"/>
        </w:rPr>
      </w:pPr>
      <w:r w:rsidRPr="00286A18">
        <w:rPr>
          <w:rFonts w:eastAsia="Times New Roman"/>
          <w:b/>
          <w:kern w:val="0"/>
          <w:lang w:eastAsia="en-US" w:bidi="ar-SA"/>
        </w:rPr>
        <w:t>Päevakord:</w:t>
      </w:r>
    </w:p>
    <w:p w14:paraId="6250BC8D" w14:textId="77777777" w:rsidR="0081726E" w:rsidRDefault="0081726E" w:rsidP="00075245">
      <w:pPr>
        <w:widowControl/>
        <w:suppressAutoHyphens w:val="0"/>
        <w:spacing w:line="240" w:lineRule="auto"/>
        <w:jc w:val="left"/>
        <w:rPr>
          <w:rFonts w:eastAsia="Times New Roman"/>
          <w:b/>
          <w:kern w:val="0"/>
          <w:lang w:eastAsia="en-US" w:bidi="ar-SA"/>
        </w:rPr>
      </w:pPr>
    </w:p>
    <w:p w14:paraId="03C0CB05" w14:textId="197CE2FD" w:rsidR="00BE3769" w:rsidRDefault="0081726E" w:rsidP="00BE3769">
      <w:pPr>
        <w:spacing w:line="240" w:lineRule="auto"/>
      </w:pPr>
      <w:r>
        <w:t xml:space="preserve">Pärast </w:t>
      </w:r>
      <w:r w:rsidR="00737B33">
        <w:t>23. jaanuari hindamiskomisjoni koosolekut</w:t>
      </w:r>
      <w:r w:rsidR="00315DE8">
        <w:t xml:space="preserve"> </w:t>
      </w:r>
      <w:r w:rsidR="00737B33">
        <w:t>koostas Regionaal- ja Põllumajandusministeerium</w:t>
      </w:r>
      <w:r w:rsidR="00451023">
        <w:t xml:space="preserve"> 05.02.2024</w:t>
      </w:r>
      <w:r w:rsidR="00737B33">
        <w:t xml:space="preserve"> hindamisprotokollile </w:t>
      </w:r>
      <w:r w:rsidR="00D03485">
        <w:t>nr 13-12/</w:t>
      </w:r>
      <w:r w:rsidR="00451023">
        <w:t>34</w:t>
      </w:r>
      <w:r w:rsidR="00D03485">
        <w:t xml:space="preserve"> </w:t>
      </w:r>
      <w:r w:rsidR="00737B33">
        <w:t xml:space="preserve">tuginedes </w:t>
      </w:r>
      <w:r>
        <w:t>regionaalministri käskkirja</w:t>
      </w:r>
      <w:r w:rsidR="00737B33">
        <w:t xml:space="preserve"> eelnõu</w:t>
      </w:r>
      <w:r>
        <w:t xml:space="preserve"> </w:t>
      </w:r>
      <w:r w:rsidR="00075245">
        <w:t xml:space="preserve">õiglase ülemineku fondi </w:t>
      </w:r>
      <w:r>
        <w:t>KOV meetme investeeringute kava kinnitamiseks</w:t>
      </w:r>
      <w:r w:rsidR="00737B33">
        <w:t>. Kava eelnõu</w:t>
      </w:r>
      <w:r>
        <w:t xml:space="preserve"> edasta</w:t>
      </w:r>
      <w:r w:rsidR="00737B33">
        <w:t>ti</w:t>
      </w:r>
      <w:r>
        <w:t xml:space="preserve"> Ida-Virumaa Omavalitsuste Liidule arvamuse avaldamiseks. Lisaks </w:t>
      </w:r>
      <w:r w:rsidR="00737B33">
        <w:t xml:space="preserve">saadeti </w:t>
      </w:r>
      <w:r>
        <w:t>kirjad tingimuslikult hinnatud projektide</w:t>
      </w:r>
      <w:r w:rsidR="00451023">
        <w:t xml:space="preserve"> esitajatele</w:t>
      </w:r>
      <w:r>
        <w:t xml:space="preserve"> tingimustega nõustumiseks ning kavasse mitte arvamise otsuse kavand</w:t>
      </w:r>
      <w:r w:rsidR="00451023">
        <w:t xml:space="preserve"> edastati</w:t>
      </w:r>
      <w:r>
        <w:t xml:space="preserve"> ärakuulamiseks SA</w:t>
      </w:r>
      <w:r w:rsidR="00737B33">
        <w:t>-le</w:t>
      </w:r>
      <w:r>
        <w:t xml:space="preserve"> Kiviõli Tervisekeskus. </w:t>
      </w:r>
    </w:p>
    <w:p w14:paraId="72119862" w14:textId="77777777" w:rsidR="00BE3769" w:rsidRDefault="00BE3769" w:rsidP="00BE3769">
      <w:pPr>
        <w:spacing w:line="240" w:lineRule="auto"/>
      </w:pPr>
    </w:p>
    <w:p w14:paraId="5F5E25B5" w14:textId="1A20DD58" w:rsidR="0081726E" w:rsidRDefault="00BE3769" w:rsidP="00075245">
      <w:pPr>
        <w:spacing w:line="240" w:lineRule="auto"/>
      </w:pPr>
      <w:r>
        <w:t>….</w:t>
      </w:r>
    </w:p>
    <w:p w14:paraId="187347B7" w14:textId="77777777" w:rsidR="00BD1BB9" w:rsidRDefault="00BD1BB9" w:rsidP="00BD1BB9">
      <w:pPr>
        <w:pStyle w:val="ListParagraph"/>
        <w:spacing w:line="240" w:lineRule="auto"/>
        <w:rPr>
          <w:rFonts w:eastAsiaTheme="minorHAnsi"/>
        </w:rPr>
      </w:pPr>
    </w:p>
    <w:p w14:paraId="19930632" w14:textId="5966EAE6" w:rsidR="00BD1BB9" w:rsidRPr="00BD1BB9" w:rsidRDefault="00BD1BB9" w:rsidP="00BD1BB9">
      <w:pPr>
        <w:pStyle w:val="ListParagraph"/>
        <w:widowControl/>
        <w:numPr>
          <w:ilvl w:val="0"/>
          <w:numId w:val="7"/>
        </w:numPr>
        <w:suppressAutoHyphens w:val="0"/>
        <w:spacing w:line="240" w:lineRule="auto"/>
        <w:jc w:val="left"/>
        <w:rPr>
          <w:rFonts w:eastAsia="Times New Roman"/>
        </w:rPr>
      </w:pPr>
      <w:bookmarkStart w:id="0" w:name="_Hlk159842645"/>
      <w:r w:rsidRPr="00BD1BB9">
        <w:rPr>
          <w:rFonts w:eastAsia="Times New Roman"/>
        </w:rPr>
        <w:t xml:space="preserve">Seisukoha võtmine SA Kiviõli Tervisekeskus projekti „Hooldekodu teenuse laiendamine teenusmajas“ täpsustava informatsiooni osas. Kas tulenevalt kirjas esitatud täpsustavast infost soovivad komisjoni liikmed enda poolt projektile antud hinnanguid üle vaadata, st kriteeriumi „projekti põhjendatus“ hinnet muuta või täiendada oma hinnete juurde lisatud põhjendusi? </w:t>
      </w:r>
    </w:p>
    <w:bookmarkEnd w:id="0"/>
    <w:p w14:paraId="38616BAB" w14:textId="77777777" w:rsidR="00BD1BB9" w:rsidRDefault="00BD1BB9" w:rsidP="00BD1BB9">
      <w:pPr>
        <w:pStyle w:val="ListParagraph"/>
        <w:widowControl/>
        <w:suppressAutoHyphens w:val="0"/>
        <w:spacing w:line="240" w:lineRule="auto"/>
        <w:contextualSpacing w:val="0"/>
        <w:jc w:val="left"/>
        <w:rPr>
          <w:rFonts w:eastAsia="Times New Roman"/>
        </w:rPr>
      </w:pPr>
    </w:p>
    <w:p w14:paraId="0C6C437F" w14:textId="582C2F2A" w:rsidR="00BD1BB9" w:rsidRPr="001225A7" w:rsidRDefault="00BD1BB9" w:rsidP="00BD1BB9">
      <w:pPr>
        <w:spacing w:line="240" w:lineRule="auto"/>
        <w:rPr>
          <w:color w:val="202020"/>
          <w:shd w:val="clear" w:color="auto" w:fill="FFFFFF"/>
        </w:rPr>
      </w:pPr>
      <w:r w:rsidRPr="00D03485">
        <w:rPr>
          <w:b/>
          <w:bCs/>
        </w:rPr>
        <w:t xml:space="preserve">KOMISJONI SEISUKOHT: </w:t>
      </w:r>
      <w:bookmarkStart w:id="1" w:name="_Hlk159842783"/>
      <w:r w:rsidRPr="001225A7">
        <w:rPr>
          <w:rFonts w:eastAsia="Times New Roman"/>
        </w:rPr>
        <w:t xml:space="preserve">Komisjoni liikmed tõdesid, et </w:t>
      </w:r>
      <w:r w:rsidRPr="001225A7">
        <w:t xml:space="preserve">taotleja vastulaused ei mõjuta nende poolt </w:t>
      </w:r>
      <w:bookmarkStart w:id="2" w:name="_Hlk159842711"/>
      <w:r w:rsidRPr="001225A7">
        <w:t xml:space="preserve">projektiettepanekule antud hindeid ning keegi ei pidanud tulenevalt täpsustustest </w:t>
      </w:r>
      <w:r>
        <w:t xml:space="preserve">põhjendatuks </w:t>
      </w:r>
      <w:r w:rsidRPr="001225A7">
        <w:t>oma hindeid muuta</w:t>
      </w:r>
      <w:r>
        <w:t xml:space="preserve">. </w:t>
      </w:r>
      <w:r w:rsidRPr="001225A7">
        <w:t>Leiti, et hindamiskomisjoni liikmed hindavad ettepanekut lähtuvalt ettepaneku esitaja esitatud andmetest ning lisadokumentidest</w:t>
      </w:r>
      <w:bookmarkEnd w:id="2"/>
      <w:r w:rsidRPr="001225A7">
        <w:t xml:space="preserve">. Hindamisel arvestatava info selge ning täpne edastamine ning vastuolulise info vältimine on eelkõige ettepaneku esitaja kohustus. </w:t>
      </w:r>
      <w:bookmarkEnd w:id="1"/>
      <w:r w:rsidRPr="001225A7">
        <w:t xml:space="preserve">Hindamiskomisjoni liikmetel ei ole põhjust eeldada, et mõni ettepanekule lisatud dokument on ebaoluline või ei ole kooskõlas ettepaneku esitaja tegelike kavatsustega projekti </w:t>
      </w:r>
      <w:r w:rsidRPr="001225A7">
        <w:lastRenderedPageBreak/>
        <w:t xml:space="preserve">elluviimiseks. Nii ettepaneku tekstis kui ettepanekule lisatud eskiisis on projekti tegevusi kirjeldatud hooldekodu ruumidena.  Selle info esitas ettepaneku esitaja ettepaneku osana ning hindamiskomisjonilt ei saa eeldada selle tähelepanuta jätmist olukorras, kus meetme määrusega on selgelt välistatud investeeringud </w:t>
      </w:r>
      <w:r w:rsidRPr="001225A7">
        <w:rPr>
          <w:color w:val="202020"/>
          <w:shd w:val="clear" w:color="auto" w:fill="FFFFFF"/>
        </w:rPr>
        <w:t> väljaspool kodu osutatava ööpäevaringse üldhooldusteenuse osutamise taristusse ning ööpäevaringse erihooldusteenuse osutamise taristusse.</w:t>
      </w:r>
    </w:p>
    <w:p w14:paraId="30661C21" w14:textId="77777777" w:rsidR="00BD1BB9" w:rsidRPr="001225A7" w:rsidRDefault="00BD1BB9" w:rsidP="00BD1BB9">
      <w:pPr>
        <w:spacing w:line="240" w:lineRule="auto"/>
        <w:rPr>
          <w:color w:val="202020"/>
          <w:shd w:val="clear" w:color="auto" w:fill="FFFFFF"/>
        </w:rPr>
      </w:pPr>
    </w:p>
    <w:p w14:paraId="5851F248" w14:textId="77777777" w:rsidR="00BD1BB9" w:rsidRPr="001225A7" w:rsidRDefault="00BD1BB9" w:rsidP="00BD1BB9">
      <w:pPr>
        <w:spacing w:line="240" w:lineRule="auto"/>
        <w:rPr>
          <w:i/>
          <w:iCs/>
        </w:rPr>
      </w:pPr>
      <w:r w:rsidRPr="005A3977">
        <w:t>Projektiettepaneku kirjelduse järgi „…</w:t>
      </w:r>
      <w:r w:rsidRPr="005A3977">
        <w:rPr>
          <w:i/>
          <w:iCs/>
        </w:rPr>
        <w:t xml:space="preserve">Kogu ehitatav hoone on tervikuna mõeldud toetatavate ühistegevuste ja toetatavate teenuste pakkumiseks. Hoones ongi planeeritud </w:t>
      </w:r>
      <w:r w:rsidRPr="004E157B">
        <w:rPr>
          <w:i/>
          <w:iCs/>
        </w:rPr>
        <w:t>eskiisil ja seletuskirjas 1.korrusel ruumid otseseks teenuste pakkumiseks. Esimesel korrusel paiknevad hooldekodu ruumid mis on jagatud kaheks 12-kohaliseks plokiks. Igas plokis on oma sissepääs, elutuba-köök, magamistoad ja abiruumid. Iga pereploki südameks on ühiskasutatav elutuba millega on liidetud nii söögituba kui ka abiköök. Abiköögis toimub mujal valmistatud toidu soojendamine, serveerimine ja nõudepesu.</w:t>
      </w:r>
      <w:r w:rsidRPr="005A3977">
        <w:rPr>
          <w:i/>
          <w:iCs/>
        </w:rPr>
        <w:t xml:space="preserve"> Samas võimaldab köök ka iseseisvat toidu valmistamist väiksemates kogustes. Magamistoad on ühe- ja kahetoalised. Igas magamistoas on oma tualettruum koos duššiga ning miniköök“</w:t>
      </w:r>
    </w:p>
    <w:p w14:paraId="5AC89B42" w14:textId="77777777" w:rsidR="00BD1BB9" w:rsidRPr="001225A7" w:rsidRDefault="00BD1BB9" w:rsidP="00BD1BB9">
      <w:pPr>
        <w:spacing w:line="240" w:lineRule="auto"/>
        <w:rPr>
          <w:i/>
          <w:iCs/>
        </w:rPr>
      </w:pPr>
    </w:p>
    <w:p w14:paraId="5CF90A6B" w14:textId="77777777" w:rsidR="00BD1BB9" w:rsidRPr="004E157B" w:rsidRDefault="00BD1BB9" w:rsidP="00BD1BB9">
      <w:pPr>
        <w:spacing w:line="240" w:lineRule="auto"/>
      </w:pPr>
      <w:r>
        <w:t xml:space="preserve">Ettepaneku esitaja </w:t>
      </w:r>
      <w:r w:rsidRPr="001225A7">
        <w:t>toob</w:t>
      </w:r>
      <w:r>
        <w:t xml:space="preserve"> ise</w:t>
      </w:r>
      <w:r w:rsidRPr="001225A7">
        <w:t xml:space="preserve"> välja, et regionaalministri määruse nr 74  „Ida-Viru maakonna kohalike omavalitsuste investeeringuteks toetuse andmise tingimused ja kord ülemineku mõjude leevendamiseks“</w:t>
      </w:r>
      <w:r>
        <w:t xml:space="preserve"> </w:t>
      </w:r>
      <w:r w:rsidRPr="001225A7">
        <w:t>vii</w:t>
      </w:r>
      <w:r>
        <w:t>datakse</w:t>
      </w:r>
      <w:r w:rsidRPr="001225A7">
        <w:t xml:space="preserve"> kogukonnapõhise toetatud elamise kontseptsioonile</w:t>
      </w:r>
      <w:r>
        <w:t>. M</w:t>
      </w:r>
      <w:r w:rsidRPr="001225A7">
        <w:t>ääruse seletuskirja</w:t>
      </w:r>
      <w:r>
        <w:t xml:space="preserve"> järgi </w:t>
      </w:r>
      <w:r w:rsidRPr="001225A7">
        <w:t>,„..</w:t>
      </w:r>
      <w:r w:rsidRPr="001225A7">
        <w:rPr>
          <w:i/>
          <w:iCs/>
        </w:rPr>
        <w:t>lahenduste väljatöötamisel lähtuda Sotsiaalkaitseministri 01. september 2023 määruse nr 50 „Kogukonnapõhise toetatud eluaseme toetamine“ lisas 1 sätestatud lähenemistest“</w:t>
      </w:r>
      <w:r>
        <w:rPr>
          <w:i/>
          <w:iCs/>
        </w:rPr>
        <w:t>.</w:t>
      </w:r>
      <w:r w:rsidRPr="001225A7">
        <w:rPr>
          <w:i/>
          <w:iCs/>
        </w:rPr>
        <w:t xml:space="preserve"> </w:t>
      </w:r>
      <w:r w:rsidRPr="004E157B">
        <w:t>Antud määruse lisa 1 toob välja, et:</w:t>
      </w:r>
    </w:p>
    <w:p w14:paraId="591183BC" w14:textId="77777777" w:rsidR="00BD1BB9" w:rsidRPr="004E157B" w:rsidRDefault="00BD1BB9" w:rsidP="00BD1BB9">
      <w:pPr>
        <w:spacing w:line="240" w:lineRule="auto"/>
        <w:rPr>
          <w:i/>
          <w:iCs/>
          <w:lang w:eastAsia="en-US"/>
        </w:rPr>
      </w:pPr>
      <w:r w:rsidRPr="004E157B">
        <w:rPr>
          <w:i/>
          <w:iCs/>
        </w:rPr>
        <w:t>„..1.1. Kogukonnapõhine toetatud eluase on kohaliku omavalitsuse omandis olev ühe- või mitmekorruseline hoone, milles on ühe- ja kahetoalised kööginurga, tualettruumi ja pesemisruumiga korterid ja abiruumid (hoiu-, hooldus- ja majapidamisruumid) ning toetatavate ühistegevuste ja toetavate teenuste pakkumiseks vajalikud ruumid ja maa-ala.</w:t>
      </w:r>
    </w:p>
    <w:p w14:paraId="0FF7AD79" w14:textId="77777777" w:rsidR="00BD1BB9" w:rsidRPr="001225A7" w:rsidRDefault="00BD1BB9" w:rsidP="00BD1BB9">
      <w:pPr>
        <w:spacing w:line="240" w:lineRule="auto"/>
        <w:rPr>
          <w:i/>
          <w:iCs/>
        </w:rPr>
      </w:pPr>
      <w:r w:rsidRPr="004E157B">
        <w:rPr>
          <w:i/>
          <w:iCs/>
        </w:rPr>
        <w:t>1.4.Toetatud eluase on üldjuhul kuue korteri ja abiruumidega üksus, kus ühetoalise korteri suletud netopind on arvestuslikult 30–35 m2 ja kahetoalise korteri suletud netopind on arvestuslikult 45–50 m2 . Seejuures tuleb arvestada üldist 65-aastaste ja vanemate elanike osakaalu 41% ühe leibkonnaliikmega leibkondade seas ning võimaldada kohalikel omavalitsustel arvestada piirkonna eripäraga näha kuni kuue korteriga üksuses ette vähemalt üks ja maksimaalselt kolm kahetoalist korterit. jne.“</w:t>
      </w:r>
      <w:r w:rsidRPr="001225A7">
        <w:rPr>
          <w:i/>
          <w:iCs/>
        </w:rPr>
        <w:t xml:space="preserve"> </w:t>
      </w:r>
    </w:p>
    <w:p w14:paraId="2BC6BD32" w14:textId="77777777" w:rsidR="00BD1BB9" w:rsidRPr="001225A7" w:rsidRDefault="00BD1BB9" w:rsidP="00BD1BB9">
      <w:pPr>
        <w:spacing w:line="240" w:lineRule="auto"/>
      </w:pPr>
    </w:p>
    <w:p w14:paraId="0254F086" w14:textId="77777777" w:rsidR="00BD1BB9" w:rsidRPr="004E157B" w:rsidRDefault="00BD1BB9" w:rsidP="00BD1BB9">
      <w:pPr>
        <w:spacing w:line="240" w:lineRule="auto"/>
      </w:pPr>
      <w:r w:rsidRPr="004E157B">
        <w:t xml:space="preserve">Komisjoni hinnangul ei ole </w:t>
      </w:r>
      <w:r>
        <w:t xml:space="preserve">SA Kiviõli Tervisekeskus </w:t>
      </w:r>
      <w:r w:rsidRPr="004E157B">
        <w:t>projektiettepanekus eelnimetatud kontseptsioonist lähtunud.</w:t>
      </w:r>
    </w:p>
    <w:p w14:paraId="0F9BF17D" w14:textId="77777777" w:rsidR="00BD1BB9" w:rsidRDefault="00BD1BB9" w:rsidP="00BD1BB9">
      <w:pPr>
        <w:spacing w:line="240" w:lineRule="auto"/>
      </w:pPr>
    </w:p>
    <w:p w14:paraId="6C8C13B7" w14:textId="77777777" w:rsidR="00BD1BB9" w:rsidRPr="001225A7" w:rsidRDefault="00BD1BB9" w:rsidP="00BD1BB9">
      <w:pPr>
        <w:spacing w:line="240" w:lineRule="auto"/>
      </w:pPr>
      <w:r w:rsidRPr="001225A7">
        <w:t xml:space="preserve">Projekti põhjendatust on hindamiskomisjon hinnanud keskmise hindega 1,0, mis tähendab, et osaliselt olid täidetud hindele 2 vastavad aspektid, kuid osaliselt olid need täitmata. Erinevatel aspektidel ei ole kindlaks määratud osakaalu kriteeriumi hinde kujunemisel. Hindamistulemuse seisukohast on oluline hindamiskomisjoni koondhinne, mitte iga hindamiskomisjoni liikme individuaalsed hinded. </w:t>
      </w:r>
    </w:p>
    <w:p w14:paraId="54DD3303" w14:textId="77777777" w:rsidR="00BD1BB9" w:rsidRPr="001225A7" w:rsidRDefault="00BD1BB9" w:rsidP="00BD1BB9">
      <w:pPr>
        <w:spacing w:line="240" w:lineRule="auto"/>
      </w:pPr>
    </w:p>
    <w:p w14:paraId="44FAEAB5" w14:textId="77777777" w:rsidR="00BD1BB9" w:rsidRPr="001225A7" w:rsidRDefault="00BD1BB9" w:rsidP="00BD1BB9">
      <w:pPr>
        <w:spacing w:line="240" w:lineRule="auto"/>
      </w:pPr>
      <w:r w:rsidRPr="001225A7">
        <w:t>Ettepaneku hindamisel tuleb hindamiskomisjonil lähtuda esitatud ettepanekust ja materjalidest. Kuna taotlusvoorus kandideerisid omavahel erinevate taotlejate projektid, ei ole võimalik arvesse võtta projektlahendust, mille teostamist alles kavandatakse ning mille sisu kohta esitati info alles pärast hindamise läbiviimist SA Kiviõli Tervisekeskus nõukogu esime</w:t>
      </w:r>
      <w:r>
        <w:t>h</w:t>
      </w:r>
      <w:r w:rsidRPr="001225A7">
        <w:t xml:space="preserve">e 19.02.2024 kirjaga. Kirjas on küll kinnitatud, et kavas ei ole põhiprojekti koostamine vastavalt ettepanekuga koos esitatud eskiisile, samas ei selgu ka, millise teenuskohtade arvu ja funktsionaalsusega hoonet selle asemel kavandatakse. </w:t>
      </w:r>
    </w:p>
    <w:p w14:paraId="690AFBD1" w14:textId="7AE60133" w:rsidR="00BD1BB9" w:rsidRPr="001225A7" w:rsidRDefault="00BD1BB9" w:rsidP="00BD1BB9">
      <w:pPr>
        <w:spacing w:line="240" w:lineRule="auto"/>
      </w:pPr>
      <w:r>
        <w:t>…</w:t>
      </w:r>
    </w:p>
    <w:p w14:paraId="2F34A444" w14:textId="77777777" w:rsidR="00E96F60" w:rsidRDefault="00E96F60" w:rsidP="001E36B2">
      <w:pPr>
        <w:widowControl/>
        <w:suppressAutoHyphens w:val="0"/>
        <w:spacing w:line="240" w:lineRule="auto"/>
        <w:rPr>
          <w:rFonts w:eastAsia="Times New Roman"/>
          <w:kern w:val="0"/>
          <w:lang w:eastAsia="en-US" w:bidi="ar-SA"/>
        </w:rPr>
      </w:pPr>
    </w:p>
    <w:p w14:paraId="63A56569" w14:textId="77777777" w:rsidR="00BE3769" w:rsidRDefault="00BE3769" w:rsidP="001E36B2">
      <w:pPr>
        <w:widowControl/>
        <w:suppressAutoHyphens w:val="0"/>
        <w:spacing w:line="240" w:lineRule="auto"/>
        <w:rPr>
          <w:rFonts w:eastAsia="Times New Roman"/>
          <w:kern w:val="0"/>
          <w:lang w:eastAsia="en-US" w:bidi="ar-SA"/>
        </w:rPr>
      </w:pPr>
    </w:p>
    <w:p w14:paraId="315A2E0B" w14:textId="77777777" w:rsidR="00D03485" w:rsidRDefault="00D03485" w:rsidP="001E36B2">
      <w:pPr>
        <w:widowControl/>
        <w:suppressAutoHyphens w:val="0"/>
        <w:spacing w:line="240" w:lineRule="auto"/>
        <w:rPr>
          <w:rFonts w:eastAsia="Times New Roman"/>
          <w:kern w:val="0"/>
          <w:lang w:eastAsia="en-US" w:bidi="ar-SA"/>
        </w:rPr>
      </w:pPr>
    </w:p>
    <w:p w14:paraId="2693359C" w14:textId="77777777" w:rsidR="00513D66" w:rsidRPr="00286A18" w:rsidRDefault="00513D66" w:rsidP="00BE3769">
      <w:pPr>
        <w:pStyle w:val="Snum"/>
        <w:jc w:val="both"/>
      </w:pPr>
      <w:r>
        <w:t>(allkirjastatud digitaalselt)</w:t>
      </w:r>
    </w:p>
    <w:p w14:paraId="787C74FD" w14:textId="411E4116" w:rsidR="00E96F60" w:rsidRDefault="00D75AF2" w:rsidP="00E96F60">
      <w:pPr>
        <w:widowControl/>
        <w:suppressAutoHyphens w:val="0"/>
        <w:spacing w:line="240" w:lineRule="auto"/>
        <w:rPr>
          <w:rFonts w:eastAsia="Times New Roman"/>
          <w:kern w:val="0"/>
          <w:lang w:eastAsia="en-US" w:bidi="ar-SA"/>
        </w:rPr>
      </w:pPr>
      <w:r>
        <w:rPr>
          <w:rFonts w:eastAsia="Times New Roman"/>
          <w:kern w:val="0"/>
          <w:lang w:eastAsia="en-US" w:bidi="ar-SA"/>
        </w:rPr>
        <w:t>Kaire Luht</w:t>
      </w:r>
    </w:p>
    <w:p w14:paraId="59A10D83" w14:textId="610A62BC" w:rsidR="00E96F60" w:rsidRDefault="002056BB" w:rsidP="00E96F60">
      <w:pPr>
        <w:widowControl/>
        <w:suppressAutoHyphens w:val="0"/>
        <w:spacing w:line="240" w:lineRule="auto"/>
        <w:rPr>
          <w:rFonts w:eastAsia="Times New Roman"/>
          <w:kern w:val="0"/>
          <w:lang w:eastAsia="en-US" w:bidi="ar-SA"/>
        </w:rPr>
      </w:pPr>
      <w:r>
        <w:rPr>
          <w:rFonts w:eastAsia="Times New Roman"/>
          <w:kern w:val="0"/>
          <w:lang w:eastAsia="en-US" w:bidi="ar-SA"/>
        </w:rPr>
        <w:t>Hindamisk</w:t>
      </w:r>
      <w:r w:rsidR="00D75AF2">
        <w:rPr>
          <w:rFonts w:eastAsia="Times New Roman"/>
          <w:kern w:val="0"/>
          <w:lang w:eastAsia="en-US" w:bidi="ar-SA"/>
        </w:rPr>
        <w:t>omisjoni esimees</w:t>
      </w:r>
    </w:p>
    <w:p w14:paraId="12904152" w14:textId="77777777" w:rsidR="00E96F60" w:rsidRDefault="00E96F60" w:rsidP="00E96F60">
      <w:pPr>
        <w:widowControl/>
        <w:suppressAutoHyphens w:val="0"/>
        <w:spacing w:line="240" w:lineRule="auto"/>
        <w:rPr>
          <w:rFonts w:eastAsia="Times New Roman"/>
          <w:kern w:val="0"/>
          <w:lang w:eastAsia="en-US" w:bidi="ar-SA"/>
        </w:rPr>
      </w:pPr>
      <w:r>
        <w:rPr>
          <w:rFonts w:eastAsia="Times New Roman"/>
          <w:kern w:val="0"/>
          <w:lang w:eastAsia="en-US" w:bidi="ar-SA"/>
        </w:rPr>
        <w:t xml:space="preserve"> </w:t>
      </w:r>
    </w:p>
    <w:p w14:paraId="43269B64" w14:textId="77777777" w:rsidR="00E96F60" w:rsidRDefault="00E96F60" w:rsidP="00E96F60">
      <w:pPr>
        <w:widowControl/>
        <w:suppressAutoHyphens w:val="0"/>
        <w:spacing w:line="240" w:lineRule="auto"/>
        <w:rPr>
          <w:rFonts w:eastAsia="Times New Roman"/>
          <w:kern w:val="0"/>
          <w:lang w:eastAsia="en-US" w:bidi="ar-SA"/>
        </w:rPr>
      </w:pPr>
    </w:p>
    <w:p w14:paraId="3B241270" w14:textId="77777777" w:rsidR="00E96F60" w:rsidRDefault="00513D66" w:rsidP="00BE3769">
      <w:pPr>
        <w:pStyle w:val="Snum"/>
        <w:jc w:val="both"/>
      </w:pPr>
      <w:r>
        <w:t>(allkirjastatud digitaalselt)</w:t>
      </w:r>
    </w:p>
    <w:p w14:paraId="41B21EF8" w14:textId="77777777" w:rsidR="00D75AF2" w:rsidRDefault="00D75AF2" w:rsidP="00286A18">
      <w:pPr>
        <w:widowControl/>
        <w:suppressAutoHyphens w:val="0"/>
        <w:spacing w:line="240" w:lineRule="auto"/>
        <w:rPr>
          <w:rFonts w:eastAsia="Times New Roman"/>
          <w:kern w:val="0"/>
          <w:lang w:eastAsia="en-US" w:bidi="ar-SA"/>
        </w:rPr>
      </w:pPr>
      <w:r>
        <w:rPr>
          <w:rFonts w:eastAsia="Times New Roman"/>
          <w:kern w:val="0"/>
          <w:lang w:eastAsia="en-US" w:bidi="ar-SA"/>
        </w:rPr>
        <w:t>Andres Heldring</w:t>
      </w:r>
    </w:p>
    <w:p w14:paraId="55F811F8" w14:textId="0E648795" w:rsidR="00286A18" w:rsidRDefault="00286A18" w:rsidP="00286A18">
      <w:pPr>
        <w:widowControl/>
        <w:suppressAutoHyphens w:val="0"/>
        <w:spacing w:line="240" w:lineRule="auto"/>
        <w:rPr>
          <w:rFonts w:eastAsia="Times New Roman"/>
          <w:kern w:val="0"/>
          <w:lang w:eastAsia="en-US" w:bidi="ar-SA"/>
        </w:rPr>
      </w:pPr>
      <w:r>
        <w:rPr>
          <w:rFonts w:eastAsia="Times New Roman"/>
          <w:kern w:val="0"/>
          <w:lang w:eastAsia="en-US" w:bidi="ar-SA"/>
        </w:rPr>
        <w:t>Protokollija</w:t>
      </w:r>
    </w:p>
    <w:p w14:paraId="28D63AD3" w14:textId="77777777" w:rsidR="00286A18" w:rsidRDefault="00286A18" w:rsidP="00286A18">
      <w:pPr>
        <w:widowControl/>
        <w:suppressAutoHyphens w:val="0"/>
        <w:spacing w:line="240" w:lineRule="auto"/>
        <w:rPr>
          <w:rFonts w:eastAsia="Times New Roman"/>
          <w:kern w:val="0"/>
          <w:lang w:eastAsia="en-US" w:bidi="ar-SA"/>
        </w:rPr>
      </w:pPr>
      <w:r>
        <w:rPr>
          <w:rFonts w:eastAsia="Times New Roman"/>
          <w:kern w:val="0"/>
          <w:lang w:eastAsia="en-US" w:bidi="ar-SA"/>
        </w:rPr>
        <w:t xml:space="preserve"> </w:t>
      </w:r>
    </w:p>
    <w:p w14:paraId="1B929EF7" w14:textId="77777777" w:rsidR="00BE3769" w:rsidRDefault="00BE3769" w:rsidP="00286A18">
      <w:pPr>
        <w:widowControl/>
        <w:suppressAutoHyphens w:val="0"/>
        <w:spacing w:line="240" w:lineRule="auto"/>
        <w:rPr>
          <w:rFonts w:eastAsia="Times New Roman"/>
          <w:kern w:val="0"/>
          <w:lang w:eastAsia="en-US" w:bidi="ar-SA"/>
        </w:rPr>
      </w:pPr>
    </w:p>
    <w:p w14:paraId="068BF3A9" w14:textId="77777777" w:rsidR="00BE3769" w:rsidRDefault="00BE3769" w:rsidP="00BE3769">
      <w:pPr>
        <w:pStyle w:val="Snum"/>
      </w:pPr>
    </w:p>
    <w:p w14:paraId="5850046A" w14:textId="77777777" w:rsidR="00BE3769" w:rsidRDefault="00BE3769" w:rsidP="00BE3769">
      <w:pPr>
        <w:pStyle w:val="Snum"/>
      </w:pPr>
    </w:p>
    <w:p w14:paraId="164D0C90" w14:textId="33AB93C0" w:rsidR="00BE3769" w:rsidRDefault="00BE3769" w:rsidP="00BE3769">
      <w:pPr>
        <w:pStyle w:val="Snum"/>
      </w:pPr>
      <w:r>
        <w:t>(allkirjastatud digitaalselt)</w:t>
      </w:r>
    </w:p>
    <w:p w14:paraId="24E7C07D" w14:textId="77777777" w:rsidR="00BE3769" w:rsidRDefault="00BE3769" w:rsidP="00BE3769">
      <w:pPr>
        <w:widowControl/>
        <w:suppressAutoHyphens w:val="0"/>
        <w:spacing w:line="240" w:lineRule="auto"/>
        <w:jc w:val="right"/>
        <w:rPr>
          <w:rFonts w:eastAsia="Times New Roman"/>
          <w:kern w:val="0"/>
          <w:lang w:eastAsia="en-US" w:bidi="ar-SA"/>
        </w:rPr>
      </w:pPr>
      <w:r>
        <w:rPr>
          <w:rFonts w:eastAsia="Times New Roman"/>
          <w:kern w:val="0"/>
          <w:lang w:eastAsia="en-US" w:bidi="ar-SA"/>
        </w:rPr>
        <w:t>Andres Heldring</w:t>
      </w:r>
    </w:p>
    <w:p w14:paraId="0C953F3F" w14:textId="444CBE02" w:rsidR="00BE3769" w:rsidRDefault="00BE3769" w:rsidP="00BE3769">
      <w:pPr>
        <w:widowControl/>
        <w:suppressAutoHyphens w:val="0"/>
        <w:spacing w:line="240" w:lineRule="auto"/>
        <w:jc w:val="right"/>
        <w:rPr>
          <w:rFonts w:eastAsia="Times New Roman"/>
          <w:kern w:val="0"/>
          <w:lang w:eastAsia="en-US" w:bidi="ar-SA"/>
        </w:rPr>
      </w:pPr>
      <w:r>
        <w:rPr>
          <w:rFonts w:eastAsia="Times New Roman"/>
          <w:kern w:val="0"/>
          <w:lang w:eastAsia="en-US" w:bidi="ar-SA"/>
        </w:rPr>
        <w:t>Väljavõtte tegija</w:t>
      </w:r>
    </w:p>
    <w:p w14:paraId="0A256C44" w14:textId="77777777" w:rsidR="00BE3769" w:rsidRPr="00286A18" w:rsidRDefault="00BE3769" w:rsidP="00286A18">
      <w:pPr>
        <w:widowControl/>
        <w:suppressAutoHyphens w:val="0"/>
        <w:spacing w:line="240" w:lineRule="auto"/>
        <w:rPr>
          <w:rFonts w:eastAsia="Times New Roman"/>
          <w:kern w:val="0"/>
          <w:lang w:eastAsia="en-US" w:bidi="ar-SA"/>
        </w:rPr>
      </w:pPr>
    </w:p>
    <w:sectPr w:rsidR="00BE3769" w:rsidRPr="00286A18" w:rsidSect="00CB58BD">
      <w:headerReference w:type="default" r:id="rId9"/>
      <w:footerReference w:type="even" r:id="rId10"/>
      <w:pgSz w:w="11906" w:h="16838" w:code="9"/>
      <w:pgMar w:top="993"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11BDC" w14:textId="77777777" w:rsidR="00E52781" w:rsidRDefault="00E52781" w:rsidP="00DF44DF">
      <w:r>
        <w:separator/>
      </w:r>
    </w:p>
  </w:endnote>
  <w:endnote w:type="continuationSeparator" w:id="0">
    <w:p w14:paraId="4D9C9021" w14:textId="77777777" w:rsidR="00E52781" w:rsidRDefault="00E52781"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altName w:val="Lucidasans"/>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664675"/>
      <w:docPartObj>
        <w:docPartGallery w:val="Page Numbers (Bottom of Page)"/>
        <w:docPartUnique/>
      </w:docPartObj>
    </w:sdtPr>
    <w:sdtEndPr/>
    <w:sdtContent>
      <w:p w14:paraId="56EF4ACC" w14:textId="77777777" w:rsidR="00CB58BD" w:rsidRDefault="00CB58BD">
        <w:pPr>
          <w:pStyle w:val="Footer"/>
          <w:jc w:val="center"/>
        </w:pPr>
        <w:r>
          <w:fldChar w:fldCharType="begin"/>
        </w:r>
        <w:r>
          <w:instrText>PAGE   \* MERGEFORMAT</w:instrText>
        </w:r>
        <w:r>
          <w:fldChar w:fldCharType="separate"/>
        </w:r>
        <w:r w:rsidR="00AE42A4">
          <w:rPr>
            <w:noProof/>
          </w:rPr>
          <w:t>2</w:t>
        </w:r>
        <w:r>
          <w:fldChar w:fldCharType="end"/>
        </w:r>
      </w:p>
    </w:sdtContent>
  </w:sdt>
  <w:p w14:paraId="351556B7" w14:textId="77777777" w:rsidR="00CB58BD" w:rsidRDefault="00CB5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D4309" w14:textId="77777777" w:rsidR="00E52781" w:rsidRDefault="00E52781" w:rsidP="00DF44DF">
      <w:r>
        <w:separator/>
      </w:r>
    </w:p>
  </w:footnote>
  <w:footnote w:type="continuationSeparator" w:id="0">
    <w:p w14:paraId="3DC345EB" w14:textId="77777777" w:rsidR="00E52781" w:rsidRDefault="00E52781"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FA0C7" w14:textId="77777777" w:rsidR="00110BCA" w:rsidRDefault="00110BCA" w:rsidP="00110BCA">
    <w:pPr>
      <w:pStyle w:val="Jalus1"/>
      <w:jc w:val="center"/>
    </w:pPr>
  </w:p>
  <w:p w14:paraId="5477A22C" w14:textId="77777777" w:rsidR="00110BCA" w:rsidRDefault="00110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C5995"/>
    <w:multiLevelType w:val="hybridMultilevel"/>
    <w:tmpl w:val="46C439B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3CDF68A3"/>
    <w:multiLevelType w:val="hybridMultilevel"/>
    <w:tmpl w:val="C3B8FCA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15:restartNumberingAfterBreak="0">
    <w:nsid w:val="40832F89"/>
    <w:multiLevelType w:val="hybridMultilevel"/>
    <w:tmpl w:val="8500F9D8"/>
    <w:lvl w:ilvl="0" w:tplc="7B68BA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BA421B8"/>
    <w:multiLevelType w:val="hybridMultilevel"/>
    <w:tmpl w:val="65C6DA54"/>
    <w:lvl w:ilvl="0" w:tplc="865E665C">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4" w15:restartNumberingAfterBreak="0">
    <w:nsid w:val="4E002986"/>
    <w:multiLevelType w:val="hybridMultilevel"/>
    <w:tmpl w:val="7C66C7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51352700"/>
    <w:multiLevelType w:val="hybridMultilevel"/>
    <w:tmpl w:val="5D1A1582"/>
    <w:lvl w:ilvl="0" w:tplc="1812D106">
      <w:numFmt w:val="bullet"/>
      <w:lvlText w:val="-"/>
      <w:lvlJc w:val="left"/>
      <w:pPr>
        <w:ind w:left="720" w:hanging="360"/>
      </w:pPr>
      <w:rPr>
        <w:rFonts w:ascii="Calibri" w:eastAsia="Calibr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6" w15:restartNumberingAfterBreak="0">
    <w:nsid w:val="5D2B164B"/>
    <w:multiLevelType w:val="hybridMultilevel"/>
    <w:tmpl w:val="F6EC85BA"/>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626539338">
    <w:abstractNumId w:val="2"/>
  </w:num>
  <w:num w:numId="2" w16cid:durableId="861210883">
    <w:abstractNumId w:val="0"/>
  </w:num>
  <w:num w:numId="3" w16cid:durableId="314916993">
    <w:abstractNumId w:val="4"/>
  </w:num>
  <w:num w:numId="4" w16cid:durableId="1312054699">
    <w:abstractNumId w:val="3"/>
  </w:num>
  <w:num w:numId="5" w16cid:durableId="705909505">
    <w:abstractNumId w:val="5"/>
  </w:num>
  <w:num w:numId="6" w16cid:durableId="12949456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45966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4710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3E5"/>
    <w:rsid w:val="0001117B"/>
    <w:rsid w:val="00012641"/>
    <w:rsid w:val="0002784F"/>
    <w:rsid w:val="0004665A"/>
    <w:rsid w:val="00060947"/>
    <w:rsid w:val="00073127"/>
    <w:rsid w:val="00075245"/>
    <w:rsid w:val="00087A7D"/>
    <w:rsid w:val="000913FC"/>
    <w:rsid w:val="000A431C"/>
    <w:rsid w:val="000E4F8D"/>
    <w:rsid w:val="00104D9F"/>
    <w:rsid w:val="00110BCA"/>
    <w:rsid w:val="001225A7"/>
    <w:rsid w:val="00124999"/>
    <w:rsid w:val="00133352"/>
    <w:rsid w:val="00141C54"/>
    <w:rsid w:val="00147AD5"/>
    <w:rsid w:val="00160EB0"/>
    <w:rsid w:val="00185790"/>
    <w:rsid w:val="001A4222"/>
    <w:rsid w:val="001A7D04"/>
    <w:rsid w:val="001B4B25"/>
    <w:rsid w:val="001B684B"/>
    <w:rsid w:val="001D4CFB"/>
    <w:rsid w:val="001D6472"/>
    <w:rsid w:val="001E36B2"/>
    <w:rsid w:val="002008A2"/>
    <w:rsid w:val="00202509"/>
    <w:rsid w:val="002056BB"/>
    <w:rsid w:val="0022269C"/>
    <w:rsid w:val="00253887"/>
    <w:rsid w:val="0026456A"/>
    <w:rsid w:val="002835BB"/>
    <w:rsid w:val="00286A18"/>
    <w:rsid w:val="00293449"/>
    <w:rsid w:val="002A5E24"/>
    <w:rsid w:val="002C0103"/>
    <w:rsid w:val="002C5D6D"/>
    <w:rsid w:val="002D3156"/>
    <w:rsid w:val="002F254F"/>
    <w:rsid w:val="00315DE8"/>
    <w:rsid w:val="00354059"/>
    <w:rsid w:val="0035635F"/>
    <w:rsid w:val="00356F47"/>
    <w:rsid w:val="00392361"/>
    <w:rsid w:val="00394DCB"/>
    <w:rsid w:val="003B2A9C"/>
    <w:rsid w:val="003C0B01"/>
    <w:rsid w:val="003C1020"/>
    <w:rsid w:val="003D2BD9"/>
    <w:rsid w:val="0040134A"/>
    <w:rsid w:val="00414881"/>
    <w:rsid w:val="004213E5"/>
    <w:rsid w:val="00435A13"/>
    <w:rsid w:val="00435BB3"/>
    <w:rsid w:val="0044084D"/>
    <w:rsid w:val="00442B2D"/>
    <w:rsid w:val="00451023"/>
    <w:rsid w:val="00461DC4"/>
    <w:rsid w:val="00467F34"/>
    <w:rsid w:val="004A3512"/>
    <w:rsid w:val="004B7F85"/>
    <w:rsid w:val="004C1391"/>
    <w:rsid w:val="004D1D7C"/>
    <w:rsid w:val="004E0B3F"/>
    <w:rsid w:val="004E157B"/>
    <w:rsid w:val="00500DEF"/>
    <w:rsid w:val="0050252A"/>
    <w:rsid w:val="00510543"/>
    <w:rsid w:val="00512358"/>
    <w:rsid w:val="00513D66"/>
    <w:rsid w:val="0053325F"/>
    <w:rsid w:val="00546204"/>
    <w:rsid w:val="00551E24"/>
    <w:rsid w:val="00557534"/>
    <w:rsid w:val="00560A92"/>
    <w:rsid w:val="0056160C"/>
    <w:rsid w:val="00564569"/>
    <w:rsid w:val="00566D45"/>
    <w:rsid w:val="00573ABD"/>
    <w:rsid w:val="005755F9"/>
    <w:rsid w:val="005767A7"/>
    <w:rsid w:val="005A3977"/>
    <w:rsid w:val="005A3CFC"/>
    <w:rsid w:val="005B0482"/>
    <w:rsid w:val="005B11A2"/>
    <w:rsid w:val="005B3754"/>
    <w:rsid w:val="005B5CE1"/>
    <w:rsid w:val="005B5F4E"/>
    <w:rsid w:val="005C49A9"/>
    <w:rsid w:val="005D475D"/>
    <w:rsid w:val="005D4F25"/>
    <w:rsid w:val="005E3AED"/>
    <w:rsid w:val="005E45BB"/>
    <w:rsid w:val="005F4974"/>
    <w:rsid w:val="005F4EFC"/>
    <w:rsid w:val="00602834"/>
    <w:rsid w:val="00620F8D"/>
    <w:rsid w:val="00623905"/>
    <w:rsid w:val="00627A50"/>
    <w:rsid w:val="00680609"/>
    <w:rsid w:val="006E16BD"/>
    <w:rsid w:val="006F3BB9"/>
    <w:rsid w:val="006F72D7"/>
    <w:rsid w:val="007056E1"/>
    <w:rsid w:val="00713327"/>
    <w:rsid w:val="00737B33"/>
    <w:rsid w:val="00747BE9"/>
    <w:rsid w:val="0075695A"/>
    <w:rsid w:val="0076054B"/>
    <w:rsid w:val="00793A3C"/>
    <w:rsid w:val="007A13EA"/>
    <w:rsid w:val="007A1DE8"/>
    <w:rsid w:val="007B0206"/>
    <w:rsid w:val="007B0D12"/>
    <w:rsid w:val="007D54FC"/>
    <w:rsid w:val="007F3CD4"/>
    <w:rsid w:val="007F55B0"/>
    <w:rsid w:val="007F5D26"/>
    <w:rsid w:val="0081726E"/>
    <w:rsid w:val="008249DE"/>
    <w:rsid w:val="0083178E"/>
    <w:rsid w:val="00832352"/>
    <w:rsid w:val="00832F61"/>
    <w:rsid w:val="00835858"/>
    <w:rsid w:val="00851D0A"/>
    <w:rsid w:val="008919F2"/>
    <w:rsid w:val="008C4D4A"/>
    <w:rsid w:val="008D4634"/>
    <w:rsid w:val="008F0B50"/>
    <w:rsid w:val="0091786B"/>
    <w:rsid w:val="00926C4B"/>
    <w:rsid w:val="00932CDE"/>
    <w:rsid w:val="0093351A"/>
    <w:rsid w:val="009370A4"/>
    <w:rsid w:val="00940EFC"/>
    <w:rsid w:val="009709A8"/>
    <w:rsid w:val="009934A9"/>
    <w:rsid w:val="00994FD6"/>
    <w:rsid w:val="009A198F"/>
    <w:rsid w:val="009E7EAC"/>
    <w:rsid w:val="009E7F4A"/>
    <w:rsid w:val="009F6ADD"/>
    <w:rsid w:val="00A10E66"/>
    <w:rsid w:val="00A1244E"/>
    <w:rsid w:val="00A30829"/>
    <w:rsid w:val="00A708D7"/>
    <w:rsid w:val="00A82474"/>
    <w:rsid w:val="00AB11A5"/>
    <w:rsid w:val="00AB7842"/>
    <w:rsid w:val="00AD2EA7"/>
    <w:rsid w:val="00AD5CBA"/>
    <w:rsid w:val="00AE42A4"/>
    <w:rsid w:val="00B01D80"/>
    <w:rsid w:val="00B35551"/>
    <w:rsid w:val="00B5698E"/>
    <w:rsid w:val="00B57623"/>
    <w:rsid w:val="00B65A72"/>
    <w:rsid w:val="00BB7D29"/>
    <w:rsid w:val="00BC12C3"/>
    <w:rsid w:val="00BC1A62"/>
    <w:rsid w:val="00BC2FCC"/>
    <w:rsid w:val="00BD078E"/>
    <w:rsid w:val="00BD1BB9"/>
    <w:rsid w:val="00BD3CCF"/>
    <w:rsid w:val="00BE3769"/>
    <w:rsid w:val="00BE4485"/>
    <w:rsid w:val="00BF4D7C"/>
    <w:rsid w:val="00C10940"/>
    <w:rsid w:val="00C24F66"/>
    <w:rsid w:val="00C27B07"/>
    <w:rsid w:val="00C41FC5"/>
    <w:rsid w:val="00C5574F"/>
    <w:rsid w:val="00C83346"/>
    <w:rsid w:val="00C90E39"/>
    <w:rsid w:val="00CA3DEB"/>
    <w:rsid w:val="00CA583B"/>
    <w:rsid w:val="00CA5F0B"/>
    <w:rsid w:val="00CB00C5"/>
    <w:rsid w:val="00CB58BD"/>
    <w:rsid w:val="00CC022B"/>
    <w:rsid w:val="00CE34B8"/>
    <w:rsid w:val="00CF2B77"/>
    <w:rsid w:val="00CF4303"/>
    <w:rsid w:val="00CF56D1"/>
    <w:rsid w:val="00D03485"/>
    <w:rsid w:val="00D14341"/>
    <w:rsid w:val="00D40650"/>
    <w:rsid w:val="00D512FD"/>
    <w:rsid w:val="00D5435A"/>
    <w:rsid w:val="00D559F8"/>
    <w:rsid w:val="00D6691E"/>
    <w:rsid w:val="00D75AF2"/>
    <w:rsid w:val="00D8202D"/>
    <w:rsid w:val="00D82C2D"/>
    <w:rsid w:val="00DF44DF"/>
    <w:rsid w:val="00E023F6"/>
    <w:rsid w:val="00E03DBB"/>
    <w:rsid w:val="00E52781"/>
    <w:rsid w:val="00E76E07"/>
    <w:rsid w:val="00E956CF"/>
    <w:rsid w:val="00E96F60"/>
    <w:rsid w:val="00EB4727"/>
    <w:rsid w:val="00EC0637"/>
    <w:rsid w:val="00ED0738"/>
    <w:rsid w:val="00ED6DC6"/>
    <w:rsid w:val="00EF4062"/>
    <w:rsid w:val="00F25A4E"/>
    <w:rsid w:val="00F613F6"/>
    <w:rsid w:val="00F80064"/>
    <w:rsid w:val="00F92B53"/>
    <w:rsid w:val="00F9645B"/>
    <w:rsid w:val="00F9652D"/>
    <w:rsid w:val="00FB46F3"/>
    <w:rsid w:val="00FC4B7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oNotEmbedSmartTags/>
  <w:decimalSymbol w:val="."/>
  <w:listSeparator w:val=","/>
  <w14:docId w14:val="10782543"/>
  <w15:docId w15:val="{8EEDDAC4-98D1-4C04-B988-0B31E5B2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F60"/>
    <w:pPr>
      <w:widowControl w:val="0"/>
      <w:suppressAutoHyphens/>
      <w:spacing w:line="238" w:lineRule="exact"/>
      <w:jc w:val="both"/>
    </w:pPr>
    <w:rPr>
      <w:rFonts w:eastAsia="SimSun"/>
      <w:kern w:val="1"/>
      <w:sz w:val="24"/>
      <w:szCs w:val="24"/>
      <w:lang w:eastAsia="zh-CN" w:bidi="hi-IN"/>
    </w:rPr>
  </w:style>
  <w:style w:type="paragraph" w:styleId="Heading1">
    <w:name w:val="heading 1"/>
    <w:basedOn w:val="Normal"/>
    <w:next w:val="Normal"/>
    <w:link w:val="Heading1Char"/>
    <w:uiPriority w:val="9"/>
    <w:qFormat/>
    <w:rsid w:val="00356F47"/>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
    <w:name w:val="Pealkiri1"/>
    <w:autoRedefine/>
    <w:qFormat/>
    <w:rsid w:val="00D559F8"/>
    <w:pPr>
      <w:spacing w:after="560"/>
    </w:pPr>
    <w:rPr>
      <w:rFonts w:eastAsia="SimSun"/>
      <w:b/>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CF56D1"/>
    <w:pPr>
      <w:spacing w:before="840"/>
    </w:pPr>
    <w:rPr>
      <w:rFonts w:eastAsia="SimSun"/>
      <w:kern w:val="24"/>
      <w:sz w:val="24"/>
      <w:szCs w:val="24"/>
      <w:lang w:eastAsia="zh-CN" w:bidi="hi-IN"/>
    </w:rPr>
  </w:style>
  <w:style w:type="paragraph" w:customStyle="1" w:styleId="Liik">
    <w:name w:val="Liik"/>
    <w:autoRedefine/>
    <w:qFormat/>
    <w:rsid w:val="00141C54"/>
    <w:pPr>
      <w:jc w:val="right"/>
    </w:pPr>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paragraph" w:styleId="NormalWeb">
    <w:name w:val="Normal (Web)"/>
    <w:basedOn w:val="Normal"/>
    <w:uiPriority w:val="99"/>
    <w:semiHidden/>
    <w:unhideWhenUsed/>
    <w:rsid w:val="009F6ADD"/>
    <w:rPr>
      <w:rFonts w:cs="Mangal"/>
      <w:szCs w:val="21"/>
    </w:rPr>
  </w:style>
  <w:style w:type="paragraph" w:customStyle="1" w:styleId="Snum">
    <w:name w:val="Sõnum"/>
    <w:autoRedefine/>
    <w:qFormat/>
    <w:rsid w:val="00BE3769"/>
    <w:pPr>
      <w:jc w:val="right"/>
    </w:pPr>
    <w:rPr>
      <w:rFonts w:eastAsia="SimSun" w:cs="Mangal"/>
      <w:kern w:val="1"/>
      <w:sz w:val="24"/>
      <w:szCs w:val="24"/>
      <w:lang w:eastAsia="zh-CN" w:bidi="hi-IN"/>
    </w:rPr>
  </w:style>
  <w:style w:type="paragraph" w:styleId="ListParagraph">
    <w:name w:val="List Paragraph"/>
    <w:basedOn w:val="Normal"/>
    <w:uiPriority w:val="34"/>
    <w:qFormat/>
    <w:rsid w:val="00286A18"/>
    <w:pPr>
      <w:ind w:left="720"/>
      <w:contextualSpacing/>
    </w:pPr>
    <w:rPr>
      <w:rFonts w:cs="Mangal"/>
      <w:szCs w:val="21"/>
    </w:rPr>
  </w:style>
  <w:style w:type="paragraph" w:styleId="BodyText">
    <w:name w:val="Body Text"/>
    <w:basedOn w:val="Normal"/>
    <w:link w:val="BodyTextChar"/>
    <w:uiPriority w:val="99"/>
    <w:rsid w:val="00627A50"/>
    <w:pPr>
      <w:widowControl/>
      <w:suppressAutoHyphens w:val="0"/>
      <w:spacing w:line="240" w:lineRule="auto"/>
    </w:pPr>
    <w:rPr>
      <w:rFonts w:eastAsia="Times New Roman"/>
      <w:kern w:val="0"/>
      <w:szCs w:val="20"/>
      <w:lang w:eastAsia="en-US" w:bidi="ar-SA"/>
    </w:rPr>
  </w:style>
  <w:style w:type="character" w:customStyle="1" w:styleId="BodyTextChar">
    <w:name w:val="Body Text Char"/>
    <w:basedOn w:val="DefaultParagraphFont"/>
    <w:link w:val="BodyText"/>
    <w:uiPriority w:val="99"/>
    <w:rsid w:val="00627A50"/>
    <w:rPr>
      <w:sz w:val="24"/>
      <w:lang w:eastAsia="en-US"/>
    </w:rPr>
  </w:style>
  <w:style w:type="table" w:styleId="TableGrid">
    <w:name w:val="Table Grid"/>
    <w:basedOn w:val="TableNormal"/>
    <w:uiPriority w:val="59"/>
    <w:rsid w:val="00D5435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49A9"/>
    <w:pPr>
      <w:autoSpaceDE w:val="0"/>
      <w:autoSpaceDN w:val="0"/>
      <w:adjustRightInd w:val="0"/>
    </w:pPr>
    <w:rPr>
      <w:color w:val="000000"/>
      <w:sz w:val="24"/>
      <w:szCs w:val="24"/>
    </w:rPr>
  </w:style>
  <w:style w:type="paragraph" w:styleId="Revision">
    <w:name w:val="Revision"/>
    <w:hidden/>
    <w:uiPriority w:val="99"/>
    <w:semiHidden/>
    <w:rsid w:val="00A30829"/>
    <w:rPr>
      <w:rFonts w:eastAsia="SimSun" w:cs="Mangal"/>
      <w:kern w:val="1"/>
      <w:sz w:val="24"/>
      <w:szCs w:val="21"/>
      <w:lang w:eastAsia="zh-CN" w:bidi="hi-IN"/>
    </w:rPr>
  </w:style>
  <w:style w:type="character" w:styleId="CommentReference">
    <w:name w:val="annotation reference"/>
    <w:basedOn w:val="DefaultParagraphFont"/>
    <w:uiPriority w:val="99"/>
    <w:semiHidden/>
    <w:unhideWhenUsed/>
    <w:rsid w:val="00A30829"/>
    <w:rPr>
      <w:sz w:val="16"/>
      <w:szCs w:val="16"/>
    </w:rPr>
  </w:style>
  <w:style w:type="paragraph" w:styleId="CommentText">
    <w:name w:val="annotation text"/>
    <w:basedOn w:val="Normal"/>
    <w:link w:val="CommentTextChar"/>
    <w:uiPriority w:val="99"/>
    <w:unhideWhenUsed/>
    <w:rsid w:val="00A30829"/>
    <w:pPr>
      <w:spacing w:line="240" w:lineRule="auto"/>
    </w:pPr>
    <w:rPr>
      <w:rFonts w:cs="Mangal"/>
      <w:sz w:val="20"/>
      <w:szCs w:val="18"/>
    </w:rPr>
  </w:style>
  <w:style w:type="character" w:customStyle="1" w:styleId="CommentTextChar">
    <w:name w:val="Comment Text Char"/>
    <w:basedOn w:val="DefaultParagraphFont"/>
    <w:link w:val="CommentText"/>
    <w:uiPriority w:val="99"/>
    <w:rsid w:val="00A30829"/>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A30829"/>
    <w:rPr>
      <w:b/>
      <w:bCs/>
    </w:rPr>
  </w:style>
  <w:style w:type="character" w:customStyle="1" w:styleId="CommentSubjectChar">
    <w:name w:val="Comment Subject Char"/>
    <w:basedOn w:val="CommentTextChar"/>
    <w:link w:val="CommentSubject"/>
    <w:uiPriority w:val="99"/>
    <w:semiHidden/>
    <w:rsid w:val="00A30829"/>
    <w:rPr>
      <w:rFonts w:eastAsia="SimSun" w:cs="Mangal"/>
      <w:b/>
      <w:bCs/>
      <w:kern w:val="1"/>
      <w:szCs w:val="18"/>
      <w:lang w:eastAsia="zh-CN" w:bidi="hi-IN"/>
    </w:rPr>
  </w:style>
  <w:style w:type="character" w:customStyle="1" w:styleId="Heading1Char">
    <w:name w:val="Heading 1 Char"/>
    <w:basedOn w:val="DefaultParagraphFont"/>
    <w:link w:val="Heading1"/>
    <w:uiPriority w:val="9"/>
    <w:rsid w:val="00356F47"/>
    <w:rPr>
      <w:rFonts w:asciiTheme="majorHAnsi" w:eastAsiaTheme="majorEastAsia" w:hAnsiTheme="majorHAnsi" w:cs="Mangal"/>
      <w:color w:val="365F91" w:themeColor="accent1" w:themeShade="BF"/>
      <w:kern w:val="1"/>
      <w:sz w:val="32"/>
      <w:szCs w:val="29"/>
      <w:lang w:eastAsia="zh-CN" w:bidi="hi-IN"/>
    </w:rPr>
  </w:style>
  <w:style w:type="character" w:customStyle="1" w:styleId="tyhik">
    <w:name w:val="tyhik"/>
    <w:basedOn w:val="DefaultParagraphFont"/>
    <w:rsid w:val="00BC1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65107580">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371077205">
      <w:bodyDiv w:val="1"/>
      <w:marLeft w:val="0"/>
      <w:marRight w:val="0"/>
      <w:marTop w:val="0"/>
      <w:marBottom w:val="0"/>
      <w:divBdr>
        <w:top w:val="none" w:sz="0" w:space="0" w:color="auto"/>
        <w:left w:val="none" w:sz="0" w:space="0" w:color="auto"/>
        <w:bottom w:val="none" w:sz="0" w:space="0" w:color="auto"/>
        <w:right w:val="none" w:sz="0" w:space="0" w:color="auto"/>
      </w:divBdr>
    </w:div>
    <w:div w:id="570427215">
      <w:bodyDiv w:val="1"/>
      <w:marLeft w:val="0"/>
      <w:marRight w:val="0"/>
      <w:marTop w:val="0"/>
      <w:marBottom w:val="0"/>
      <w:divBdr>
        <w:top w:val="none" w:sz="0" w:space="0" w:color="auto"/>
        <w:left w:val="none" w:sz="0" w:space="0" w:color="auto"/>
        <w:bottom w:val="none" w:sz="0" w:space="0" w:color="auto"/>
        <w:right w:val="none" w:sz="0" w:space="0" w:color="auto"/>
      </w:divBdr>
    </w:div>
    <w:div w:id="636565018">
      <w:bodyDiv w:val="1"/>
      <w:marLeft w:val="0"/>
      <w:marRight w:val="0"/>
      <w:marTop w:val="0"/>
      <w:marBottom w:val="0"/>
      <w:divBdr>
        <w:top w:val="none" w:sz="0" w:space="0" w:color="auto"/>
        <w:left w:val="none" w:sz="0" w:space="0" w:color="auto"/>
        <w:bottom w:val="none" w:sz="0" w:space="0" w:color="auto"/>
        <w:right w:val="none" w:sz="0" w:space="0" w:color="auto"/>
      </w:divBdr>
    </w:div>
    <w:div w:id="820854845">
      <w:bodyDiv w:val="1"/>
      <w:marLeft w:val="0"/>
      <w:marRight w:val="0"/>
      <w:marTop w:val="0"/>
      <w:marBottom w:val="0"/>
      <w:divBdr>
        <w:top w:val="none" w:sz="0" w:space="0" w:color="auto"/>
        <w:left w:val="none" w:sz="0" w:space="0" w:color="auto"/>
        <w:bottom w:val="none" w:sz="0" w:space="0" w:color="auto"/>
        <w:right w:val="none" w:sz="0" w:space="0" w:color="auto"/>
      </w:divBdr>
    </w:div>
    <w:div w:id="875655845">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256479036">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416975558">
      <w:bodyDiv w:val="1"/>
      <w:marLeft w:val="0"/>
      <w:marRight w:val="0"/>
      <w:marTop w:val="0"/>
      <w:marBottom w:val="0"/>
      <w:divBdr>
        <w:top w:val="none" w:sz="0" w:space="0" w:color="auto"/>
        <w:left w:val="none" w:sz="0" w:space="0" w:color="auto"/>
        <w:bottom w:val="none" w:sz="0" w:space="0" w:color="auto"/>
        <w:right w:val="none" w:sz="0" w:space="0" w:color="auto"/>
      </w:divBdr>
    </w:div>
    <w:div w:id="1597245229">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729919777">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M_yldplank_TN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1BBCC50-1244-4C70-96AB-563E229FF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M_yldplank_TNR.dotx</Template>
  <TotalTime>1</TotalTime>
  <Pages>3</Pages>
  <Words>854</Words>
  <Characters>4959</Characters>
  <Application>Microsoft Office Word</Application>
  <DocSecurity>0</DocSecurity>
  <Lines>41</Lines>
  <Paragraphs>11</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Põllumajandusministeerium</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Gert Uiboaed</dc:creator>
  <cp:lastModifiedBy>Andres Heldring</cp:lastModifiedBy>
  <cp:revision>4</cp:revision>
  <cp:lastPrinted>2024-02-26T07:58:00Z</cp:lastPrinted>
  <dcterms:created xsi:type="dcterms:W3CDTF">2024-02-27T06:35:00Z</dcterms:created>
  <dcterms:modified xsi:type="dcterms:W3CDTF">2024-02-27T06:35:00Z</dcterms:modified>
</cp:coreProperties>
</file>