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REFERENCE JAXB in Oracle Java 11.0.10 on Linux -->
    <w:p>
      <w:pPr>
        <w:spacing w:after="180"/>
        <w:ind w:left="120"/>
        <w:jc w:val="left"/>
      </w:pPr>
    </w:p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Üldandmed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grupi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2025/90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 hindamise ID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4181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Tellimuse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21.02.2025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Natalja Rüütel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Hindamisaruande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19.03.2025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Väärtuse kuupäev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19.03.2025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Lähteülesande koostaja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Eva Männiste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seisund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Kinnitatud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nr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25-1024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viis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Otsustuskorras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Vara võõrandamine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Menetluse alaliik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Tasuta või alla hariliku väärtuse kohalikule omavalitsusele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Taotlemise eesmärk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Kinnisasja võõrandamine Narva-Jõesuu linnale riigivaraseaduse § 33 lõike 1 punkti 1 alusel kergtee, kergteeäärse tänavavalgustuse ja bussipaviljoni rajamiseks.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Hinnatav vara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valitseja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Majandus- ja Kommunikatsiooniministeerium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volitatud asutus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Maa- ja Ruumiamet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Riigivara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KV99673M1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RKVRi objekti kood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KV99673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Maakond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Ida-Viru maakond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Omavalitsus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Narva-Jõesuu linn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Asutusüksus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Vaivara küla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Lähiaadress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13143 Vaivara jaama tee T3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Katastriüksuse tunnus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51401:001:1040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Kinnistu registriosa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21551950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Sihtotstarve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TRANSPORDIMAA 100%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Pindala (m²)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Jääkmaksumus bilansis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Maksustamishind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Lisaandmed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139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Üldplaneeringu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Kehtivas Vaivara valla üldplaneeringus (kehtestatud Vaivara Vallavolikogu 26.08.2010 määrusega nr 11) asub kinnisasi väikeelamumaa juhtotstarbega maa-alal. Koostatavas Narva-Jõesuu linna üldplaneeringus on kinnisasjale planeeritud transpordi maa-ala.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Detailplaneeringu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Detailplaneering puudub.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Planeeringute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Parim kasutus transpordimaa.</w:t>
            </w:r>
          </w:p>
        </w:tc>
      </w:tr>
      <w:tr>
        <w:trPr>
          <w:trHeight w:val="58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Veehaarde sanitaarkaitseala/352.0, Tee avalik kasutus/1.0, Avalikult kasutatava tee kaitsevöönd/957.0, Uuringu ala/957.0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Kitsenduste mõju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Oluline mõju puudub.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Seotud lepingud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Lepingud puuduvad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Turuandmed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112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Aktiivse turu olemasolu hinnang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Hoonestamata maade müügiturg samas piirkonnas on keskmiselt aktiivne. Samas transpordimaa sihtotstarbega kinnisasjad on väheatraktiivsed ja nõudlus nende vastu puudub, aktiivne turg puudub.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Ülevaade sarnastest tehingutest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Ajavahemikul 01.01.2024-19.03.2025 on Narva-Jõesuu linna territooriumil toimunud 16 tehingut transpordimaaga, millest enamus ei olnud vabaturutehingud.</w:t>
            </w:r>
          </w:p>
        </w:tc>
      </w:tr>
      <w:tr>
        <w:trPr>
          <w:trHeight w:val="85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Sarnaste varade pakkumiste info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Piirkonna aktiivsema kinnisvara pakkumiste portaali kv.ee andmetel ei ole Narva-Jõesuu territooriumil pakkumisel ühtegi hoonestamata transpordimaa sihtotstarbega kinnisasja.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Hindamiskäik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193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Hindamiskäigu selgitus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Hinnatava vara parima kasutusena oleme käsitlenud tegelikku kasutust s.o kasutust transpordimaana. Arvestades sellega, et müügitehingute analüüsi tehingute pealt teha ei saa, oleme hariliku väärtuse hindamisel lähtunud riigivaraseaduse § 46 lg 2 punkti 1 ja Vabariigi Valitsuse 09.03.2023 kehtestatud määruse nr 22 „Kinnisasja erakorralise hindamise kord" § 12 lg 4 alusel maa maksustamishinnast.</w:t>
            </w:r>
          </w:p>
        </w:tc>
      </w:tr>
    </w:tbl>
    <w:p>
      <w:pPr>
        <w:pBdr>
          <w:top w:space="15"/>
        </w:pBdr>
        <w:spacing w:after="3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2"/>
        </w:rPr>
        <w:t>Hindamise tulemus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5453"/>
        <w:gridCol w:w="8181"/>
      </w:tblGrid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Harilik väärtus (€)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Hindamise märkused</w:t>
            </w:r>
          </w:p>
        </w:tc>
        <w:tc>
          <w:tcPr>
            <w:tcW w:w="818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Hindamistulemus ei sisalda käibemaksu.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