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5FF5293C" w14:textId="13B9767F" w:rsidR="006E0604" w:rsidRPr="001A6691" w:rsidRDefault="003D515B" w:rsidP="008B0C80">
      <w:pPr>
        <w:pStyle w:val="Heading1"/>
        <w:shd w:val="clear" w:color="auto" w:fill="FFFFFF" w:themeFill="background1"/>
        <w:jc w:val="center"/>
        <w:rPr>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B0C80">
        <w:rPr>
          <w:noProof/>
          <w:color w:val="000000"/>
          <w:szCs w:val="24"/>
        </w:rPr>
        <w:t>2022/3</w:t>
      </w:r>
      <w:r w:rsidR="00184869">
        <w:rPr>
          <w:noProof/>
          <w:color w:val="000000"/>
          <w:szCs w:val="24"/>
        </w:rPr>
        <w:t>0</w:t>
      </w:r>
      <w:r w:rsidR="002A087E">
        <w:rPr>
          <w:noProof/>
          <w:color w:val="000000"/>
          <w:szCs w:val="24"/>
        </w:rPr>
        <w:t>5</w:t>
      </w: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644489"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184869" w:rsidRPr="001A6691" w14:paraId="0FCE6165" w14:textId="77777777" w:rsidTr="00B22938">
        <w:tc>
          <w:tcPr>
            <w:tcW w:w="3700" w:type="dxa"/>
          </w:tcPr>
          <w:p w14:paraId="252A3CE6" w14:textId="4C427DEB" w:rsidR="00184869" w:rsidRPr="00DF353B" w:rsidRDefault="00801C3E" w:rsidP="00184869">
            <w:pPr>
              <w:rPr>
                <w:szCs w:val="24"/>
              </w:rPr>
            </w:pPr>
            <w:proofErr w:type="spellStart"/>
            <w:r w:rsidRPr="00801C3E">
              <w:t>Nelta</w:t>
            </w:r>
            <w:proofErr w:type="spellEnd"/>
            <w:r w:rsidRPr="00801C3E">
              <w:t xml:space="preserve"> </w:t>
            </w:r>
            <w:proofErr w:type="spellStart"/>
            <w:r w:rsidRPr="00801C3E">
              <w:t>Trade</w:t>
            </w:r>
            <w:proofErr w:type="spellEnd"/>
            <w:r w:rsidRPr="00801C3E">
              <w:t xml:space="preserve"> OÜ</w:t>
            </w:r>
          </w:p>
        </w:tc>
        <w:tc>
          <w:tcPr>
            <w:tcW w:w="3201" w:type="dxa"/>
          </w:tcPr>
          <w:p w14:paraId="5A8FBAEB" w14:textId="77777777" w:rsidR="00801C3E" w:rsidRDefault="00801C3E" w:rsidP="00184869">
            <w:r w:rsidRPr="00801C3E">
              <w:t>Registrikood 11608064</w:t>
            </w:r>
          </w:p>
          <w:p w14:paraId="1C2D1DE6" w14:textId="3B8A9C77" w:rsidR="00184869" w:rsidRPr="001A6691" w:rsidRDefault="00801C3E" w:rsidP="00184869">
            <w:pPr>
              <w:rPr>
                <w:szCs w:val="24"/>
              </w:rPr>
            </w:pPr>
            <w:r w:rsidRPr="00801C3E">
              <w:t xml:space="preserve">Harju maakond, Kiili vald, Kangru alevik, </w:t>
            </w:r>
            <w:proofErr w:type="spellStart"/>
            <w:r w:rsidRPr="00801C3E">
              <w:t>Kivila</w:t>
            </w:r>
            <w:proofErr w:type="spellEnd"/>
            <w:r w:rsidRPr="00801C3E">
              <w:t xml:space="preserve"> tn 3</w:t>
            </w:r>
          </w:p>
        </w:tc>
        <w:tc>
          <w:tcPr>
            <w:tcW w:w="2902" w:type="dxa"/>
          </w:tcPr>
          <w:p w14:paraId="4FC05F8D" w14:textId="41264C51" w:rsidR="00184869" w:rsidRPr="00B22938" w:rsidRDefault="00184869" w:rsidP="00184869">
            <w:pPr>
              <w:rPr>
                <w:szCs w:val="24"/>
              </w:rPr>
            </w:pPr>
            <w:r w:rsidRPr="00B22938">
              <w:rPr>
                <w:szCs w:val="24"/>
              </w:rPr>
              <w:t xml:space="preserve">Tel   </w:t>
            </w:r>
            <w:r w:rsidR="00F74F77">
              <w:rPr>
                <w:szCs w:val="24"/>
              </w:rPr>
              <w:t xml:space="preserve"> +372 53034780</w:t>
            </w:r>
          </w:p>
          <w:p w14:paraId="09E0CABD" w14:textId="65FDAC1A" w:rsidR="00184869" w:rsidRPr="001A6691" w:rsidRDefault="00184869" w:rsidP="00184869">
            <w:pPr>
              <w:rPr>
                <w:szCs w:val="24"/>
              </w:rPr>
            </w:pPr>
          </w:p>
        </w:tc>
      </w:tr>
      <w:tr w:rsidR="001A6691" w:rsidRPr="001A6691" w14:paraId="1D1490F0" w14:textId="77777777" w:rsidTr="00B22938">
        <w:tc>
          <w:tcPr>
            <w:tcW w:w="3700" w:type="dxa"/>
          </w:tcPr>
          <w:p w14:paraId="7B7B2406" w14:textId="05422B0D" w:rsidR="001A6691" w:rsidRPr="001A6691" w:rsidRDefault="008B0C80" w:rsidP="008B0C80">
            <w:pPr>
              <w:rPr>
                <w:szCs w:val="24"/>
              </w:rPr>
            </w:pPr>
            <w:r>
              <w:rPr>
                <w:bCs/>
                <w:szCs w:val="24"/>
              </w:rPr>
              <w:t>J</w:t>
            </w:r>
            <w:r w:rsidRPr="008033A3">
              <w:rPr>
                <w:bCs/>
                <w:szCs w:val="24"/>
              </w:rPr>
              <w:t xml:space="preserve">uhatuse liige </w:t>
            </w:r>
            <w:r w:rsidR="00801C3E" w:rsidRPr="00801C3E">
              <w:rPr>
                <w:bCs/>
                <w:szCs w:val="24"/>
              </w:rPr>
              <w:t xml:space="preserve">Eduard </w:t>
            </w:r>
            <w:proofErr w:type="spellStart"/>
            <w:r w:rsidR="00801C3E" w:rsidRPr="00801C3E">
              <w:rPr>
                <w:bCs/>
                <w:szCs w:val="24"/>
              </w:rPr>
              <w:t>Paulson</w:t>
            </w:r>
            <w:proofErr w:type="spellEnd"/>
          </w:p>
        </w:tc>
        <w:tc>
          <w:tcPr>
            <w:tcW w:w="3201" w:type="dxa"/>
          </w:tcPr>
          <w:p w14:paraId="3E21ED32" w14:textId="00AB8007" w:rsidR="001A6691" w:rsidRPr="00DF353B" w:rsidRDefault="00B22938" w:rsidP="001A6691">
            <w:pPr>
              <w:rPr>
                <w:szCs w:val="24"/>
              </w:rPr>
            </w:pPr>
            <w:r w:rsidRPr="00B22938">
              <w:rPr>
                <w:szCs w:val="24"/>
              </w:rPr>
              <w:t>3</w:t>
            </w:r>
            <w:r w:rsidR="00801C3E">
              <w:rPr>
                <w:szCs w:val="24"/>
              </w:rPr>
              <w:t>9612196822</w:t>
            </w:r>
          </w:p>
        </w:tc>
        <w:tc>
          <w:tcPr>
            <w:tcW w:w="2902" w:type="dxa"/>
          </w:tcPr>
          <w:p w14:paraId="36956A1C" w14:textId="038820E5" w:rsidR="001A6691" w:rsidRPr="00DF353B" w:rsidRDefault="00801C3E" w:rsidP="00DF353B">
            <w:pPr>
              <w:rPr>
                <w:szCs w:val="24"/>
              </w:rPr>
            </w:pPr>
            <w:hyperlink r:id="rId14" w:history="1">
              <w:r w:rsidRPr="0005704B">
                <w:rPr>
                  <w:rStyle w:val="Hyperlink"/>
                </w:rPr>
                <w:t>neltatrade@hot.ee</w:t>
              </w:r>
            </w:hyperlink>
            <w:r>
              <w:t xml:space="preserve"> </w:t>
            </w:r>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1BF7212D" w:rsidR="001A6691" w:rsidRPr="00DF353B" w:rsidRDefault="001A6691" w:rsidP="008B0C80">
            <w:pPr>
              <w:rPr>
                <w:szCs w:val="24"/>
              </w:rPr>
            </w:pPr>
            <w:r w:rsidRPr="00DF353B">
              <w:rPr>
                <w:szCs w:val="24"/>
              </w:rPr>
              <w:t xml:space="preserve">Esindusõigus tuleneb (volitamise alus): </w:t>
            </w:r>
            <w:r w:rsidR="008B0C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283E6667" w:rsidR="009E2AD7" w:rsidRDefault="009E2AD7" w:rsidP="00801C3E">
      <w:pPr>
        <w:pStyle w:val="ListParagraph"/>
        <w:numPr>
          <w:ilvl w:val="0"/>
          <w:numId w:val="18"/>
        </w:numPr>
        <w:jc w:val="both"/>
        <w:rPr>
          <w:szCs w:val="24"/>
        </w:rPr>
      </w:pPr>
      <w:r w:rsidRPr="00C63431">
        <w:rPr>
          <w:szCs w:val="24"/>
        </w:rPr>
        <w:t xml:space="preserve">Vastates RMK poolt avaldatud läbirääkimiste teatele, esitas </w:t>
      </w:r>
      <w:proofErr w:type="spellStart"/>
      <w:r w:rsidR="00801C3E" w:rsidRPr="00801C3E">
        <w:rPr>
          <w:bCs/>
          <w:szCs w:val="24"/>
        </w:rPr>
        <w:t>Nelta</w:t>
      </w:r>
      <w:proofErr w:type="spellEnd"/>
      <w:r w:rsidR="00801C3E" w:rsidRPr="00801C3E">
        <w:rPr>
          <w:bCs/>
          <w:szCs w:val="24"/>
        </w:rPr>
        <w:t xml:space="preserve"> </w:t>
      </w:r>
      <w:proofErr w:type="spellStart"/>
      <w:r w:rsidR="00801C3E" w:rsidRPr="00801C3E">
        <w:rPr>
          <w:bCs/>
          <w:szCs w:val="24"/>
        </w:rPr>
        <w:t>Trade</w:t>
      </w:r>
      <w:proofErr w:type="spellEnd"/>
      <w:r w:rsidR="00801C3E" w:rsidRPr="00801C3E">
        <w:rPr>
          <w:bCs/>
          <w:szCs w:val="24"/>
        </w:rPr>
        <w:t xml:space="preserve">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proofErr w:type="spellStart"/>
      <w:r w:rsidR="00801C3E" w:rsidRPr="00801C3E">
        <w:t>Nelta</w:t>
      </w:r>
      <w:proofErr w:type="spellEnd"/>
      <w:r w:rsidR="00801C3E" w:rsidRPr="00801C3E">
        <w:t xml:space="preserve"> </w:t>
      </w:r>
      <w:proofErr w:type="spellStart"/>
      <w:r w:rsidR="00801C3E" w:rsidRPr="00801C3E">
        <w:t>Trade</w:t>
      </w:r>
      <w:proofErr w:type="spellEnd"/>
      <w:r w:rsidR="00801C3E" w:rsidRPr="00801C3E">
        <w:t xml:space="preserve"> OÜ</w:t>
      </w:r>
      <w:r w:rsidR="008B0C80" w:rsidRPr="008B0C80">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lastRenderedPageBreak/>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486A4008"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 xml:space="preserve">on: </w:t>
      </w:r>
      <w:r w:rsidR="007F26E1">
        <w:rPr>
          <w:szCs w:val="24"/>
        </w:rPr>
        <w:t xml:space="preserve">DPU </w:t>
      </w:r>
      <w:r w:rsidR="00801C3E">
        <w:rPr>
          <w:szCs w:val="24"/>
        </w:rPr>
        <w:t>Meemaste</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430FA5BB" w:rsidR="006E0604" w:rsidRPr="00DF353B" w:rsidRDefault="00801C3E" w:rsidP="00F16363">
            <w:pPr>
              <w:shd w:val="clear" w:color="auto" w:fill="FFFFFF" w:themeFill="background1"/>
            </w:pPr>
            <w:r w:rsidRPr="00801C3E">
              <w:rPr>
                <w:szCs w:val="24"/>
              </w:rPr>
              <w:t>21 (kakskümmend üks)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48FD1762"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801C3E" w:rsidRPr="0005704B">
          <w:rPr>
            <w:rStyle w:val="Hyperlink"/>
          </w:rPr>
          <w:t>neltatrade@hot.ee</w:t>
        </w:r>
      </w:hyperlink>
      <w:r w:rsidR="00801C3E">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644489" w:rsidRPr="00816614" w14:paraId="57537315" w14:textId="77777777" w:rsidTr="005F6CA8">
        <w:tc>
          <w:tcPr>
            <w:tcW w:w="1388" w:type="pct"/>
            <w:shd w:val="clear" w:color="auto" w:fill="auto"/>
          </w:tcPr>
          <w:p w14:paraId="7C157E14" w14:textId="41B739B5" w:rsidR="00644489" w:rsidRPr="00F16363" w:rsidRDefault="00644489" w:rsidP="00644489">
            <w:pPr>
              <w:shd w:val="clear" w:color="auto" w:fill="FFFFFF" w:themeFill="background1"/>
              <w:jc w:val="both"/>
              <w:rPr>
                <w:bCs/>
                <w:szCs w:val="24"/>
              </w:rPr>
            </w:pPr>
            <w:r w:rsidRPr="00574CD6">
              <w:rPr>
                <w:bCs/>
                <w:szCs w:val="24"/>
              </w:rPr>
              <w:t>Katrin Võlli</w:t>
            </w:r>
          </w:p>
        </w:tc>
        <w:tc>
          <w:tcPr>
            <w:tcW w:w="1845" w:type="pct"/>
            <w:shd w:val="clear" w:color="auto" w:fill="auto"/>
          </w:tcPr>
          <w:p w14:paraId="5F92CC36" w14:textId="4EBA95EE" w:rsidR="00644489" w:rsidRPr="00F16363" w:rsidRDefault="00644489" w:rsidP="00644489">
            <w:pPr>
              <w:shd w:val="clear" w:color="auto" w:fill="FFFFFF" w:themeFill="background1"/>
              <w:jc w:val="both"/>
              <w:rPr>
                <w:bCs/>
                <w:szCs w:val="24"/>
              </w:rPr>
            </w:pPr>
            <w:r w:rsidRPr="00574CD6">
              <w:rPr>
                <w:bCs/>
                <w:szCs w:val="24"/>
              </w:rPr>
              <w:t>512 3633</w:t>
            </w:r>
          </w:p>
        </w:tc>
        <w:tc>
          <w:tcPr>
            <w:tcW w:w="1767" w:type="pct"/>
            <w:shd w:val="clear" w:color="auto" w:fill="auto"/>
          </w:tcPr>
          <w:p w14:paraId="1DB112B4" w14:textId="6C48DBB3" w:rsidR="00644489" w:rsidRPr="00F16363" w:rsidRDefault="00644489" w:rsidP="00644489">
            <w:pPr>
              <w:shd w:val="clear" w:color="auto" w:fill="FFFFFF" w:themeFill="background1"/>
              <w:jc w:val="both"/>
              <w:rPr>
                <w:bCs/>
                <w:szCs w:val="24"/>
              </w:rPr>
            </w:pPr>
            <w:hyperlink r:id="rId19" w:history="1">
              <w:r w:rsidRPr="00FD5595">
                <w:rPr>
                  <w:rStyle w:val="Hyperlink"/>
                  <w:bCs/>
                  <w:szCs w:val="24"/>
                </w:rPr>
                <w:t>aktid.kagu@rmk.ee</w:t>
              </w:r>
            </w:hyperlink>
          </w:p>
        </w:tc>
      </w:tr>
    </w:tbl>
    <w:p w14:paraId="317A5EF4" w14:textId="3E999068" w:rsidR="00816614" w:rsidRDefault="00816614" w:rsidP="004811F1">
      <w:pPr>
        <w:shd w:val="clear" w:color="auto" w:fill="FFFFFF" w:themeFill="background1"/>
        <w:jc w:val="both"/>
        <w:rPr>
          <w:bCs/>
          <w:szCs w:val="24"/>
        </w:rPr>
      </w:pPr>
    </w:p>
    <w:p w14:paraId="2090628F" w14:textId="0CA9B3C3" w:rsidR="00816614" w:rsidRPr="00816614" w:rsidRDefault="00816614" w:rsidP="00816614">
      <w:pPr>
        <w:shd w:val="clear" w:color="auto" w:fill="FFFFFF" w:themeFill="background1"/>
        <w:jc w:val="both"/>
        <w:rPr>
          <w:bCs/>
          <w:szCs w:val="24"/>
        </w:rPr>
      </w:pPr>
      <w:r w:rsidRPr="00816614">
        <w:rPr>
          <w:b/>
          <w:bCs/>
          <w:szCs w:val="24"/>
        </w:rPr>
        <w:t>10.</w:t>
      </w:r>
      <w:r>
        <w:rPr>
          <w:b/>
          <w:bCs/>
          <w:szCs w:val="24"/>
        </w:rPr>
        <w:t>2</w:t>
      </w:r>
      <w:r w:rsidRPr="00816614">
        <w:rPr>
          <w:bCs/>
          <w:szCs w:val="24"/>
        </w:rPr>
        <w:t>. Ostja poolne metsamaterjali vastuvõtmise korraldaja</w:t>
      </w:r>
      <w:r w:rsidR="00896D61">
        <w:rPr>
          <w:bCs/>
          <w:szCs w:val="24"/>
        </w:rPr>
        <w:t xml:space="preserve">, </w:t>
      </w:r>
      <w:r w:rsidR="00896D61" w:rsidRPr="00DA56B1">
        <w:rPr>
          <w:bCs/>
          <w:szCs w:val="24"/>
        </w:rPr>
        <w:t>metsamaterjali</w:t>
      </w:r>
      <w:r w:rsidR="00896D61">
        <w:rPr>
          <w:bCs/>
          <w:szCs w:val="24"/>
        </w:rPr>
        <w:t xml:space="preserve"> </w:t>
      </w:r>
      <w:r w:rsidR="00896D61" w:rsidRPr="00F16363">
        <w:rPr>
          <w:bCs/>
          <w:szCs w:val="24"/>
        </w:rPr>
        <w:t xml:space="preserve">mõõtmisraportite </w:t>
      </w:r>
      <w:proofErr w:type="spellStart"/>
      <w:r w:rsidR="00896D61" w:rsidRPr="00F16363">
        <w:rPr>
          <w:bCs/>
          <w:szCs w:val="24"/>
        </w:rPr>
        <w:t>edastaja</w:t>
      </w:r>
      <w:proofErr w:type="spellEnd"/>
      <w:r w:rsidR="00896D61" w:rsidRPr="00F16363">
        <w:rPr>
          <w:bCs/>
          <w:szCs w:val="24"/>
        </w:rPr>
        <w:t xml:space="preserve"> ja </w:t>
      </w:r>
      <w:r w:rsidR="00896D61" w:rsidRPr="00DA56B1">
        <w:rPr>
          <w:bCs/>
          <w:szCs w:val="24"/>
        </w:rPr>
        <w:t>üleandmise-vastuvõtmise vormistaja</w:t>
      </w:r>
      <w:r w:rsidR="00896D61" w:rsidRPr="00F16363">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886"/>
        <w:gridCol w:w="4569"/>
      </w:tblGrid>
      <w:tr w:rsidR="00816614" w:rsidRPr="00816614" w14:paraId="65EC83FB" w14:textId="77777777" w:rsidTr="00816614">
        <w:tc>
          <w:tcPr>
            <w:tcW w:w="1239" w:type="pct"/>
            <w:shd w:val="clear" w:color="auto" w:fill="auto"/>
          </w:tcPr>
          <w:p w14:paraId="5E21D5CC" w14:textId="77777777" w:rsidR="00816614" w:rsidRPr="00816614" w:rsidRDefault="00816614" w:rsidP="00816614">
            <w:pPr>
              <w:shd w:val="clear" w:color="auto" w:fill="FFFFFF" w:themeFill="background1"/>
              <w:jc w:val="both"/>
              <w:rPr>
                <w:bCs/>
                <w:szCs w:val="24"/>
              </w:rPr>
            </w:pPr>
            <w:r w:rsidRPr="00816614">
              <w:rPr>
                <w:bCs/>
                <w:szCs w:val="24"/>
              </w:rPr>
              <w:t>Nimi</w:t>
            </w:r>
          </w:p>
        </w:tc>
        <w:tc>
          <w:tcPr>
            <w:tcW w:w="1456" w:type="pct"/>
            <w:shd w:val="clear" w:color="auto" w:fill="auto"/>
          </w:tcPr>
          <w:p w14:paraId="2708541B" w14:textId="77777777" w:rsidR="00816614" w:rsidRPr="00816614" w:rsidRDefault="00816614" w:rsidP="00816614">
            <w:pPr>
              <w:shd w:val="clear" w:color="auto" w:fill="FFFFFF" w:themeFill="background1"/>
              <w:jc w:val="both"/>
              <w:rPr>
                <w:bCs/>
                <w:szCs w:val="24"/>
              </w:rPr>
            </w:pPr>
            <w:r w:rsidRPr="00816614">
              <w:rPr>
                <w:bCs/>
                <w:szCs w:val="24"/>
              </w:rPr>
              <w:t>Telefon</w:t>
            </w:r>
          </w:p>
        </w:tc>
        <w:tc>
          <w:tcPr>
            <w:tcW w:w="2305" w:type="pct"/>
            <w:shd w:val="clear" w:color="auto" w:fill="auto"/>
          </w:tcPr>
          <w:p w14:paraId="058F4F94" w14:textId="77777777" w:rsidR="00816614" w:rsidRPr="00816614" w:rsidRDefault="00816614" w:rsidP="00816614">
            <w:pPr>
              <w:shd w:val="clear" w:color="auto" w:fill="FFFFFF" w:themeFill="background1"/>
              <w:jc w:val="both"/>
              <w:rPr>
                <w:bCs/>
                <w:szCs w:val="24"/>
              </w:rPr>
            </w:pPr>
            <w:r w:rsidRPr="00816614">
              <w:rPr>
                <w:bCs/>
                <w:szCs w:val="24"/>
              </w:rPr>
              <w:t>e-post</w:t>
            </w:r>
          </w:p>
        </w:tc>
      </w:tr>
      <w:tr w:rsidR="00896D61" w:rsidRPr="00816614" w14:paraId="015AB7F7" w14:textId="77777777" w:rsidTr="00816614">
        <w:tc>
          <w:tcPr>
            <w:tcW w:w="1239" w:type="pct"/>
            <w:shd w:val="clear" w:color="auto" w:fill="auto"/>
          </w:tcPr>
          <w:p w14:paraId="3D901C42" w14:textId="7778B8C5" w:rsidR="00896D61" w:rsidRPr="00816614" w:rsidRDefault="00F74F77" w:rsidP="00896D61">
            <w:pPr>
              <w:shd w:val="clear" w:color="auto" w:fill="FFFFFF" w:themeFill="background1"/>
              <w:jc w:val="both"/>
              <w:rPr>
                <w:bCs/>
                <w:szCs w:val="24"/>
              </w:rPr>
            </w:pPr>
            <w:r w:rsidRPr="00801C3E">
              <w:rPr>
                <w:spacing w:val="0"/>
                <w:szCs w:val="24"/>
                <w:lang w:val="en-AU"/>
              </w:rPr>
              <w:t>Eduard Paulson</w:t>
            </w:r>
          </w:p>
        </w:tc>
        <w:tc>
          <w:tcPr>
            <w:tcW w:w="1456" w:type="pct"/>
            <w:shd w:val="clear" w:color="auto" w:fill="auto"/>
          </w:tcPr>
          <w:p w14:paraId="5E87B83E" w14:textId="0EA074E1" w:rsidR="00896D61" w:rsidRPr="00816614" w:rsidRDefault="00F74F77" w:rsidP="00896D61">
            <w:pPr>
              <w:shd w:val="clear" w:color="auto" w:fill="FFFFFF" w:themeFill="background1"/>
              <w:jc w:val="both"/>
              <w:rPr>
                <w:bCs/>
                <w:szCs w:val="24"/>
              </w:rPr>
            </w:pPr>
            <w:r>
              <w:rPr>
                <w:szCs w:val="24"/>
              </w:rPr>
              <w:t>+372 53034780</w:t>
            </w:r>
          </w:p>
        </w:tc>
        <w:tc>
          <w:tcPr>
            <w:tcW w:w="2305" w:type="pct"/>
            <w:shd w:val="clear" w:color="auto" w:fill="auto"/>
          </w:tcPr>
          <w:p w14:paraId="7004C086" w14:textId="05767ECA" w:rsidR="00896D61" w:rsidRPr="00816614" w:rsidRDefault="00F74F77" w:rsidP="00896D61">
            <w:pPr>
              <w:shd w:val="clear" w:color="auto" w:fill="FFFFFF" w:themeFill="background1"/>
              <w:jc w:val="both"/>
              <w:rPr>
                <w:bCs/>
                <w:szCs w:val="24"/>
              </w:rPr>
            </w:pPr>
            <w:hyperlink r:id="rId20" w:history="1">
              <w:r w:rsidRPr="0005704B">
                <w:rPr>
                  <w:rStyle w:val="Hyperlink"/>
                </w:rPr>
                <w:t>neltatrade@hot.ee</w:t>
              </w:r>
            </w:hyperlink>
            <w:r>
              <w:t xml:space="preserve"> </w:t>
            </w:r>
          </w:p>
        </w:tc>
      </w:tr>
    </w:tbl>
    <w:p w14:paraId="24225823" w14:textId="77777777" w:rsidR="00896D61" w:rsidRDefault="00896D61" w:rsidP="004811F1">
      <w:pPr>
        <w:shd w:val="clear" w:color="auto" w:fill="FFFFFF" w:themeFill="background1"/>
        <w:jc w:val="both"/>
        <w:rPr>
          <w:b/>
          <w:szCs w:val="24"/>
        </w:rPr>
      </w:pPr>
    </w:p>
    <w:p w14:paraId="1D99C775" w14:textId="7DB50233" w:rsidR="00F604E0" w:rsidRPr="00DA56B1" w:rsidRDefault="00896D61"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644489" w:rsidRPr="001A6691" w14:paraId="69C066B6" w14:textId="77777777" w:rsidTr="005F6CA8">
        <w:tc>
          <w:tcPr>
            <w:tcW w:w="1314" w:type="pct"/>
            <w:shd w:val="clear" w:color="auto" w:fill="auto"/>
          </w:tcPr>
          <w:p w14:paraId="72F4BBEE" w14:textId="31FE65FF" w:rsidR="00644489" w:rsidRPr="001A6691" w:rsidRDefault="00644489" w:rsidP="00644489">
            <w:pPr>
              <w:shd w:val="clear" w:color="auto" w:fill="FFFFFF" w:themeFill="background1"/>
              <w:jc w:val="both"/>
              <w:rPr>
                <w:szCs w:val="24"/>
              </w:rPr>
            </w:pPr>
            <w:r w:rsidRPr="002C48D5">
              <w:t>Andres Metjer</w:t>
            </w:r>
          </w:p>
        </w:tc>
        <w:tc>
          <w:tcPr>
            <w:tcW w:w="1461" w:type="pct"/>
            <w:shd w:val="clear" w:color="auto" w:fill="auto"/>
          </w:tcPr>
          <w:p w14:paraId="31DA8DAD" w14:textId="7E150E95" w:rsidR="00644489" w:rsidRPr="001A6691" w:rsidRDefault="00644489" w:rsidP="00644489">
            <w:pPr>
              <w:shd w:val="clear" w:color="auto" w:fill="FFFFFF" w:themeFill="background1"/>
              <w:jc w:val="both"/>
              <w:rPr>
                <w:szCs w:val="24"/>
              </w:rPr>
            </w:pPr>
            <w:r w:rsidRPr="002C48D5">
              <w:t>5216706</w:t>
            </w:r>
          </w:p>
        </w:tc>
        <w:tc>
          <w:tcPr>
            <w:tcW w:w="2225" w:type="pct"/>
            <w:shd w:val="clear" w:color="auto" w:fill="auto"/>
          </w:tcPr>
          <w:p w14:paraId="2879F533" w14:textId="65B749E4" w:rsidR="00644489" w:rsidRPr="001A6691" w:rsidRDefault="00644489" w:rsidP="00644489">
            <w:pPr>
              <w:shd w:val="clear" w:color="auto" w:fill="FFFFFF" w:themeFill="background1"/>
              <w:jc w:val="both"/>
              <w:rPr>
                <w:color w:val="0000FF"/>
                <w:szCs w:val="24"/>
              </w:rPr>
            </w:pPr>
            <w:hyperlink r:id="rId21" w:history="1">
              <w:r w:rsidRPr="0005704B">
                <w:rPr>
                  <w:rStyle w:val="Hyperlink"/>
                </w:rPr>
                <w:t>andres.metjer@rmk.ee</w:t>
              </w:r>
            </w:hyperlink>
            <w:r>
              <w:t xml:space="preserve"> </w:t>
            </w:r>
            <w:bookmarkStart w:id="9" w:name="_GoBack"/>
            <w:bookmarkEnd w:id="9"/>
            <w:r w:rsidRPr="002C48D5">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8F4AD9C" w:rsidR="006E0604" w:rsidRPr="00DA56B1" w:rsidRDefault="00896D61"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lastRenderedPageBreak/>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644489"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644489"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0199D7DF" w:rsidR="00DA56B1" w:rsidRPr="00366BEF" w:rsidRDefault="00801C3E" w:rsidP="006F5ABD">
            <w:pPr>
              <w:tabs>
                <w:tab w:val="left" w:pos="4320"/>
              </w:tabs>
              <w:rPr>
                <w:spacing w:val="0"/>
                <w:szCs w:val="24"/>
              </w:rPr>
            </w:pPr>
            <w:r w:rsidRPr="00801C3E">
              <w:rPr>
                <w:spacing w:val="0"/>
                <w:szCs w:val="24"/>
                <w:lang w:val="en-AU"/>
              </w:rPr>
              <w:t>Eduard Paulson</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7746" w14:textId="77777777" w:rsidR="00B24F7E" w:rsidRDefault="00B24F7E">
      <w:r>
        <w:separator/>
      </w:r>
    </w:p>
  </w:endnote>
  <w:endnote w:type="continuationSeparator" w:id="0">
    <w:p w14:paraId="56F2D048" w14:textId="77777777" w:rsidR="00B24F7E" w:rsidRDefault="00B2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2997C" w14:textId="77777777" w:rsidR="00B24F7E" w:rsidRDefault="00B24F7E">
      <w:r>
        <w:separator/>
      </w:r>
    </w:p>
  </w:footnote>
  <w:footnote w:type="continuationSeparator" w:id="0">
    <w:p w14:paraId="2C65F893" w14:textId="77777777" w:rsidR="00B24F7E" w:rsidRDefault="00B2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86A9D"/>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8B6"/>
    <w:rsid w:val="00144962"/>
    <w:rsid w:val="00145CD1"/>
    <w:rsid w:val="001633AF"/>
    <w:rsid w:val="00167630"/>
    <w:rsid w:val="00170B55"/>
    <w:rsid w:val="00170DA8"/>
    <w:rsid w:val="00173173"/>
    <w:rsid w:val="0017538A"/>
    <w:rsid w:val="00180E8D"/>
    <w:rsid w:val="00182E53"/>
    <w:rsid w:val="00184869"/>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371"/>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87E"/>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274D8"/>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2D4B"/>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4489"/>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26E1"/>
    <w:rsid w:val="007F56A2"/>
    <w:rsid w:val="00800BB1"/>
    <w:rsid w:val="00801C3E"/>
    <w:rsid w:val="008128C4"/>
    <w:rsid w:val="0081661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6D61"/>
    <w:rsid w:val="008A07A3"/>
    <w:rsid w:val="008A277E"/>
    <w:rsid w:val="008A73CF"/>
    <w:rsid w:val="008A7CCC"/>
    <w:rsid w:val="008B0C80"/>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2938"/>
    <w:rsid w:val="00B24F7E"/>
    <w:rsid w:val="00B256C6"/>
    <w:rsid w:val="00B315A6"/>
    <w:rsid w:val="00B31C6F"/>
    <w:rsid w:val="00B32283"/>
    <w:rsid w:val="00B34093"/>
    <w:rsid w:val="00B343FA"/>
    <w:rsid w:val="00B3581B"/>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2AA2"/>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0B50"/>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8605C"/>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25E0"/>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74F77"/>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neltatrade@hot.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neltatrade@ho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ltatrade@hot.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2C2CE2"/>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63885"/>
    <w:rsid w:val="00DA1630"/>
    <w:rsid w:val="00EE3CEA"/>
    <w:rsid w:val="00F60CB2"/>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F0A3-1DC3-4AB1-BBDF-21D115E3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9</TotalTime>
  <Pages>6</Pages>
  <Words>1642</Words>
  <Characters>13219</Characters>
  <Application>Microsoft Office Word</Application>
  <DocSecurity>0</DocSecurity>
  <Lines>110</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2023-01-11T13:57:00Z</dcterms:created>
  <dcterms:modified xsi:type="dcterms:W3CDTF">2023-01-11T14:07:00Z</dcterms:modified>
  <cp:contentStatus/>
</cp:coreProperties>
</file>