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1"/>
      </w:tblGrid>
      <w:tr w14:paraId="61676448" w14:textId="77777777" w:rsidTr="00C9197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92"/>
          <w:jc w:val="center"/>
        </w:trPr>
        <w:tc>
          <w:tcPr>
            <w:tcW w:w="9061" w:type="dxa"/>
          </w:tcPr>
          <w:p w:rsidR="004178CE" w:rsidP="00D122DC" w14:paraId="61676447" w14:textId="77777777">
            <w:pPr>
              <w:jc w:val="center"/>
            </w:pPr>
            <w:r>
              <w:rPr>
                <w:noProof/>
                <w:lang w:eastAsia="lv-LV"/>
              </w:rPr>
              <w:drawing>
                <wp:anchor distT="0" distB="0" distL="114300" distR="114300" simplePos="0" relativeHeight="251658240" behindDoc="1" locked="0" layoutInCell="1" allowOverlap="1">
                  <wp:simplePos x="0" y="0"/>
                  <wp:positionH relativeFrom="column">
                    <wp:posOffset>-9525</wp:posOffset>
                  </wp:positionH>
                  <wp:positionV relativeFrom="paragraph">
                    <wp:posOffset>23495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14:paraId="6167644B" w14:textId="77777777" w:rsidTr="00C91971">
        <w:tblPrEx>
          <w:tblW w:w="0" w:type="auto"/>
          <w:jc w:val="center"/>
          <w:tblLook w:val="04A0"/>
        </w:tblPrEx>
        <w:trPr>
          <w:trHeight w:val="305"/>
          <w:jc w:val="center"/>
        </w:trPr>
        <w:tc>
          <w:tcPr>
            <w:tcW w:w="9061" w:type="dxa"/>
            <w:tcBorders>
              <w:bottom w:val="single" w:sz="4" w:space="0" w:color="auto"/>
            </w:tcBorders>
          </w:tcPr>
          <w:p w:rsidR="004178CE" w:rsidRPr="00AC78C2" w:rsidP="00C91971" w14:paraId="6167644A" w14:textId="4603783B">
            <w:pPr>
              <w:spacing w:line="194" w:lineRule="exact"/>
              <w:ind w:left="20" w:right="-45"/>
              <w:jc w:val="center"/>
            </w:pPr>
            <w:r w:rsidRPr="00AC78C2">
              <w:rPr>
                <w:rFonts w:ascii="Times New Roman" w:eastAsia="Times New Roman" w:hAnsi="Times New Roman"/>
                <w:i/>
                <w:color w:val="231F20"/>
                <w:spacing w:val="-11"/>
                <w:sz w:val="18"/>
                <w:szCs w:val="18"/>
              </w:rPr>
              <w:t>State Fire and Rescue Service of the Republic of Latvia</w:t>
            </w:r>
          </w:p>
        </w:tc>
      </w:tr>
      <w:tr w14:paraId="6F5D65D9" w14:textId="77777777" w:rsidTr="00D122DC">
        <w:tblPrEx>
          <w:tblW w:w="0" w:type="auto"/>
          <w:jc w:val="center"/>
          <w:tblLook w:val="04A0"/>
        </w:tblPrEx>
        <w:trPr>
          <w:trHeight w:val="693"/>
          <w:jc w:val="center"/>
        </w:trPr>
        <w:tc>
          <w:tcPr>
            <w:tcW w:w="9061" w:type="dxa"/>
            <w:tcBorders>
              <w:top w:val="single" w:sz="4" w:space="0" w:color="auto"/>
            </w:tcBorders>
          </w:tcPr>
          <w:p w:rsidR="00C91971" w:rsidRPr="00AC78C2" w:rsidP="00C91971" w14:paraId="45462437" w14:textId="491A6338">
            <w:pPr>
              <w:spacing w:line="194" w:lineRule="exact"/>
              <w:ind w:left="20" w:right="-45"/>
              <w:jc w:val="center"/>
              <w:rPr>
                <w:rFonts w:ascii="Times New Roman" w:eastAsia="Times New Roman" w:hAnsi="Times New Roman"/>
                <w:sz w:val="17"/>
                <w:szCs w:val="17"/>
              </w:rPr>
            </w:pPr>
            <w:r w:rsidRPr="00AC78C2">
              <w:rPr>
                <w:rFonts w:ascii="Times New Roman" w:eastAsia="Times New Roman" w:hAnsi="Times New Roman"/>
                <w:color w:val="231F20"/>
                <w:sz w:val="17"/>
                <w:szCs w:val="17"/>
                <w:lang w:val="pt-BR"/>
              </w:rPr>
              <w:t>Talejas iela 1, Rīga, LV – 1026</w:t>
            </w:r>
            <w:r w:rsidR="00D8156E">
              <w:rPr>
                <w:rFonts w:ascii="Times New Roman" w:eastAsia="Times New Roman" w:hAnsi="Times New Roman"/>
                <w:color w:val="231F20"/>
                <w:sz w:val="17"/>
                <w:szCs w:val="17"/>
                <w:lang w:val="pt-BR"/>
              </w:rPr>
              <w:t>, Latvia</w:t>
            </w:r>
            <w:r w:rsidRPr="00AC78C2">
              <w:rPr>
                <w:rFonts w:ascii="Times New Roman" w:eastAsia="Times New Roman" w:hAnsi="Times New Roman"/>
                <w:color w:val="231F20"/>
                <w:sz w:val="17"/>
                <w:szCs w:val="17"/>
                <w:lang w:val="pt-BR"/>
              </w:rPr>
              <w:t xml:space="preserve">; </w:t>
            </w:r>
            <w:r w:rsidRPr="00AC78C2" w:rsidR="00154A7A">
              <w:rPr>
                <w:rFonts w:ascii="Times New Roman" w:eastAsia="Times New Roman" w:hAnsi="Times New Roman"/>
                <w:color w:val="231F20"/>
                <w:sz w:val="17"/>
                <w:szCs w:val="17"/>
                <w:lang w:val="pt-BR"/>
              </w:rPr>
              <w:t xml:space="preserve">phone +371 </w:t>
            </w:r>
            <w:r w:rsidRPr="00AC78C2">
              <w:rPr>
                <w:rFonts w:ascii="Times New Roman" w:eastAsia="Times New Roman" w:hAnsi="Times New Roman"/>
                <w:color w:val="231F20"/>
                <w:sz w:val="17"/>
                <w:szCs w:val="17"/>
              </w:rPr>
              <w:t xml:space="preserve">67075824; </w:t>
            </w:r>
            <w:r w:rsidRPr="00AC78C2" w:rsidR="00154A7A">
              <w:rPr>
                <w:rFonts w:ascii="Times New Roman" w:eastAsia="Times New Roman" w:hAnsi="Times New Roman"/>
                <w:color w:val="231F20"/>
                <w:sz w:val="17"/>
                <w:szCs w:val="17"/>
                <w:lang w:val="pt-BR"/>
              </w:rPr>
              <w:t>e-mail</w:t>
            </w:r>
            <w:r w:rsidRPr="00AC78C2">
              <w:rPr>
                <w:rFonts w:ascii="Times New Roman" w:eastAsia="Times New Roman" w:hAnsi="Times New Roman"/>
                <w:color w:val="231F20"/>
                <w:sz w:val="17"/>
                <w:szCs w:val="17"/>
              </w:rPr>
              <w:t>: pasts@vugd.gov.lv; www.vugd.gov.lv</w:t>
            </w:r>
          </w:p>
          <w:p w:rsidR="00C91971" w:rsidRPr="00AC78C2" w:rsidP="003433AD" w14:paraId="4E856AC2" w14:textId="77777777">
            <w:pPr>
              <w:spacing w:line="194" w:lineRule="exact"/>
              <w:ind w:left="20" w:right="-45"/>
              <w:jc w:val="center"/>
              <w:rPr>
                <w:rFonts w:ascii="Times New Roman" w:eastAsia="Times New Roman" w:hAnsi="Times New Roman"/>
                <w:color w:val="231F20"/>
                <w:sz w:val="17"/>
                <w:szCs w:val="17"/>
                <w:lang w:val="pt-BR"/>
              </w:rPr>
            </w:pPr>
          </w:p>
        </w:tc>
      </w:tr>
    </w:tbl>
    <w:p w:rsidR="004178CE" w:rsidRPr="00C91971" w:rsidP="00017B17" w14:paraId="6167644D" w14:textId="2DF13687">
      <w:pPr>
        <w:pStyle w:val="Footer"/>
        <w:tabs>
          <w:tab w:val="clear" w:pos="4320"/>
          <w:tab w:val="clear" w:pos="8640"/>
        </w:tabs>
        <w:ind w:right="-25"/>
        <w:jc w:val="center"/>
        <w:rPr>
          <w:rFonts w:ascii="Times New Roman" w:hAnsi="Times New Roman"/>
          <w:sz w:val="28"/>
          <w:szCs w:val="28"/>
          <w:lang w:val="lv-LV"/>
        </w:rPr>
      </w:pPr>
      <w:r w:rsidRPr="00C91971">
        <w:rPr>
          <w:rFonts w:ascii="Times New Roman" w:hAnsi="Times New Roman"/>
          <w:sz w:val="28"/>
          <w:szCs w:val="28"/>
          <w:lang w:val="lv-LV"/>
        </w:rPr>
        <w:t>Riga</w:t>
      </w:r>
    </w:p>
    <w:p w:rsidR="004178CE" w:rsidRPr="00B869D0" w:rsidP="004178CE" w14:paraId="61676454" w14:textId="77777777">
      <w:pPr>
        <w:pStyle w:val="Footer"/>
        <w:tabs>
          <w:tab w:val="clear" w:pos="4320"/>
          <w:tab w:val="clear" w:pos="8640"/>
        </w:tabs>
        <w:jc w:val="center"/>
        <w:rPr>
          <w:rFonts w:ascii="Times New Roman" w:hAnsi="Times New Roman"/>
          <w:sz w:val="20"/>
          <w:szCs w:val="20"/>
          <w:lang w:val="lv-LV"/>
        </w:rPr>
      </w:pPr>
    </w:p>
    <w:p w:rsidR="00AA2295" w:rsidP="00446314" w14:paraId="3CCBE785" w14:textId="77777777">
      <w:pPr>
        <w:pStyle w:val="Footer"/>
        <w:tabs>
          <w:tab w:val="clear" w:pos="8640"/>
        </w:tabs>
        <w:rPr>
          <w:rFonts w:ascii="Times New Roman" w:hAnsi="Times New Roman"/>
          <w:color w:val="000000"/>
          <w:sz w:val="28"/>
          <w:szCs w:val="28"/>
        </w:rPr>
      </w:pPr>
    </w:p>
    <w:tbl>
      <w:tblPr>
        <w:tblW w:w="9075" w:type="dxa"/>
        <w:tblLayout w:type="fixed"/>
        <w:tblLook w:val="04A0"/>
      </w:tblPr>
      <w:tblGrid>
        <w:gridCol w:w="5105"/>
        <w:gridCol w:w="3970"/>
      </w:tblGrid>
      <w:tr w14:paraId="7B07E15E" w14:textId="77777777" w:rsidTr="007D2E1D">
        <w:tblPrEx>
          <w:tblW w:w="9075" w:type="dxa"/>
          <w:tblLayout w:type="fixed"/>
          <w:tblLook w:val="04A0"/>
        </w:tblPrEx>
        <w:tc>
          <w:tcPr>
            <w:tcW w:w="5105" w:type="dxa"/>
            <w:shd w:val="clear" w:color="auto" w:fill="auto"/>
            <w:hideMark/>
          </w:tcPr>
          <w:bookmarkStart w:id="0" w:name="_Hlk71628256"/>
          <w:bookmarkStart w:id="1" w:name="_Hlk71628801"/>
          <w:p w:rsidR="00AA2295" w:rsidRPr="00163E88" w:rsidP="00AA2295" w14:paraId="58AFD6CC" w14:textId="4FFDF9BA">
            <w:pPr>
              <w:tabs>
                <w:tab w:val="right" w:pos="9071"/>
              </w:tabs>
              <w:spacing w:after="0" w:line="240" w:lineRule="auto"/>
              <w:rPr>
                <w:rFonts w:ascii="Times New Roman" w:hAnsi="Times New Roman"/>
                <w:sz w:val="28"/>
                <w:szCs w:val="28"/>
              </w:rPr>
            </w:pPr>
            <w:r w:rsidRPr="00EF1329">
              <w:rPr>
                <w:rFonts w:ascii="Times New Roman" w:hAnsi="Times New Roman"/>
                <w:noProof/>
                <w:sz w:val="28"/>
                <w:szCs w:val="28"/>
              </w:rPr>
              <w:t>10.02.2025</w:t>
            </w:r>
            <w:r w:rsidRPr="00EF1329">
              <w:rPr>
                <w:rFonts w:ascii="Times New Roman" w:hAnsi="Times New Roman"/>
                <w:sz w:val="28"/>
                <w:szCs w:val="28"/>
              </w:rPr>
              <w:t xml:space="preserve">. Nr. </w:t>
            </w:r>
            <w:r w:rsidRPr="00EF1329">
              <w:rPr>
                <w:rFonts w:ascii="Times New Roman" w:hAnsi="Times New Roman"/>
                <w:noProof/>
                <w:sz w:val="28"/>
                <w:szCs w:val="28"/>
              </w:rPr>
              <w:t>22-1.28/270</w:t>
            </w:r>
          </w:p>
        </w:tc>
        <w:tc>
          <w:tcPr>
            <w:tcW w:w="3970" w:type="dxa"/>
            <w:vMerge w:val="restart"/>
            <w:shd w:val="clear" w:color="auto" w:fill="auto"/>
            <w:hideMark/>
          </w:tcPr>
          <w:p w:rsidR="00AA2295" w:rsidRPr="00AC78C2" w:rsidP="00AA2295" w14:paraId="0864C6C6" w14:textId="3E7CDCF3">
            <w:pPr>
              <w:tabs>
                <w:tab w:val="right" w:pos="9071"/>
              </w:tabs>
              <w:spacing w:after="0" w:line="240" w:lineRule="auto"/>
              <w:jc w:val="right"/>
              <w:rPr>
                <w:rFonts w:ascii="Times New Roman" w:hAnsi="Times New Roman"/>
                <w:sz w:val="28"/>
                <w:szCs w:val="28"/>
              </w:rPr>
            </w:pPr>
            <w:r w:rsidRPr="00AC78C2">
              <w:rPr>
                <w:rFonts w:ascii="Times New Roman" w:hAnsi="Times New Roman"/>
                <w:noProof/>
                <w:sz w:val="28"/>
                <w:szCs w:val="28"/>
              </w:rPr>
              <w:t xml:space="preserve">Estonian Rescue Board </w:t>
            </w:r>
          </w:p>
          <w:p w:rsidR="00AA2295" w:rsidRPr="00163E88" w:rsidP="00AA2295" w14:paraId="79E5AC17" w14:textId="11BAC49D">
            <w:pPr>
              <w:tabs>
                <w:tab w:val="right" w:pos="9071"/>
              </w:tabs>
              <w:spacing w:after="0" w:line="240" w:lineRule="auto"/>
              <w:jc w:val="right"/>
              <w:rPr>
                <w:rFonts w:ascii="Times New Roman" w:hAnsi="Times New Roman"/>
                <w:sz w:val="28"/>
                <w:szCs w:val="28"/>
              </w:rPr>
            </w:pPr>
            <w:r w:rsidRPr="00AC78C2">
              <w:rPr>
                <w:rFonts w:ascii="Times New Roman" w:hAnsi="Times New Roman"/>
                <w:noProof/>
                <w:sz w:val="28"/>
                <w:szCs w:val="28"/>
              </w:rPr>
              <w:t>rescue@rescue.ee</w:t>
            </w:r>
          </w:p>
        </w:tc>
      </w:tr>
      <w:tr w14:paraId="6D63C28A" w14:textId="77777777" w:rsidTr="007D2E1D">
        <w:tblPrEx>
          <w:tblW w:w="9075" w:type="dxa"/>
          <w:tblLayout w:type="fixed"/>
          <w:tblLook w:val="04A0"/>
        </w:tblPrEx>
        <w:tc>
          <w:tcPr>
            <w:tcW w:w="5105" w:type="dxa"/>
            <w:shd w:val="clear" w:color="auto" w:fill="auto"/>
            <w:hideMark/>
          </w:tcPr>
          <w:p w:rsidR="00AA2295" w:rsidRPr="00163E88" w:rsidP="00AA2295" w14:paraId="785DCC74" w14:textId="3BEA1639">
            <w:pPr>
              <w:spacing w:after="0" w:line="240" w:lineRule="auto"/>
              <w:rPr>
                <w:rFonts w:ascii="Times New Roman" w:hAnsi="Times New Roman"/>
                <w:sz w:val="28"/>
                <w:szCs w:val="28"/>
              </w:rPr>
            </w:pPr>
            <w:bookmarkStart w:id="2" w:name="_GoBack"/>
            <w:bookmarkEnd w:id="2"/>
          </w:p>
        </w:tc>
        <w:tc>
          <w:tcPr>
            <w:tcW w:w="3970" w:type="dxa"/>
            <w:vMerge/>
            <w:shd w:val="clear" w:color="auto" w:fill="auto"/>
            <w:vAlign w:val="center"/>
            <w:hideMark/>
          </w:tcPr>
          <w:p w:rsidR="00AA2295" w:rsidRPr="00163E88" w:rsidP="00AA2295" w14:paraId="41798157" w14:textId="77777777">
            <w:pPr>
              <w:spacing w:after="0" w:line="240" w:lineRule="auto"/>
              <w:rPr>
                <w:rFonts w:ascii="Times New Roman" w:hAnsi="Times New Roman"/>
                <w:sz w:val="28"/>
                <w:szCs w:val="28"/>
              </w:rPr>
            </w:pPr>
          </w:p>
        </w:tc>
      </w:tr>
      <w:bookmarkEnd w:id="0"/>
      <w:bookmarkEnd w:id="1"/>
    </w:tbl>
    <w:p w:rsidR="00AA2295" w:rsidP="00446314" w14:paraId="536AE6D8" w14:textId="77777777">
      <w:pPr>
        <w:pStyle w:val="Footer"/>
        <w:tabs>
          <w:tab w:val="clear" w:pos="8640"/>
        </w:tabs>
        <w:rPr>
          <w:rFonts w:ascii="Times New Roman" w:hAnsi="Times New Roman"/>
          <w:color w:val="000000"/>
          <w:sz w:val="28"/>
          <w:szCs w:val="28"/>
        </w:rPr>
      </w:pPr>
    </w:p>
    <w:p w:rsidR="00D6013E" w:rsidRPr="00A0682A" w:rsidP="00D6013E" w14:paraId="7ACF5D69" w14:textId="77777777">
      <w:pPr>
        <w:spacing w:after="120" w:line="240" w:lineRule="auto"/>
        <w:jc w:val="both"/>
        <w:rPr>
          <w:rFonts w:ascii="Times New Roman" w:hAnsi="Times New Roman"/>
          <w:sz w:val="28"/>
          <w:szCs w:val="28"/>
          <w:lang w:val="en-US"/>
        </w:rPr>
      </w:pPr>
      <w:r>
        <w:rPr>
          <w:rFonts w:ascii="Times New Roman" w:hAnsi="Times New Roman"/>
          <w:sz w:val="28"/>
          <w:szCs w:val="28"/>
          <w:lang w:val="en-US"/>
        </w:rPr>
        <w:t>In response</w:t>
      </w:r>
      <w:r w:rsidRPr="00A0682A">
        <w:rPr>
          <w:rFonts w:ascii="Times New Roman" w:hAnsi="Times New Roman"/>
          <w:sz w:val="28"/>
          <w:szCs w:val="28"/>
          <w:lang w:val="en-US"/>
        </w:rPr>
        <w:t xml:space="preserve"> to your request </w:t>
      </w:r>
      <w:r>
        <w:rPr>
          <w:rFonts w:ascii="Times New Roman" w:hAnsi="Times New Roman"/>
          <w:sz w:val="28"/>
          <w:szCs w:val="28"/>
          <w:lang w:val="en-US"/>
        </w:rPr>
        <w:t>for</w:t>
      </w:r>
      <w:r w:rsidRPr="00A0682A">
        <w:rPr>
          <w:rFonts w:ascii="Times New Roman" w:hAnsi="Times New Roman"/>
          <w:sz w:val="28"/>
          <w:szCs w:val="28"/>
          <w:lang w:val="en-US"/>
        </w:rPr>
        <w:t xml:space="preserve"> explanation o</w:t>
      </w:r>
      <w:r>
        <w:rPr>
          <w:rFonts w:ascii="Times New Roman" w:hAnsi="Times New Roman"/>
          <w:sz w:val="28"/>
          <w:szCs w:val="28"/>
          <w:lang w:val="en-US"/>
        </w:rPr>
        <w:t>n</w:t>
      </w:r>
      <w:r w:rsidRPr="00A0682A">
        <w:rPr>
          <w:rFonts w:ascii="Times New Roman" w:hAnsi="Times New Roman"/>
          <w:sz w:val="28"/>
          <w:szCs w:val="28"/>
          <w:lang w:val="en-US"/>
        </w:rPr>
        <w:t xml:space="preserve"> </w:t>
      </w:r>
      <w:r>
        <w:rPr>
          <w:rFonts w:ascii="Times New Roman" w:hAnsi="Times New Roman"/>
          <w:sz w:val="28"/>
          <w:szCs w:val="28"/>
          <w:lang w:val="en-US"/>
        </w:rPr>
        <w:t xml:space="preserve">the </w:t>
      </w:r>
      <w:r w:rsidRPr="00A0682A">
        <w:rPr>
          <w:rFonts w:ascii="Times New Roman" w:hAnsi="Times New Roman"/>
          <w:sz w:val="28"/>
          <w:szCs w:val="28"/>
          <w:lang w:val="en-US"/>
        </w:rPr>
        <w:t xml:space="preserve">repayment of 1 673,12 EUR of FORMATEX23 project second payment, State Fire and Rescue Service of Latvia </w:t>
      </w:r>
      <w:r>
        <w:rPr>
          <w:rFonts w:ascii="Times New Roman" w:hAnsi="Times New Roman"/>
          <w:sz w:val="28"/>
          <w:szCs w:val="28"/>
          <w:lang w:val="en-US"/>
        </w:rPr>
        <w:t>hereby inform</w:t>
      </w:r>
      <w:r w:rsidRPr="00A0682A">
        <w:rPr>
          <w:rFonts w:ascii="Times New Roman" w:hAnsi="Times New Roman"/>
          <w:sz w:val="28"/>
          <w:szCs w:val="28"/>
          <w:lang w:val="en-US"/>
        </w:rPr>
        <w:t xml:space="preserve"> that all eligible costs are listed in the Annex 1 of the Agreement concluded between Estonian Rescue Board, State Fire and Rescue Service of Latvia and Fire and Rescue Department under the Ministry of the Interior of the Republic of Lithuania (Project 101048497 - FORMATEX23). </w:t>
      </w:r>
      <w:r>
        <w:rPr>
          <w:rFonts w:ascii="Times New Roman" w:hAnsi="Times New Roman"/>
          <w:sz w:val="28"/>
          <w:szCs w:val="28"/>
          <w:lang w:val="en-US"/>
        </w:rPr>
        <w:t xml:space="preserve">According to the Article 3.10. of the Agreement, costs </w:t>
      </w:r>
      <w:r w:rsidRPr="00A0682A">
        <w:rPr>
          <w:rFonts w:ascii="Times New Roman" w:hAnsi="Times New Roman"/>
          <w:color w:val="000000"/>
          <w:sz w:val="28"/>
          <w:szCs w:val="28"/>
          <w:lang w:val="en-US"/>
        </w:rPr>
        <w:t xml:space="preserve">may vary according to the actual costs provided that the total sum for reimbursement does not exceed the figure mentioned in the p. 3.3. This article is supplemented with the conditions of Article 3.11 setting out that </w:t>
      </w:r>
      <w:r w:rsidRPr="00A0682A">
        <w:rPr>
          <w:rFonts w:ascii="Times New Roman" w:eastAsia="Calibri" w:hAnsi="Times New Roman" w:cs="Times New Roman"/>
          <w:color w:val="000000"/>
          <w:sz w:val="28"/>
          <w:szCs w:val="28"/>
          <w:lang w:val="en-US"/>
        </w:rPr>
        <w:t xml:space="preserve">all project related costs must be finalized latest on 31.12.2023, followed by reporting period (up to 60 days) and final payment shall be made 90 days from receiving periodic report. </w:t>
      </w:r>
      <w:r w:rsidRPr="00A0682A">
        <w:rPr>
          <w:rFonts w:ascii="Times New Roman" w:hAnsi="Times New Roman"/>
          <w:color w:val="000000"/>
          <w:sz w:val="28"/>
          <w:szCs w:val="28"/>
          <w:lang w:val="en-US"/>
        </w:rPr>
        <w:t>It means that we are reporting our actual costs</w:t>
      </w:r>
      <w:r>
        <w:rPr>
          <w:rFonts w:ascii="Times New Roman" w:hAnsi="Times New Roman"/>
          <w:color w:val="000000"/>
          <w:sz w:val="28"/>
          <w:szCs w:val="28"/>
          <w:lang w:val="en-US"/>
        </w:rPr>
        <w:t xml:space="preserve"> which may also be lower than indicated in the Agreement.</w:t>
      </w:r>
      <w:r w:rsidRPr="00A0682A">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Legislation of Latvia provides that we can report only costs listed in the Agreement and paid from the account of exercise by 31.12.2023. </w:t>
      </w:r>
    </w:p>
    <w:p w:rsidR="00D6013E" w:rsidRPr="00F2498E" w:rsidP="00D6013E" w14:paraId="003F7385" w14:textId="77777777">
      <w:pPr>
        <w:tabs>
          <w:tab w:val="center" w:pos="4320"/>
          <w:tab w:val="right" w:pos="8640"/>
        </w:tabs>
        <w:spacing w:after="0" w:line="240" w:lineRule="auto"/>
        <w:jc w:val="both"/>
        <w:rPr>
          <w:rFonts w:ascii="Times New Roman" w:hAnsi="Times New Roman"/>
          <w:bCs/>
          <w:sz w:val="28"/>
          <w:szCs w:val="28"/>
          <w:lang w:val="en-GB"/>
        </w:rPr>
      </w:pPr>
      <w:r w:rsidRPr="00F2498E">
        <w:rPr>
          <w:rFonts w:ascii="Times New Roman" w:hAnsi="Times New Roman"/>
          <w:bCs/>
          <w:sz w:val="28"/>
          <w:szCs w:val="28"/>
          <w:lang w:val="en-GB"/>
        </w:rPr>
        <w:t xml:space="preserve">On 5 February, 2024 the State Fire and Rescue Service of Latvia sent you the FORMATEX report where all actual eligible costs were listed and as amount of second payment was indicated 1 371,88 EUR. Therefor it is not feasible for the State Fire and Rescue Service to use whole amount of second payment received from the Estonian Rescue Board and we repaid you remaining </w:t>
      </w:r>
      <w:r w:rsidRPr="00F2498E">
        <w:rPr>
          <w:rFonts w:ascii="Times New Roman" w:hAnsi="Times New Roman"/>
          <w:bCs/>
          <w:sz w:val="28"/>
          <w:szCs w:val="28"/>
          <w:lang w:val="en-US"/>
        </w:rPr>
        <w:t xml:space="preserve">1 673,12 EUR of Second payment on 28.12.2024. </w:t>
      </w:r>
      <w:r w:rsidRPr="00340E24">
        <w:rPr>
          <w:rFonts w:ascii="Times New Roman" w:hAnsi="Times New Roman"/>
          <w:bCs/>
          <w:sz w:val="28"/>
          <w:szCs w:val="28"/>
          <w:lang w:val="en-US"/>
        </w:rPr>
        <w:t>Please be free to use the reimbursed amount for expenditures elig</w:t>
      </w:r>
      <w:r>
        <w:rPr>
          <w:rFonts w:ascii="Times New Roman" w:hAnsi="Times New Roman"/>
          <w:bCs/>
          <w:sz w:val="28"/>
          <w:szCs w:val="28"/>
          <w:lang w:val="en-US"/>
        </w:rPr>
        <w:t>ible of the project activities.</w:t>
      </w:r>
    </w:p>
    <w:p w:rsidR="00010854" w:rsidP="00446314" w14:paraId="0F35898C" w14:textId="77777777">
      <w:pPr>
        <w:pStyle w:val="Footer"/>
        <w:tabs>
          <w:tab w:val="clear" w:pos="8640"/>
        </w:tabs>
        <w:ind w:firstLine="851"/>
        <w:rPr>
          <w:rFonts w:ascii="Times New Roman" w:hAnsi="Times New Roman"/>
          <w:sz w:val="28"/>
          <w:szCs w:val="28"/>
          <w:lang w:val="lv-LV"/>
        </w:rPr>
      </w:pPr>
    </w:p>
    <w:p w:rsidR="008B694B" w:rsidP="00446314" w14:paraId="5B799D92" w14:textId="119C745A">
      <w:pPr>
        <w:pStyle w:val="Footer"/>
        <w:tabs>
          <w:tab w:val="clear" w:pos="8640"/>
        </w:tabs>
        <w:ind w:firstLine="851"/>
        <w:rPr>
          <w:rFonts w:ascii="Times New Roman" w:hAnsi="Times New Roman"/>
          <w:sz w:val="28"/>
          <w:szCs w:val="28"/>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68DE0305" w14:textId="77777777" w:rsidTr="003336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B30E9" w:rsidRPr="00C13F8C" w:rsidP="003336EE" w14:paraId="35398DD2" w14:textId="05E416E1">
            <w:pPr>
              <w:ind w:left="-105"/>
              <w:contextualSpacing/>
              <w:rPr>
                <w:rFonts w:ascii="Times New Roman" w:hAnsi="Times New Roman"/>
                <w:sz w:val="28"/>
                <w:szCs w:val="24"/>
                <w:lang w:eastAsia="lv-LV"/>
              </w:rPr>
            </w:pPr>
            <w:r>
              <w:rPr>
                <w:rFonts w:ascii="Times New Roman" w:hAnsi="Times New Roman"/>
                <w:sz w:val="28"/>
                <w:szCs w:val="24"/>
                <w:lang w:eastAsia="lv-LV"/>
              </w:rPr>
              <w:t>Chief</w:t>
            </w:r>
          </w:p>
          <w:p w:rsidR="008B30E9" w:rsidP="003336EE" w14:paraId="7C027672" w14:textId="773F8DA7">
            <w:pPr>
              <w:pStyle w:val="Footer"/>
              <w:tabs>
                <w:tab w:val="clear" w:pos="8640"/>
              </w:tabs>
              <w:ind w:left="-105"/>
              <w:rPr>
                <w:rFonts w:ascii="Times New Roman" w:hAnsi="Times New Roman"/>
                <w:sz w:val="28"/>
                <w:szCs w:val="28"/>
                <w:lang w:val="lv-LV"/>
              </w:rPr>
            </w:pPr>
            <w:r>
              <w:rPr>
                <w:rFonts w:ascii="Times New Roman" w:hAnsi="Times New Roman"/>
                <w:sz w:val="28"/>
                <w:szCs w:val="24"/>
                <w:lang w:eastAsia="lv-LV"/>
              </w:rPr>
              <w:t>Colonel</w:t>
            </w:r>
          </w:p>
        </w:tc>
        <w:tc>
          <w:tcPr>
            <w:tcW w:w="4531" w:type="dxa"/>
          </w:tcPr>
          <w:p w:rsidR="008B30E9" w:rsidP="003336EE" w14:paraId="0586E65C" w14:textId="77777777">
            <w:pPr>
              <w:tabs>
                <w:tab w:val="left" w:pos="7635"/>
              </w:tabs>
              <w:contextualSpacing/>
              <w:jc w:val="right"/>
              <w:rPr>
                <w:rFonts w:ascii="Times New Roman" w:hAnsi="Times New Roman"/>
                <w:noProof/>
                <w:sz w:val="28"/>
              </w:rPr>
            </w:pPr>
          </w:p>
          <w:p w:rsidR="008B30E9" w:rsidP="003336EE" w14:paraId="233FFD1D" w14:textId="77777777">
            <w:pPr>
              <w:pStyle w:val="Footer"/>
              <w:tabs>
                <w:tab w:val="clear" w:pos="8640"/>
              </w:tabs>
              <w:jc w:val="right"/>
              <w:rPr>
                <w:rFonts w:ascii="Times New Roman" w:hAnsi="Times New Roman"/>
                <w:sz w:val="28"/>
                <w:szCs w:val="28"/>
                <w:lang w:val="lv-LV"/>
              </w:rPr>
            </w:pPr>
            <w:r w:rsidRPr="00B75A47">
              <w:rPr>
                <w:rFonts w:ascii="Times New Roman" w:hAnsi="Times New Roman"/>
                <w:noProof/>
                <w:sz w:val="28"/>
              </w:rPr>
              <w:t>Mārtiņš Baltmanis</w:t>
            </w:r>
          </w:p>
        </w:tc>
      </w:tr>
    </w:tbl>
    <w:p w:rsidR="00446314" w:rsidP="00446314" w14:paraId="15F6A564" w14:textId="6540C07F">
      <w:pPr>
        <w:spacing w:after="0" w:line="240" w:lineRule="auto"/>
        <w:contextualSpacing/>
        <w:jc w:val="both"/>
        <w:rPr>
          <w:rFonts w:ascii="Times New Roman" w:hAnsi="Times New Roman"/>
          <w:sz w:val="24"/>
          <w:szCs w:val="24"/>
          <w:lang w:eastAsia="lv-LV"/>
        </w:rPr>
      </w:pPr>
    </w:p>
    <w:p w:rsidR="00446314" w:rsidRPr="0038211D" w:rsidP="00446314" w14:paraId="3233AEBE" w14:textId="77777777">
      <w:pPr>
        <w:spacing w:after="0" w:line="240" w:lineRule="auto"/>
        <w:contextualSpacing/>
        <w:jc w:val="both"/>
        <w:rPr>
          <w:rFonts w:ascii="Times New Roman" w:hAnsi="Times New Roman"/>
          <w:sz w:val="24"/>
          <w:szCs w:val="24"/>
          <w:lang w:eastAsia="lv-LV"/>
        </w:rPr>
      </w:pPr>
    </w:p>
    <w:p w:rsidR="00AC78C2" w:rsidRPr="00D27470" w:rsidP="00AC78C2" w14:paraId="308E2A66" w14:textId="77777777">
      <w:pPr>
        <w:pStyle w:val="Footer"/>
        <w:rPr>
          <w:rFonts w:ascii="Times New Roman" w:hAnsi="Times New Roman"/>
          <w:sz w:val="20"/>
          <w:szCs w:val="24"/>
          <w:lang w:val="lv-LV"/>
        </w:rPr>
      </w:pPr>
      <w:r w:rsidRPr="00D27470">
        <w:rPr>
          <w:rFonts w:ascii="Times New Roman" w:hAnsi="Times New Roman"/>
          <w:noProof/>
          <w:sz w:val="20"/>
          <w:szCs w:val="24"/>
          <w:lang w:val="lv-LV"/>
        </w:rPr>
        <w:t>Ramona Lamberte</w:t>
      </w:r>
      <w:r w:rsidRPr="00D27470">
        <w:rPr>
          <w:rFonts w:ascii="Times New Roman" w:hAnsi="Times New Roman"/>
          <w:sz w:val="20"/>
          <w:szCs w:val="24"/>
          <w:lang w:val="lv-LV"/>
        </w:rPr>
        <w:t xml:space="preserve"> </w:t>
      </w:r>
      <w:r w:rsidRPr="00D27470">
        <w:rPr>
          <w:rFonts w:ascii="Times New Roman" w:hAnsi="Times New Roman"/>
          <w:noProof/>
          <w:sz w:val="20"/>
          <w:szCs w:val="24"/>
          <w:lang w:val="lv-LV"/>
        </w:rPr>
        <w:t>67075910</w:t>
      </w:r>
    </w:p>
    <w:p w:rsidR="00C959F6" w:rsidRPr="00AC78C2" w:rsidP="00AC78C2" w14:paraId="61676478" w14:textId="6AA08FDC">
      <w:pPr>
        <w:spacing w:line="240" w:lineRule="auto"/>
        <w:rPr>
          <w:rFonts w:ascii="Times New Roman" w:hAnsi="Times New Roman"/>
          <w:sz w:val="20"/>
          <w:szCs w:val="24"/>
        </w:rPr>
      </w:pPr>
      <w:r w:rsidRPr="00D27470">
        <w:rPr>
          <w:rFonts w:ascii="Times New Roman" w:hAnsi="Times New Roman"/>
          <w:noProof/>
          <w:sz w:val="20"/>
          <w:szCs w:val="24"/>
        </w:rPr>
        <w:t>ramona.lamberte@vugd.gov.lv</w:t>
      </w:r>
    </w:p>
    <w:sectPr w:rsidSect="004648DC">
      <w:headerReference w:type="default" r:id="rId5"/>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highlight w:val="yellow"/>
      </w:rPr>
      <w:id w:val="988739102"/>
      <w:docPartObj>
        <w:docPartGallery w:val="Page Numbers (Top of Page)"/>
        <w:docPartUnique/>
      </w:docPartObj>
    </w:sdtPr>
    <w:sdtEndPr>
      <w:rPr>
        <w:rFonts w:ascii="Times New Roman" w:hAnsi="Times New Roman" w:cs="Times New Roman"/>
        <w:sz w:val="24"/>
        <w:szCs w:val="20"/>
        <w:highlight w:val="none"/>
      </w:rPr>
    </w:sdtEndPr>
    <w:sdtContent>
      <w:p w:rsidR="00CB71D6" w:rsidRPr="008B694B" w:rsidP="00514E0B" w14:paraId="6167647B" w14:textId="5AE82F0D">
        <w:pPr>
          <w:pStyle w:val="Header"/>
          <w:jc w:val="center"/>
          <w:rPr>
            <w:rFonts w:ascii="Times New Roman" w:hAnsi="Times New Roman" w:cs="Times New Roman"/>
            <w:sz w:val="24"/>
            <w:szCs w:val="20"/>
          </w:rPr>
        </w:pPr>
        <w:r w:rsidRPr="008B694B">
          <w:rPr>
            <w:rFonts w:ascii="Times New Roman" w:hAnsi="Times New Roman" w:cs="Times New Roman"/>
            <w:sz w:val="24"/>
            <w:szCs w:val="20"/>
          </w:rPr>
          <w:fldChar w:fldCharType="begin"/>
        </w:r>
        <w:r w:rsidRPr="008B694B">
          <w:rPr>
            <w:rFonts w:ascii="Times New Roman" w:hAnsi="Times New Roman" w:cs="Times New Roman"/>
            <w:sz w:val="24"/>
            <w:szCs w:val="20"/>
          </w:rPr>
          <w:instrText>PAGE   \* MERGEFORMAT</w:instrText>
        </w:r>
        <w:r w:rsidRPr="008B694B">
          <w:rPr>
            <w:rFonts w:ascii="Times New Roman" w:hAnsi="Times New Roman" w:cs="Times New Roman"/>
            <w:sz w:val="24"/>
            <w:szCs w:val="20"/>
          </w:rPr>
          <w:fldChar w:fldCharType="separate"/>
        </w:r>
        <w:r>
          <w:rPr>
            <w:rFonts w:ascii="Times New Roman" w:hAnsi="Times New Roman" w:cs="Times New Roman"/>
            <w:noProof/>
            <w:sz w:val="24"/>
            <w:szCs w:val="20"/>
          </w:rPr>
          <w:t>2</w:t>
        </w:r>
        <w:r w:rsidRPr="008B694B">
          <w:rPr>
            <w:rFonts w:ascii="Times New Roman" w:hAnsi="Times New Roman" w:cs="Times New Roman"/>
            <w:sz w:val="24"/>
            <w:szCs w:val="20"/>
          </w:rPr>
          <w:fldChar w:fldCharType="end"/>
        </w:r>
      </w:p>
    </w:sdtContent>
  </w:sdt>
  <w:p w:rsidR="00CB71D6" w:rsidRPr="00514E0B" w:rsidP="00514E0B" w14:paraId="6167647C" w14:textId="77777777">
    <w:pPr>
      <w:pStyle w:val="Header"/>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CE"/>
    <w:rsid w:val="00010854"/>
    <w:rsid w:val="00017B17"/>
    <w:rsid w:val="00054319"/>
    <w:rsid w:val="00056B6A"/>
    <w:rsid w:val="000B19E9"/>
    <w:rsid w:val="000E7FFC"/>
    <w:rsid w:val="000F14BD"/>
    <w:rsid w:val="000F4C62"/>
    <w:rsid w:val="00154A7A"/>
    <w:rsid w:val="00163E88"/>
    <w:rsid w:val="00212970"/>
    <w:rsid w:val="002C79BF"/>
    <w:rsid w:val="00331EEE"/>
    <w:rsid w:val="003336EE"/>
    <w:rsid w:val="00335A1D"/>
    <w:rsid w:val="00340E24"/>
    <w:rsid w:val="003422DA"/>
    <w:rsid w:val="003433AD"/>
    <w:rsid w:val="0038211D"/>
    <w:rsid w:val="003950AF"/>
    <w:rsid w:val="004178CE"/>
    <w:rsid w:val="00446314"/>
    <w:rsid w:val="004648DC"/>
    <w:rsid w:val="00490A4D"/>
    <w:rsid w:val="004A1647"/>
    <w:rsid w:val="004F2109"/>
    <w:rsid w:val="005109DC"/>
    <w:rsid w:val="00514E0B"/>
    <w:rsid w:val="00536AFB"/>
    <w:rsid w:val="0056653A"/>
    <w:rsid w:val="0057032F"/>
    <w:rsid w:val="00582A03"/>
    <w:rsid w:val="005F77D0"/>
    <w:rsid w:val="00612041"/>
    <w:rsid w:val="00621944"/>
    <w:rsid w:val="00654910"/>
    <w:rsid w:val="006669C8"/>
    <w:rsid w:val="006A5618"/>
    <w:rsid w:val="006D7F07"/>
    <w:rsid w:val="00716488"/>
    <w:rsid w:val="00742CA2"/>
    <w:rsid w:val="007649D2"/>
    <w:rsid w:val="007E5E16"/>
    <w:rsid w:val="008404EC"/>
    <w:rsid w:val="00854167"/>
    <w:rsid w:val="008B30E9"/>
    <w:rsid w:val="008B694B"/>
    <w:rsid w:val="009243A2"/>
    <w:rsid w:val="00927B84"/>
    <w:rsid w:val="00981730"/>
    <w:rsid w:val="00A0682A"/>
    <w:rsid w:val="00A071B3"/>
    <w:rsid w:val="00A63D6C"/>
    <w:rsid w:val="00AA2295"/>
    <w:rsid w:val="00AC78C2"/>
    <w:rsid w:val="00B06044"/>
    <w:rsid w:val="00B75A47"/>
    <w:rsid w:val="00B869D0"/>
    <w:rsid w:val="00BA6B1E"/>
    <w:rsid w:val="00BD2096"/>
    <w:rsid w:val="00C13F8C"/>
    <w:rsid w:val="00C72A91"/>
    <w:rsid w:val="00C91971"/>
    <w:rsid w:val="00C959F6"/>
    <w:rsid w:val="00CA3B64"/>
    <w:rsid w:val="00CB3341"/>
    <w:rsid w:val="00CB71D6"/>
    <w:rsid w:val="00D122DC"/>
    <w:rsid w:val="00D27470"/>
    <w:rsid w:val="00D6013E"/>
    <w:rsid w:val="00D8156E"/>
    <w:rsid w:val="00DA4AC1"/>
    <w:rsid w:val="00DC1097"/>
    <w:rsid w:val="00DE18CD"/>
    <w:rsid w:val="00E60763"/>
    <w:rsid w:val="00EF1329"/>
    <w:rsid w:val="00F2498E"/>
    <w:rsid w:val="00F9718C"/>
    <w:rsid w:val="00FD574D"/>
  </w:rsids>
  <m:mathPr>
    <m:mathFont m:val="Cambria Math"/>
  </m:mathPr>
  <w:themeFontLang w:val="lv-LV" w:eastAsia="zh-TW"/>
  <w:clrSchemeMapping w:bg1="light1" w:t1="dark1" w:bg2="light2" w:t2="dark2" w:accent1="accent1" w:accent2="accent2" w:accent3="accent3" w:accent4="accent4" w:accent5="accent5" w:accent6="accent6" w:hyperlink="hyperlink" w:followedHyperlink="followedHyperlink"/>
  <w14:docId w14:val="61676447"/>
  <w15:chartTrackingRefBased/>
  <w15:docId w15:val="{292A7067-F5C7-4312-B0DB-4AAF5A92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KjeneRakstz"/>
    <w:uiPriority w:val="99"/>
    <w:unhideWhenUsed/>
    <w:rsid w:val="004178CE"/>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KjeneRakstz">
    <w:name w:val="Kājene Rakstz."/>
    <w:basedOn w:val="DefaultParagraphFont"/>
    <w:link w:val="Footer"/>
    <w:uiPriority w:val="99"/>
    <w:rsid w:val="004178CE"/>
    <w:rPr>
      <w:rFonts w:ascii="Calibri" w:eastAsia="Calibri" w:hAnsi="Calibri" w:cs="Times New Roman"/>
      <w:lang w:val="en-US"/>
    </w:rPr>
  </w:style>
  <w:style w:type="paragraph" w:styleId="Header">
    <w:name w:val="header"/>
    <w:basedOn w:val="Normal"/>
    <w:link w:val="GalveneRakstz"/>
    <w:uiPriority w:val="99"/>
    <w:unhideWhenUsed/>
    <w:rsid w:val="00CB71D6"/>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CB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1336</Words>
  <Characters>762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Iveta Puķīte</cp:lastModifiedBy>
  <cp:revision>11</cp:revision>
  <dcterms:created xsi:type="dcterms:W3CDTF">2024-01-31T15:06:00Z</dcterms:created>
  <dcterms:modified xsi:type="dcterms:W3CDTF">2025-02-10T09:11:00Z</dcterms:modified>
</cp:coreProperties>
</file>