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08452" w14:textId="77777777" w:rsidR="00EC5D70" w:rsidRPr="00EC5D70" w:rsidRDefault="00EC5D70" w:rsidP="00EC5D70">
      <w:pPr>
        <w:spacing w:after="0" w:line="276" w:lineRule="auto"/>
        <w:jc w:val="both"/>
        <w:rPr>
          <w:rFonts w:ascii="Arial" w:hAnsi="Arial" w:cs="Arial"/>
          <w:b/>
          <w:bCs/>
          <w:sz w:val="20"/>
          <w:szCs w:val="20"/>
        </w:rPr>
      </w:pPr>
      <w:r w:rsidRPr="00EC5D70">
        <w:rPr>
          <w:rFonts w:ascii="Arial" w:hAnsi="Arial" w:cs="Arial"/>
          <w:b/>
          <w:bCs/>
          <w:sz w:val="20"/>
          <w:szCs w:val="20"/>
        </w:rPr>
        <w:t xml:space="preserve">Sotsiaalministeerium </w:t>
      </w:r>
    </w:p>
    <w:p w14:paraId="0CE1433D" w14:textId="77777777" w:rsidR="00EC5D70" w:rsidRPr="00EC5D70" w:rsidRDefault="00EC5D70" w:rsidP="00EC5D70">
      <w:pPr>
        <w:spacing w:after="0" w:line="276" w:lineRule="auto"/>
        <w:jc w:val="both"/>
        <w:rPr>
          <w:rFonts w:ascii="Arial" w:hAnsi="Arial" w:cs="Arial"/>
          <w:sz w:val="20"/>
          <w:szCs w:val="20"/>
        </w:rPr>
      </w:pPr>
      <w:r w:rsidRPr="00EC5D70">
        <w:rPr>
          <w:rFonts w:ascii="Arial" w:hAnsi="Arial" w:cs="Arial"/>
          <w:sz w:val="20"/>
          <w:szCs w:val="20"/>
        </w:rPr>
        <w:t>Heli Paluste</w:t>
      </w:r>
    </w:p>
    <w:p w14:paraId="38DD41F8" w14:textId="77777777" w:rsidR="00EC5D70" w:rsidRPr="00EC5D70" w:rsidRDefault="00000000" w:rsidP="00EC5D70">
      <w:pPr>
        <w:spacing w:after="0" w:line="276" w:lineRule="auto"/>
        <w:jc w:val="both"/>
        <w:rPr>
          <w:rFonts w:ascii="Arial" w:hAnsi="Arial" w:cs="Arial"/>
          <w:sz w:val="20"/>
          <w:szCs w:val="20"/>
        </w:rPr>
      </w:pPr>
      <w:hyperlink r:id="rId8" w:history="1">
        <w:r w:rsidR="00EC5D70" w:rsidRPr="00EC5D70">
          <w:rPr>
            <w:rStyle w:val="Hyperlink"/>
            <w:rFonts w:ascii="Arial" w:hAnsi="Arial" w:cs="Arial"/>
            <w:sz w:val="20"/>
            <w:szCs w:val="20"/>
          </w:rPr>
          <w:t>info@sm.ee</w:t>
        </w:r>
      </w:hyperlink>
      <w:r w:rsidR="00EC5D70" w:rsidRPr="00EC5D70">
        <w:rPr>
          <w:rFonts w:ascii="Arial" w:hAnsi="Arial" w:cs="Arial"/>
          <w:sz w:val="20"/>
          <w:szCs w:val="20"/>
        </w:rPr>
        <w:t xml:space="preserve"> </w:t>
      </w:r>
    </w:p>
    <w:p w14:paraId="1B389386" w14:textId="77777777" w:rsidR="00EC5D70" w:rsidRPr="00EC5D70" w:rsidRDefault="00000000" w:rsidP="00EC5D70">
      <w:pPr>
        <w:spacing w:after="0" w:line="276" w:lineRule="auto"/>
        <w:jc w:val="both"/>
        <w:rPr>
          <w:rFonts w:ascii="Arial" w:hAnsi="Arial" w:cs="Arial"/>
          <w:sz w:val="20"/>
          <w:szCs w:val="20"/>
        </w:rPr>
      </w:pPr>
      <w:hyperlink r:id="rId9" w:history="1">
        <w:r w:rsidR="00EC5D70" w:rsidRPr="00EC5D70">
          <w:rPr>
            <w:rStyle w:val="Hyperlink"/>
            <w:rFonts w:ascii="Arial" w:hAnsi="Arial" w:cs="Arial"/>
            <w:sz w:val="20"/>
            <w:szCs w:val="20"/>
          </w:rPr>
          <w:t>Heli.Paluste@sm.ee</w:t>
        </w:r>
      </w:hyperlink>
      <w:r w:rsidR="00EC5D70" w:rsidRPr="00EC5D70">
        <w:rPr>
          <w:rFonts w:ascii="Arial" w:hAnsi="Arial" w:cs="Arial"/>
          <w:sz w:val="20"/>
          <w:szCs w:val="20"/>
        </w:rPr>
        <w:t xml:space="preserve"> </w:t>
      </w:r>
    </w:p>
    <w:p w14:paraId="648039A5" w14:textId="77777777" w:rsidR="00EC5D70" w:rsidRPr="00EC5D70" w:rsidRDefault="00EC5D70" w:rsidP="00EC5D70">
      <w:pPr>
        <w:spacing w:after="0" w:line="276" w:lineRule="auto"/>
        <w:jc w:val="both"/>
        <w:rPr>
          <w:rFonts w:ascii="Arial" w:hAnsi="Arial" w:cs="Arial"/>
          <w:b/>
          <w:bCs/>
          <w:sz w:val="20"/>
          <w:szCs w:val="20"/>
        </w:rPr>
      </w:pPr>
    </w:p>
    <w:p w14:paraId="26305119" w14:textId="77777777" w:rsidR="00EC5D70" w:rsidRPr="00EC5D70" w:rsidRDefault="00EC5D70" w:rsidP="00EC5D70">
      <w:pPr>
        <w:spacing w:after="0" w:line="276" w:lineRule="auto"/>
        <w:jc w:val="both"/>
        <w:rPr>
          <w:rFonts w:ascii="Arial" w:hAnsi="Arial" w:cs="Arial"/>
          <w:b/>
          <w:bCs/>
          <w:sz w:val="20"/>
          <w:szCs w:val="20"/>
        </w:rPr>
      </w:pPr>
      <w:r w:rsidRPr="00EC5D70">
        <w:rPr>
          <w:rFonts w:ascii="Arial" w:hAnsi="Arial" w:cs="Arial"/>
          <w:b/>
          <w:bCs/>
          <w:sz w:val="20"/>
          <w:szCs w:val="20"/>
        </w:rPr>
        <w:t xml:space="preserve">Riigikogu sotsiaalkomisjon </w:t>
      </w:r>
    </w:p>
    <w:p w14:paraId="26A403FA" w14:textId="77777777" w:rsidR="00EC5D70" w:rsidRPr="00EC5D70" w:rsidRDefault="00EC5D70" w:rsidP="00EC5D70">
      <w:pPr>
        <w:spacing w:after="0" w:line="276" w:lineRule="auto"/>
        <w:jc w:val="both"/>
        <w:rPr>
          <w:rFonts w:ascii="Arial" w:hAnsi="Arial" w:cs="Arial"/>
          <w:sz w:val="20"/>
          <w:szCs w:val="20"/>
        </w:rPr>
      </w:pPr>
      <w:r w:rsidRPr="00EC5D70">
        <w:rPr>
          <w:rFonts w:ascii="Arial" w:hAnsi="Arial" w:cs="Arial"/>
          <w:sz w:val="20"/>
          <w:szCs w:val="20"/>
        </w:rPr>
        <w:t>Õnne Pillak</w:t>
      </w:r>
    </w:p>
    <w:p w14:paraId="7D3943C4" w14:textId="77777777" w:rsidR="00EC5D70" w:rsidRPr="00EC5D70" w:rsidRDefault="00000000" w:rsidP="00EC5D70">
      <w:pPr>
        <w:spacing w:after="0" w:line="276" w:lineRule="auto"/>
        <w:jc w:val="both"/>
        <w:rPr>
          <w:rFonts w:ascii="Arial" w:hAnsi="Arial" w:cs="Arial"/>
          <w:sz w:val="20"/>
          <w:szCs w:val="20"/>
        </w:rPr>
      </w:pPr>
      <w:hyperlink r:id="rId10" w:history="1">
        <w:r w:rsidR="00EC5D70" w:rsidRPr="00EC5D70">
          <w:rPr>
            <w:rStyle w:val="Hyperlink"/>
            <w:rFonts w:ascii="Arial" w:hAnsi="Arial" w:cs="Arial"/>
            <w:sz w:val="20"/>
            <w:szCs w:val="20"/>
          </w:rPr>
          <w:t>sotsiaalkomisjon@riigikogu.ee</w:t>
        </w:r>
      </w:hyperlink>
    </w:p>
    <w:p w14:paraId="18E9AE04" w14:textId="77777777" w:rsidR="00EC5D70" w:rsidRPr="00EC5D70" w:rsidRDefault="00EC5D70" w:rsidP="00EC5D70">
      <w:pPr>
        <w:spacing w:after="0" w:line="276" w:lineRule="auto"/>
        <w:jc w:val="both"/>
        <w:rPr>
          <w:rFonts w:ascii="Arial" w:hAnsi="Arial" w:cs="Arial"/>
          <w:sz w:val="20"/>
          <w:szCs w:val="20"/>
        </w:rPr>
      </w:pPr>
    </w:p>
    <w:p w14:paraId="57C59403" w14:textId="77777777" w:rsidR="00EC5D70" w:rsidRPr="00EC5D70" w:rsidRDefault="00EC5D70" w:rsidP="00EC5D70">
      <w:pPr>
        <w:spacing w:after="0" w:line="276" w:lineRule="auto"/>
        <w:jc w:val="both"/>
        <w:rPr>
          <w:rFonts w:ascii="Arial" w:hAnsi="Arial" w:cs="Arial"/>
          <w:sz w:val="20"/>
          <w:szCs w:val="20"/>
        </w:rPr>
      </w:pPr>
      <w:r w:rsidRPr="00EC5D70">
        <w:rPr>
          <w:rFonts w:ascii="Arial" w:hAnsi="Arial" w:cs="Arial"/>
          <w:sz w:val="20"/>
          <w:szCs w:val="20"/>
        </w:rPr>
        <w:t xml:space="preserve">Koopia: </w:t>
      </w:r>
    </w:p>
    <w:p w14:paraId="51CC18A5" w14:textId="77777777" w:rsidR="00EC5D70" w:rsidRPr="00EC5D70" w:rsidRDefault="00EC5D70" w:rsidP="00EC5D70">
      <w:pPr>
        <w:spacing w:after="0" w:line="276" w:lineRule="auto"/>
        <w:jc w:val="both"/>
        <w:rPr>
          <w:rFonts w:ascii="Arial" w:hAnsi="Arial" w:cs="Arial"/>
          <w:b/>
          <w:bCs/>
          <w:sz w:val="20"/>
          <w:szCs w:val="20"/>
        </w:rPr>
      </w:pPr>
      <w:r w:rsidRPr="00EC5D70">
        <w:rPr>
          <w:rFonts w:ascii="Arial" w:hAnsi="Arial" w:cs="Arial"/>
          <w:b/>
          <w:bCs/>
          <w:sz w:val="20"/>
          <w:szCs w:val="20"/>
        </w:rPr>
        <w:t>Tervisekassa</w:t>
      </w:r>
    </w:p>
    <w:p w14:paraId="1DDA5ED1" w14:textId="77777777" w:rsidR="00EC5D70" w:rsidRPr="00EC5D70" w:rsidRDefault="00EC5D70" w:rsidP="00EC5D70">
      <w:pPr>
        <w:spacing w:after="0" w:line="276" w:lineRule="auto"/>
        <w:jc w:val="both"/>
        <w:rPr>
          <w:rFonts w:ascii="Arial" w:hAnsi="Arial" w:cs="Arial"/>
          <w:sz w:val="20"/>
          <w:szCs w:val="20"/>
        </w:rPr>
      </w:pPr>
      <w:r w:rsidRPr="00EC5D70">
        <w:rPr>
          <w:rFonts w:ascii="Arial" w:hAnsi="Arial" w:cs="Arial"/>
          <w:sz w:val="20"/>
          <w:szCs w:val="20"/>
        </w:rPr>
        <w:t>Tiia Zeigo</w:t>
      </w:r>
    </w:p>
    <w:p w14:paraId="5D74287A" w14:textId="77777777" w:rsidR="00EC5D70" w:rsidRPr="00EC5D70" w:rsidRDefault="00000000" w:rsidP="00EC5D70">
      <w:pPr>
        <w:spacing w:after="0" w:line="276" w:lineRule="auto"/>
        <w:jc w:val="both"/>
        <w:rPr>
          <w:rFonts w:ascii="Arial" w:hAnsi="Arial" w:cs="Arial"/>
          <w:sz w:val="20"/>
          <w:szCs w:val="20"/>
        </w:rPr>
      </w:pPr>
      <w:hyperlink r:id="rId11" w:history="1">
        <w:r w:rsidR="00EC5D70" w:rsidRPr="00EC5D70">
          <w:rPr>
            <w:rStyle w:val="Hyperlink"/>
            <w:rFonts w:ascii="Arial" w:hAnsi="Arial" w:cs="Arial"/>
            <w:sz w:val="20"/>
            <w:szCs w:val="20"/>
          </w:rPr>
          <w:t>tiia.zeigo@tervisekassa.ee</w:t>
        </w:r>
      </w:hyperlink>
    </w:p>
    <w:p w14:paraId="4C41C522" w14:textId="77777777" w:rsidR="00EC5D70" w:rsidRPr="00EC5D70" w:rsidRDefault="00000000" w:rsidP="00EC5D70">
      <w:pPr>
        <w:spacing w:after="0" w:line="276" w:lineRule="auto"/>
        <w:jc w:val="both"/>
        <w:rPr>
          <w:rFonts w:ascii="Arial" w:hAnsi="Arial" w:cs="Arial"/>
          <w:sz w:val="20"/>
          <w:szCs w:val="20"/>
        </w:rPr>
      </w:pPr>
      <w:hyperlink r:id="rId12" w:history="1">
        <w:r w:rsidR="00EC5D70" w:rsidRPr="00EC5D70">
          <w:rPr>
            <w:rStyle w:val="Hyperlink"/>
            <w:rFonts w:ascii="Arial" w:hAnsi="Arial" w:cs="Arial"/>
            <w:sz w:val="20"/>
            <w:szCs w:val="20"/>
          </w:rPr>
          <w:t>hambaravi@tervisekassa.ee</w:t>
        </w:r>
      </w:hyperlink>
    </w:p>
    <w:p w14:paraId="12348A03" w14:textId="77777777" w:rsidR="00EC5D70" w:rsidRPr="00EC5D70" w:rsidRDefault="00EC5D70" w:rsidP="00EC5D70">
      <w:pPr>
        <w:spacing w:after="0" w:line="276" w:lineRule="auto"/>
        <w:jc w:val="both"/>
        <w:rPr>
          <w:rFonts w:ascii="Arial" w:hAnsi="Arial" w:cs="Arial"/>
          <w:sz w:val="20"/>
          <w:szCs w:val="20"/>
        </w:rPr>
      </w:pPr>
    </w:p>
    <w:p w14:paraId="1B8F88CF" w14:textId="77777777" w:rsidR="00EC5D70" w:rsidRPr="00EC5D70" w:rsidRDefault="00EC5D70" w:rsidP="00EC5D70">
      <w:pPr>
        <w:spacing w:line="276" w:lineRule="auto"/>
        <w:jc w:val="both"/>
        <w:rPr>
          <w:rFonts w:ascii="Arial" w:eastAsia="Calibri" w:hAnsi="Arial" w:cs="Arial"/>
          <w:b/>
          <w:bCs/>
          <w:sz w:val="20"/>
          <w:szCs w:val="20"/>
        </w:rPr>
      </w:pPr>
    </w:p>
    <w:p w14:paraId="049F54B5" w14:textId="7443F0F0" w:rsidR="00EC5D70" w:rsidRPr="00EC5D70" w:rsidRDefault="00C75D2F" w:rsidP="00EC5D70">
      <w:pPr>
        <w:spacing w:line="276" w:lineRule="auto"/>
        <w:jc w:val="right"/>
        <w:rPr>
          <w:rFonts w:ascii="Arial" w:eastAsia="Calibri" w:hAnsi="Arial" w:cs="Arial"/>
          <w:b/>
          <w:bCs/>
          <w:sz w:val="20"/>
          <w:szCs w:val="20"/>
        </w:rPr>
      </w:pPr>
      <w:r>
        <w:rPr>
          <w:rFonts w:ascii="Arial" w:eastAsia="Calibri" w:hAnsi="Arial" w:cs="Arial"/>
          <w:b/>
          <w:bCs/>
          <w:sz w:val="20"/>
          <w:szCs w:val="20"/>
        </w:rPr>
        <w:t xml:space="preserve">Nr. 6-04-10, </w:t>
      </w:r>
      <w:r w:rsidR="00EC5D70" w:rsidRPr="00EC5D70">
        <w:rPr>
          <w:rFonts w:ascii="Arial" w:eastAsia="Calibri" w:hAnsi="Arial" w:cs="Arial"/>
          <w:b/>
          <w:bCs/>
          <w:sz w:val="20"/>
          <w:szCs w:val="20"/>
        </w:rPr>
        <w:t>10. aprill 2024</w:t>
      </w:r>
    </w:p>
    <w:p w14:paraId="6F815F65" w14:textId="77777777" w:rsidR="00EC5D70" w:rsidRPr="00EC5D70" w:rsidRDefault="00EC5D70" w:rsidP="00EC5D70">
      <w:pPr>
        <w:spacing w:line="276" w:lineRule="auto"/>
        <w:jc w:val="both"/>
        <w:rPr>
          <w:rFonts w:ascii="Arial" w:eastAsia="Calibri" w:hAnsi="Arial" w:cs="Arial"/>
          <w:b/>
          <w:bCs/>
          <w:sz w:val="20"/>
          <w:szCs w:val="20"/>
        </w:rPr>
      </w:pPr>
    </w:p>
    <w:p w14:paraId="51359602" w14:textId="77777777" w:rsidR="00EC5D70" w:rsidRPr="00EC5D70" w:rsidRDefault="00EC5D70" w:rsidP="00EC5D70">
      <w:pPr>
        <w:spacing w:line="276" w:lineRule="auto"/>
        <w:jc w:val="both"/>
        <w:rPr>
          <w:rFonts w:ascii="Arial" w:eastAsia="Calibri" w:hAnsi="Arial" w:cs="Arial"/>
          <w:b/>
          <w:bCs/>
          <w:sz w:val="20"/>
          <w:szCs w:val="20"/>
        </w:rPr>
      </w:pPr>
      <w:r w:rsidRPr="00EC5D70">
        <w:rPr>
          <w:rFonts w:ascii="Arial" w:eastAsia="Calibri" w:hAnsi="Arial" w:cs="Arial"/>
          <w:b/>
          <w:bCs/>
          <w:sz w:val="20"/>
          <w:szCs w:val="20"/>
        </w:rPr>
        <w:t>VASTUS</w:t>
      </w:r>
    </w:p>
    <w:p w14:paraId="20FC0DBA" w14:textId="6C8034AE" w:rsidR="00EC5D70" w:rsidRPr="00EC5D70" w:rsidRDefault="00EC5D70" w:rsidP="00EC5D70">
      <w:pPr>
        <w:spacing w:line="276" w:lineRule="auto"/>
        <w:jc w:val="both"/>
        <w:rPr>
          <w:rFonts w:ascii="Arial" w:eastAsia="Calibri" w:hAnsi="Arial" w:cs="Arial"/>
          <w:b/>
          <w:bCs/>
          <w:sz w:val="20"/>
          <w:szCs w:val="20"/>
        </w:rPr>
      </w:pPr>
      <w:r w:rsidRPr="00EC5D70">
        <w:rPr>
          <w:rFonts w:ascii="Arial" w:eastAsia="Calibri" w:hAnsi="Arial" w:cs="Arial"/>
          <w:b/>
          <w:bCs/>
          <w:sz w:val="20"/>
          <w:szCs w:val="20"/>
        </w:rPr>
        <w:t>Sotsiaalministeeriumi 2.04.2024 kirjale seoses hambaarsti pädevuses olevate ortodontiliste teenuste määratlemise ning täiendõppe tunnustamisega</w:t>
      </w:r>
    </w:p>
    <w:p w14:paraId="3019D7A2" w14:textId="6C3C678C" w:rsidR="00EC5D70" w:rsidRDefault="00EC5D70" w:rsidP="00EC5D70">
      <w:pPr>
        <w:spacing w:line="276" w:lineRule="auto"/>
        <w:jc w:val="both"/>
        <w:rPr>
          <w:rFonts w:ascii="Arial" w:hAnsi="Arial" w:cs="Arial"/>
          <w:sz w:val="20"/>
          <w:szCs w:val="20"/>
        </w:rPr>
      </w:pPr>
      <w:r w:rsidRPr="00EC5D70">
        <w:rPr>
          <w:rFonts w:ascii="Arial" w:hAnsi="Arial" w:cs="Arial"/>
          <w:sz w:val="20"/>
          <w:szCs w:val="20"/>
        </w:rPr>
        <w:t>Täname Sotsiaalministeeriumi vastuse eest EHL 31.01.2024 ettepanekutele hambaarsti pädevuses olevate ortodontiliste teenuste määratlemise ning täiendõppe osas. EHL nõustub Teie poolt märgituga, et teemat tuleks edasi arutada ja lahendusi otsida koostöös Eesti Ortodontide Seltsi (EOS), Tartu Ülikooli hambaarstiteaduse instituudi, Tervisekassa ja Terviseametiga. Samuti on hea meel, et Sotsiaalministeerium võtab initsiatiivi järgmise kohtumise korraldamisel.</w:t>
      </w:r>
    </w:p>
    <w:p w14:paraId="645D4A69" w14:textId="77777777" w:rsidR="00EC5D70" w:rsidRPr="00EC5D70" w:rsidRDefault="00EC5D70" w:rsidP="00EC5D70">
      <w:pPr>
        <w:spacing w:line="276" w:lineRule="auto"/>
        <w:jc w:val="both"/>
        <w:rPr>
          <w:rFonts w:ascii="Arial" w:hAnsi="Arial" w:cs="Arial"/>
          <w:sz w:val="20"/>
          <w:szCs w:val="20"/>
        </w:rPr>
      </w:pPr>
    </w:p>
    <w:p w14:paraId="380A7946" w14:textId="69FC955A" w:rsidR="00EC5D70" w:rsidRDefault="00EC5D70" w:rsidP="00EC5D70">
      <w:pPr>
        <w:spacing w:line="276" w:lineRule="auto"/>
        <w:jc w:val="both"/>
        <w:rPr>
          <w:rFonts w:ascii="Arial" w:hAnsi="Arial" w:cs="Arial"/>
          <w:sz w:val="20"/>
          <w:szCs w:val="20"/>
        </w:rPr>
      </w:pPr>
      <w:r w:rsidRPr="00EC5D70">
        <w:rPr>
          <w:rFonts w:ascii="Arial" w:hAnsi="Arial" w:cs="Arial"/>
          <w:sz w:val="20"/>
          <w:szCs w:val="20"/>
        </w:rPr>
        <w:t xml:space="preserve">Uue kohtumise eel on kohane meelde tuletada seda, milles eelneval kohtumisel kokku lepiti – EHL ja EOS saavutavad kokkuleppe ortodontiliste teenuste loetelus, mida võivad osutada ka hambaarstid ning täiendõppe tunnustamise osas üleminekuperioodil (st seni kuni vajalik ortodontiline õpe lisatakse hambaravi baasõppesse) ja esitlevad seda maikuus toimuval kohtumisel. EHL on omalt poolt lubatu täitnud ja vastavad ettepanekud välja töötanud ning teiste osapooltega neid ka jaganud. </w:t>
      </w:r>
    </w:p>
    <w:p w14:paraId="19FA9D87" w14:textId="77777777" w:rsidR="00EC5D70" w:rsidRPr="00EC5D70" w:rsidRDefault="00EC5D70" w:rsidP="00EC5D70">
      <w:pPr>
        <w:spacing w:line="276" w:lineRule="auto"/>
        <w:jc w:val="both"/>
        <w:rPr>
          <w:rFonts w:ascii="Arial" w:hAnsi="Arial" w:cs="Arial"/>
          <w:sz w:val="20"/>
          <w:szCs w:val="20"/>
        </w:rPr>
      </w:pPr>
    </w:p>
    <w:p w14:paraId="69B6BF82" w14:textId="3E79F2E0" w:rsidR="00EC5D70" w:rsidRDefault="00EC5D70" w:rsidP="00EC5D70">
      <w:pPr>
        <w:spacing w:line="276" w:lineRule="auto"/>
        <w:jc w:val="both"/>
        <w:rPr>
          <w:rFonts w:ascii="Arial" w:hAnsi="Arial" w:cs="Arial"/>
          <w:sz w:val="20"/>
          <w:szCs w:val="20"/>
        </w:rPr>
      </w:pPr>
      <w:r w:rsidRPr="00EC5D70">
        <w:rPr>
          <w:rFonts w:ascii="Arial" w:hAnsi="Arial" w:cs="Arial"/>
          <w:sz w:val="20"/>
          <w:szCs w:val="20"/>
        </w:rPr>
        <w:t xml:space="preserve">EOS-ilt on EHL saanud küll kirjaliku vastuse (lisa 1), kuid selles ei sisaldu sisulisi seisukohti EHL ettepanekute osas. Samuti ei ole EOS esitanud ühtegi vastuväidet EHL-i poolt pakutud lahendustele. Ortodontide vahepealne tegevus ravi kättesaadavuse parandamiseks on kahtlemata väga oluline ja vajalik, kuid ei lahenda probleemi. Nagu ka varasemalt märgitud – teistes Euroopa Liidu liikmesriikides osutatakse 30-50% ortodontilisest ravist üldhambaarstide poolt. Seega isegi kui Eestis on ortodontide arv elaniku kohta natuke kõrgem kui teistes </w:t>
      </w:r>
      <w:r w:rsidRPr="00EC5D70">
        <w:rPr>
          <w:rFonts w:ascii="Arial" w:hAnsi="Arial" w:cs="Arial"/>
          <w:sz w:val="20"/>
          <w:szCs w:val="20"/>
        </w:rPr>
        <w:lastRenderedPageBreak/>
        <w:t xml:space="preserve">Euroopa Liidu liikmesriikides, ei kata see siiski ravivajadust ja patsientide ravisoove (eriti järjest populaarsemaks muutuva kaperavi osas). Lisaks Tervisekassa poolt rahastatava ravi kättesaadavuse tagamisele on oluline, et uued ravimeetodid jõuaksid Eesti inimesteni sama kiiresti kui teistes liikmesriikides. Seda ei ole aga võimalik saavutada ilma hambaarstide osaluseta ja senisest paindlikumate lahenduste kasutamiseta. </w:t>
      </w:r>
    </w:p>
    <w:p w14:paraId="67674301" w14:textId="77777777" w:rsidR="00EC5D70" w:rsidRPr="00EC5D70" w:rsidRDefault="00EC5D70" w:rsidP="00EC5D70">
      <w:pPr>
        <w:spacing w:line="276" w:lineRule="auto"/>
        <w:jc w:val="both"/>
        <w:rPr>
          <w:rFonts w:ascii="Arial" w:hAnsi="Arial" w:cs="Arial"/>
          <w:sz w:val="20"/>
          <w:szCs w:val="20"/>
        </w:rPr>
      </w:pPr>
    </w:p>
    <w:p w14:paraId="3035C6FA" w14:textId="7F827013" w:rsidR="00EC5D70" w:rsidRDefault="00EC5D70" w:rsidP="00EC5D70">
      <w:pPr>
        <w:spacing w:line="276" w:lineRule="auto"/>
        <w:jc w:val="both"/>
        <w:rPr>
          <w:rFonts w:ascii="Arial" w:hAnsi="Arial" w:cs="Arial"/>
          <w:sz w:val="20"/>
          <w:szCs w:val="20"/>
        </w:rPr>
      </w:pPr>
      <w:r w:rsidRPr="00EC5D70">
        <w:rPr>
          <w:rFonts w:ascii="Arial" w:hAnsi="Arial" w:cs="Arial"/>
          <w:sz w:val="20"/>
          <w:szCs w:val="20"/>
        </w:rPr>
        <w:t xml:space="preserve">EHL loodab, et olukord on võimalik lahendada pooltevahelises koostöös nii nagu see on õnnestunud väga mitmete teiste teenuste osas. Juhul, kui EOS-iga kokkulepet saavutada ei õnnestu, on EHL-i hinnangul vajalik muuta õigusakte. Lahenduse leidmisega on aga kiire, kuna 1. juulil 2024 jõustuv tervisehoiuteenuse osutaja kohustusliku vastutuskindlustuse seadus (TOKVS) seab hüvitamiskohustuse sõltuvusse eriala piiridest. Vastavalt TOKVS § 20 lg-le 15 ei hüvita kindlustusandja patsiendile kahju, mis tuleneb tervishoiuteenuse osutamisest, mida tervishoiutöötaja osutas väljaspool omandatud eriala piire. Oma seisukohad kehtivate õigusaktide tõlgendamise kohta eriala piiride küsimuses oleme esitanud eelmises kirjas. </w:t>
      </w:r>
    </w:p>
    <w:p w14:paraId="4A128CA0" w14:textId="77777777" w:rsidR="00EC5D70" w:rsidRPr="00EC5D70" w:rsidRDefault="00EC5D70" w:rsidP="00EC5D70">
      <w:pPr>
        <w:spacing w:line="276" w:lineRule="auto"/>
        <w:jc w:val="both"/>
        <w:rPr>
          <w:rFonts w:ascii="Arial" w:hAnsi="Arial" w:cs="Arial"/>
          <w:sz w:val="20"/>
          <w:szCs w:val="20"/>
        </w:rPr>
      </w:pPr>
    </w:p>
    <w:p w14:paraId="399A2340" w14:textId="10835964" w:rsidR="00EC5D70" w:rsidRPr="00EC5D70" w:rsidRDefault="00EC5D70" w:rsidP="00EC5D70">
      <w:pPr>
        <w:spacing w:line="276" w:lineRule="auto"/>
        <w:jc w:val="both"/>
        <w:rPr>
          <w:rFonts w:ascii="Arial" w:hAnsi="Arial" w:cs="Arial"/>
          <w:b/>
          <w:bCs/>
          <w:sz w:val="20"/>
          <w:szCs w:val="20"/>
        </w:rPr>
      </w:pPr>
      <w:r w:rsidRPr="00EC5D70">
        <w:rPr>
          <w:rFonts w:ascii="Arial" w:hAnsi="Arial" w:cs="Arial"/>
          <w:b/>
          <w:bCs/>
          <w:sz w:val="20"/>
          <w:szCs w:val="20"/>
        </w:rPr>
        <w:t>Eeltoodust tulenevalt peame lisaks vajalikuks esitada juba praegu EHL-i poolsed ettepanekud ja seisukohad õigusaktide tõlgendamise ja vajalike muudatuste osas, sest on väga oluline saavutada õigusselgus ja õiguskindlus TOKVSi rakendumise ajaks (1.07.2024).</w:t>
      </w:r>
      <w:r w:rsidRPr="00EC5D70">
        <w:rPr>
          <w:rFonts w:ascii="Arial" w:hAnsi="Arial" w:cs="Arial"/>
          <w:sz w:val="20"/>
          <w:szCs w:val="20"/>
        </w:rPr>
        <w:t xml:space="preserve"> </w:t>
      </w:r>
      <w:r w:rsidRPr="00EC5D70">
        <w:rPr>
          <w:rFonts w:ascii="Arial" w:hAnsi="Arial" w:cs="Arial"/>
          <w:b/>
          <w:bCs/>
          <w:sz w:val="20"/>
          <w:szCs w:val="20"/>
        </w:rPr>
        <w:t xml:space="preserve">Riik peab tagama, et nii patsientidele kui ka tervishoiuteenuse osutajatele ja tervishoiutöötajatele oleks üheselt selge, kust lähevad ühe või teise eriala piirid ja milline on selliste piiride õiguslik alus. </w:t>
      </w:r>
    </w:p>
    <w:p w14:paraId="69472B02" w14:textId="77777777" w:rsidR="00EC5D70" w:rsidRPr="00EC5D70" w:rsidRDefault="00EC5D70" w:rsidP="00EC5D70">
      <w:pPr>
        <w:spacing w:line="276" w:lineRule="auto"/>
        <w:jc w:val="both"/>
        <w:rPr>
          <w:rFonts w:ascii="Arial" w:hAnsi="Arial" w:cs="Arial"/>
          <w:b/>
          <w:bCs/>
          <w:sz w:val="20"/>
          <w:szCs w:val="20"/>
        </w:rPr>
      </w:pPr>
    </w:p>
    <w:p w14:paraId="302F23AB" w14:textId="1A0909C0" w:rsidR="00EC5D70" w:rsidRPr="00EC5D70" w:rsidRDefault="00EC5D70" w:rsidP="00EC5D70">
      <w:pPr>
        <w:spacing w:line="276" w:lineRule="auto"/>
        <w:jc w:val="both"/>
        <w:rPr>
          <w:rFonts w:ascii="Arial" w:hAnsi="Arial" w:cs="Arial"/>
          <w:b/>
          <w:bCs/>
          <w:sz w:val="20"/>
          <w:szCs w:val="20"/>
        </w:rPr>
      </w:pPr>
      <w:r w:rsidRPr="00EC5D70">
        <w:rPr>
          <w:rFonts w:ascii="Arial" w:hAnsi="Arial" w:cs="Arial"/>
          <w:b/>
          <w:bCs/>
          <w:sz w:val="20"/>
          <w:szCs w:val="20"/>
        </w:rPr>
        <w:t>Tervishoiuteenuste korraldamise seadus</w:t>
      </w:r>
    </w:p>
    <w:p w14:paraId="6D6E19DD" w14:textId="44A9BC8D" w:rsidR="00EC5D70" w:rsidRDefault="00EC5D70" w:rsidP="00EC5D70">
      <w:pPr>
        <w:spacing w:line="276" w:lineRule="auto"/>
        <w:jc w:val="both"/>
        <w:rPr>
          <w:rFonts w:ascii="Arial" w:hAnsi="Arial" w:cs="Arial"/>
          <w:sz w:val="20"/>
          <w:szCs w:val="20"/>
        </w:rPr>
      </w:pPr>
      <w:r w:rsidRPr="00EC5D70">
        <w:rPr>
          <w:rFonts w:ascii="Arial" w:hAnsi="Arial" w:cs="Arial"/>
          <w:sz w:val="20"/>
          <w:szCs w:val="20"/>
        </w:rPr>
        <w:t>Nagu ka eelmises kirjas märkisime, võimaldab TTKS § 4</w:t>
      </w:r>
      <w:r w:rsidRPr="00EC5D70">
        <w:rPr>
          <w:rFonts w:ascii="Arial" w:hAnsi="Arial" w:cs="Arial"/>
          <w:sz w:val="20"/>
          <w:szCs w:val="20"/>
          <w:vertAlign w:val="superscript"/>
        </w:rPr>
        <w:t>3</w:t>
      </w:r>
      <w:r w:rsidRPr="00EC5D70">
        <w:rPr>
          <w:rFonts w:ascii="Arial" w:hAnsi="Arial" w:cs="Arial"/>
          <w:sz w:val="20"/>
          <w:szCs w:val="20"/>
        </w:rPr>
        <w:t xml:space="preserve"> lg 2 osutada tervishoiuteenust täiendõppe alusel. Nimetatud sättest tulenevalt võib tervishoiuteenuse osutaja otsustada töötaja eriarstiabi teenuste osutamisel rakendamise vastavalt tema pädevusele ja kogemusele. Puudub igasugune mõistlik põhjendus, miks peaks regulatsioon võimaldama eriala residentuuri mitteläbinud arsti osalemist mistahes eriarstiabi tervishoiuteenuse osutamisel (sh näiteks kirurgia valdkonnas) vastavalt tema pädevusele ja kogemusele, kuid mitte hambaravi valdkonnas. </w:t>
      </w:r>
    </w:p>
    <w:p w14:paraId="3EB352AD" w14:textId="77777777" w:rsidR="00EC5D70" w:rsidRPr="00EC5D70" w:rsidRDefault="00EC5D70" w:rsidP="00EC5D70">
      <w:pPr>
        <w:spacing w:line="276" w:lineRule="auto"/>
        <w:jc w:val="both"/>
        <w:rPr>
          <w:rFonts w:ascii="Arial" w:hAnsi="Arial" w:cs="Arial"/>
          <w:sz w:val="20"/>
          <w:szCs w:val="20"/>
        </w:rPr>
      </w:pPr>
    </w:p>
    <w:p w14:paraId="2C74E898" w14:textId="00778E71" w:rsidR="00EC5D70" w:rsidRDefault="00EC5D70" w:rsidP="00EC5D70">
      <w:pPr>
        <w:spacing w:line="276" w:lineRule="auto"/>
        <w:jc w:val="both"/>
        <w:rPr>
          <w:rFonts w:ascii="Arial" w:hAnsi="Arial" w:cs="Arial"/>
          <w:sz w:val="20"/>
          <w:szCs w:val="20"/>
        </w:rPr>
      </w:pPr>
      <w:r w:rsidRPr="00EC5D70">
        <w:rPr>
          <w:rFonts w:ascii="Arial" w:hAnsi="Arial" w:cs="Arial"/>
          <w:sz w:val="20"/>
          <w:szCs w:val="20"/>
        </w:rPr>
        <w:t>EHL-ile teadaolevalt on Terviseamet seisukohal, et TTKS § 4</w:t>
      </w:r>
      <w:r w:rsidRPr="00EC5D70">
        <w:rPr>
          <w:rFonts w:ascii="Arial" w:hAnsi="Arial" w:cs="Arial"/>
          <w:sz w:val="20"/>
          <w:szCs w:val="20"/>
          <w:vertAlign w:val="superscript"/>
        </w:rPr>
        <w:t>3</w:t>
      </w:r>
      <w:r w:rsidRPr="00EC5D70">
        <w:rPr>
          <w:rFonts w:ascii="Arial" w:hAnsi="Arial" w:cs="Arial"/>
          <w:sz w:val="20"/>
          <w:szCs w:val="20"/>
        </w:rPr>
        <w:t xml:space="preserve"> lg 2 teine lause ei ole kohaldatav hambaarsti suhtes, kuna arst ja hambaarst on TTKS § 3 lg 1 kohaselt erinevad kutsed. Tõepoolest on arst ja hambaarst erinevad kutsed, kuid TTKS § 4</w:t>
      </w:r>
      <w:r w:rsidRPr="00EC5D70">
        <w:rPr>
          <w:rFonts w:ascii="Arial" w:hAnsi="Arial" w:cs="Arial"/>
          <w:sz w:val="20"/>
          <w:szCs w:val="20"/>
          <w:vertAlign w:val="superscript"/>
        </w:rPr>
        <w:t>3</w:t>
      </w:r>
      <w:r w:rsidRPr="00EC5D70">
        <w:rPr>
          <w:rFonts w:ascii="Arial" w:hAnsi="Arial" w:cs="Arial"/>
          <w:sz w:val="20"/>
          <w:szCs w:val="20"/>
        </w:rPr>
        <w:t xml:space="preserve"> tervikuna reguleerib mistahes tervishoiuteenuste osutamisel osalemist, sh ka ortodontiliste hambaraviteenuste osutamisel osalemist. TTKS § 4</w:t>
      </w:r>
      <w:r w:rsidRPr="00EC5D70">
        <w:rPr>
          <w:rFonts w:ascii="Arial" w:hAnsi="Arial" w:cs="Arial"/>
          <w:sz w:val="20"/>
          <w:szCs w:val="20"/>
          <w:vertAlign w:val="superscript"/>
        </w:rPr>
        <w:t>3</w:t>
      </w:r>
      <w:r w:rsidRPr="00EC5D70">
        <w:rPr>
          <w:rFonts w:ascii="Arial" w:hAnsi="Arial" w:cs="Arial"/>
          <w:sz w:val="20"/>
          <w:szCs w:val="20"/>
        </w:rPr>
        <w:t xml:space="preserve"> lg 1 ja lg 5, samuti TTKS § 20 lg 2 ja määrus nr 110 reguleerib ka hambaravi – kasutatud on mõistet „eriarstiabi“, pole kasutusel eraldi mõistet „erihambaarstiabi“. Vastasel juhul võiks asuda seisukohale, et mitte ükski TTKS-i säte, kus ei ole eraldi nimetatud hambaarsti või hambaravi, ei reguleeri hambaravi osutamist. Asjaolu, et TTKS §-i 4</w:t>
      </w:r>
      <w:r w:rsidRPr="00EC5D70">
        <w:rPr>
          <w:rFonts w:ascii="Arial" w:hAnsi="Arial" w:cs="Arial"/>
          <w:sz w:val="20"/>
          <w:szCs w:val="20"/>
          <w:vertAlign w:val="superscript"/>
        </w:rPr>
        <w:t>3</w:t>
      </w:r>
      <w:r w:rsidRPr="00EC5D70">
        <w:rPr>
          <w:rFonts w:ascii="Arial" w:hAnsi="Arial" w:cs="Arial"/>
          <w:sz w:val="20"/>
          <w:szCs w:val="20"/>
        </w:rPr>
        <w:t xml:space="preserve"> erinevates sätetes kasutatud mõiste „arst“ hõlmab ka hambaarsti ja hambaarstiõppe üliõpilast, kinnitab TTKS § 4</w:t>
      </w:r>
      <w:r w:rsidRPr="00EC5D70">
        <w:rPr>
          <w:rFonts w:ascii="Arial" w:hAnsi="Arial" w:cs="Arial"/>
          <w:sz w:val="20"/>
          <w:szCs w:val="20"/>
          <w:vertAlign w:val="superscript"/>
        </w:rPr>
        <w:t>3</w:t>
      </w:r>
      <w:r w:rsidRPr="00EC5D70">
        <w:rPr>
          <w:rFonts w:ascii="Arial" w:hAnsi="Arial" w:cs="Arial"/>
          <w:sz w:val="20"/>
          <w:szCs w:val="20"/>
        </w:rPr>
        <w:t xml:space="preserve"> lg 5 (mille alusel on ministri määrusega täpsustatud lõigetes 1-4 sätestatud </w:t>
      </w:r>
      <w:r w:rsidRPr="00EC5D70">
        <w:rPr>
          <w:rFonts w:ascii="Arial" w:hAnsi="Arial" w:cs="Arial"/>
          <w:sz w:val="20"/>
          <w:szCs w:val="20"/>
        </w:rPr>
        <w:lastRenderedPageBreak/>
        <w:t>regulatsiooni ka hambaravi teenuse osutamisel osalemise osas). Leiame, et see säte on ka hambaarstide osas kohaldatav ning võimaldab ortodontilisi teenuseid täiendõppe alusel osutada sarnastel alustel nagu toimub näiteks üldarsti kaasamine erakorralise meditsiini teenuste osutamisse.</w:t>
      </w:r>
    </w:p>
    <w:p w14:paraId="05A0457E" w14:textId="77777777" w:rsidR="00EC5D70" w:rsidRPr="00777B7B" w:rsidRDefault="00EC5D70" w:rsidP="00EC5D70">
      <w:pPr>
        <w:spacing w:line="276" w:lineRule="auto"/>
        <w:jc w:val="both"/>
        <w:rPr>
          <w:rFonts w:ascii="Arial" w:hAnsi="Arial" w:cs="Arial"/>
          <w:sz w:val="20"/>
          <w:szCs w:val="20"/>
        </w:rPr>
      </w:pPr>
    </w:p>
    <w:p w14:paraId="0B0ACEE6" w14:textId="7096AE57" w:rsidR="00EC5D70" w:rsidRPr="00777B7B" w:rsidRDefault="00EC5D70" w:rsidP="00EC5D70">
      <w:pPr>
        <w:spacing w:line="276" w:lineRule="auto"/>
        <w:jc w:val="both"/>
        <w:rPr>
          <w:rFonts w:ascii="Arial" w:hAnsi="Arial" w:cs="Arial"/>
          <w:b/>
          <w:bCs/>
          <w:sz w:val="20"/>
          <w:szCs w:val="20"/>
        </w:rPr>
      </w:pPr>
      <w:r w:rsidRPr="00777B7B">
        <w:rPr>
          <w:rFonts w:ascii="Arial" w:hAnsi="Arial" w:cs="Arial"/>
          <w:b/>
          <w:bCs/>
          <w:sz w:val="20"/>
          <w:szCs w:val="20"/>
        </w:rPr>
        <w:t>Kuna Terviseameti ja EHL-i tõlgendused TTKS § 4</w:t>
      </w:r>
      <w:r w:rsidRPr="00777B7B">
        <w:rPr>
          <w:rFonts w:ascii="Arial" w:hAnsi="Arial" w:cs="Arial"/>
          <w:b/>
          <w:bCs/>
          <w:sz w:val="20"/>
          <w:szCs w:val="20"/>
          <w:vertAlign w:val="superscript"/>
        </w:rPr>
        <w:t>3</w:t>
      </w:r>
      <w:r w:rsidRPr="00777B7B">
        <w:rPr>
          <w:rFonts w:ascii="Arial" w:hAnsi="Arial" w:cs="Arial"/>
          <w:b/>
          <w:bCs/>
          <w:sz w:val="20"/>
          <w:szCs w:val="20"/>
        </w:rPr>
        <w:t xml:space="preserve"> lg 2 osas erinevad teineteisest olulisel määral, soovime Sotsiaalministeeriumilt selgitust, milline on olnud seadusandja tegelik tahe antud sätte kehtestamisel? Sellest tulenevalt saaks otsustada, kas üldse eksisteerib vajadus õigusaktide muutmiseks või on tänane õigusruum piisav.</w:t>
      </w:r>
    </w:p>
    <w:p w14:paraId="5FAB3473" w14:textId="77777777" w:rsidR="00EC5D70" w:rsidRPr="00EC5D70" w:rsidRDefault="00EC5D70" w:rsidP="00EC5D70">
      <w:pPr>
        <w:spacing w:line="276" w:lineRule="auto"/>
        <w:jc w:val="both"/>
        <w:rPr>
          <w:rFonts w:ascii="Arial" w:hAnsi="Arial" w:cs="Arial"/>
          <w:b/>
          <w:bCs/>
          <w:color w:val="31849B" w:themeColor="accent5" w:themeShade="BF"/>
          <w:sz w:val="20"/>
          <w:szCs w:val="20"/>
        </w:rPr>
      </w:pPr>
    </w:p>
    <w:p w14:paraId="53FBF7E1" w14:textId="18360A78" w:rsidR="00EC5D70" w:rsidRPr="00EC5D70" w:rsidRDefault="00EC5D70" w:rsidP="00EC5D70">
      <w:pPr>
        <w:spacing w:line="276" w:lineRule="auto"/>
        <w:jc w:val="both"/>
        <w:rPr>
          <w:rFonts w:ascii="Arial" w:hAnsi="Arial" w:cs="Arial"/>
          <w:sz w:val="20"/>
          <w:szCs w:val="20"/>
        </w:rPr>
      </w:pPr>
      <w:r w:rsidRPr="00EC5D70">
        <w:rPr>
          <w:rFonts w:ascii="Arial" w:hAnsi="Arial" w:cs="Arial"/>
          <w:sz w:val="20"/>
          <w:szCs w:val="20"/>
        </w:rPr>
        <w:t>Samas selleks, et oleks võimalik seaduse ühetaoline rakendamine ja selgus, on üheks võimaluseks muuta TTKS § 4</w:t>
      </w:r>
      <w:r w:rsidRPr="00EC5D70">
        <w:rPr>
          <w:rFonts w:ascii="Arial" w:hAnsi="Arial" w:cs="Arial"/>
          <w:sz w:val="20"/>
          <w:szCs w:val="20"/>
          <w:vertAlign w:val="superscript"/>
        </w:rPr>
        <w:t>3</w:t>
      </w:r>
      <w:r w:rsidRPr="00EC5D70">
        <w:rPr>
          <w:rFonts w:ascii="Arial" w:hAnsi="Arial" w:cs="Arial"/>
          <w:sz w:val="20"/>
          <w:szCs w:val="20"/>
        </w:rPr>
        <w:t xml:space="preserve"> lg 2 teist lauset järgmiselt </w:t>
      </w:r>
      <w:bookmarkStart w:id="0" w:name="_Hlk163419245"/>
      <w:r w:rsidRPr="00EC5D70">
        <w:rPr>
          <w:rFonts w:ascii="Arial" w:hAnsi="Arial" w:cs="Arial"/>
          <w:sz w:val="20"/>
          <w:szCs w:val="20"/>
        </w:rPr>
        <w:t>(punasega on märgitud osa, mis tuleks lisada)</w:t>
      </w:r>
      <w:bookmarkEnd w:id="0"/>
      <w:r w:rsidRPr="00EC5D70">
        <w:rPr>
          <w:rFonts w:ascii="Arial" w:hAnsi="Arial" w:cs="Arial"/>
          <w:sz w:val="20"/>
          <w:szCs w:val="20"/>
        </w:rPr>
        <w:t>: „</w:t>
      </w:r>
      <w:r w:rsidRPr="00EC5D70">
        <w:rPr>
          <w:rFonts w:ascii="Arial" w:hAnsi="Arial" w:cs="Arial"/>
          <w:i/>
          <w:iCs/>
          <w:sz w:val="20"/>
          <w:szCs w:val="20"/>
        </w:rPr>
        <w:t xml:space="preserve">Arst </w:t>
      </w:r>
      <w:r w:rsidRPr="00EC5D70">
        <w:rPr>
          <w:rFonts w:ascii="Arial" w:hAnsi="Arial" w:cs="Arial"/>
          <w:i/>
          <w:iCs/>
          <w:color w:val="FF0000"/>
          <w:sz w:val="20"/>
          <w:szCs w:val="20"/>
        </w:rPr>
        <w:t>või hambaarst</w:t>
      </w:r>
      <w:r w:rsidRPr="00EC5D70">
        <w:rPr>
          <w:rFonts w:ascii="Arial" w:hAnsi="Arial" w:cs="Arial"/>
          <w:i/>
          <w:iCs/>
          <w:sz w:val="20"/>
          <w:szCs w:val="20"/>
        </w:rPr>
        <w:t xml:space="preserve">, kes ei ole omandanud eriala ja ei õpi residentuuris, võib osaleda eriarstiabi, </w:t>
      </w:r>
      <w:r w:rsidRPr="00EC5D70">
        <w:rPr>
          <w:rFonts w:ascii="Arial" w:hAnsi="Arial" w:cs="Arial"/>
          <w:i/>
          <w:iCs/>
          <w:color w:val="FF0000"/>
          <w:sz w:val="20"/>
          <w:szCs w:val="20"/>
        </w:rPr>
        <w:t xml:space="preserve">hambaarst erihambaarstiabi, </w:t>
      </w:r>
      <w:r w:rsidRPr="00EC5D70">
        <w:rPr>
          <w:rFonts w:ascii="Arial" w:hAnsi="Arial" w:cs="Arial"/>
          <w:i/>
          <w:iCs/>
          <w:sz w:val="20"/>
          <w:szCs w:val="20"/>
        </w:rPr>
        <w:t xml:space="preserve">osutamisel ning tema rakendamise ulatuse tervishoiuteenuse osutamisel määrab tervishoiuteenuse osutaja sõltuvalt tervishoiuteenuse sisust ning arsti, </w:t>
      </w:r>
      <w:r w:rsidRPr="00EC5D70">
        <w:rPr>
          <w:rFonts w:ascii="Arial" w:hAnsi="Arial" w:cs="Arial"/>
          <w:i/>
          <w:iCs/>
          <w:color w:val="FF0000"/>
          <w:sz w:val="20"/>
          <w:szCs w:val="20"/>
        </w:rPr>
        <w:t xml:space="preserve">hambaravi teenuse puhul hambaarsti, </w:t>
      </w:r>
      <w:r w:rsidRPr="00EC5D70">
        <w:rPr>
          <w:rFonts w:ascii="Arial" w:hAnsi="Arial" w:cs="Arial"/>
          <w:i/>
          <w:iCs/>
          <w:sz w:val="20"/>
          <w:szCs w:val="20"/>
        </w:rPr>
        <w:t>pädevusest ja kogemusest</w:t>
      </w:r>
      <w:r w:rsidRPr="00EC5D70">
        <w:rPr>
          <w:rFonts w:ascii="Arial" w:hAnsi="Arial" w:cs="Arial"/>
          <w:sz w:val="20"/>
          <w:szCs w:val="20"/>
        </w:rPr>
        <w:t>.“ Nimetatud viisil seaduse sõnastuse muutmine lahendaks teenuste osutamise universaalselt kõikide hambaravi erialade osas. Puuduks vajadus hakata eraldi loetlema, milliseid ortodontilisi teenuseid teenuseid üldhambaarst osutada võib ja milliseid mitte – osutada võiks kõiki teenuseid, mille osutamiseks on hambaarstil piisav pädevus ja kogemus. Selline regulatsioon oleks kooskõlas ka teiste Euroopa Liidu liikmesriikide praktikaga.   </w:t>
      </w:r>
    </w:p>
    <w:p w14:paraId="046149F5" w14:textId="77777777" w:rsidR="00EC5D70" w:rsidRPr="00EC5D70" w:rsidRDefault="00EC5D70" w:rsidP="00EC5D70">
      <w:pPr>
        <w:spacing w:line="276" w:lineRule="auto"/>
        <w:jc w:val="both"/>
        <w:rPr>
          <w:rFonts w:ascii="Arial" w:hAnsi="Arial" w:cs="Arial"/>
          <w:i/>
          <w:iCs/>
          <w:sz w:val="20"/>
          <w:szCs w:val="20"/>
        </w:rPr>
      </w:pPr>
      <w:r w:rsidRPr="00EC5D70">
        <w:rPr>
          <w:rFonts w:ascii="Arial" w:hAnsi="Arial" w:cs="Arial"/>
          <w:sz w:val="20"/>
          <w:szCs w:val="20"/>
        </w:rPr>
        <w:t>Eeltoodu valguses tuleks arutada ka TTKS § 3 lg 2 muutmise/täiendamise vajadust järgmiselt (punasega on märgitud osa, mille lisamist tuleks kaaluda): „</w:t>
      </w:r>
      <w:r w:rsidRPr="00EC5D70">
        <w:rPr>
          <w:rFonts w:ascii="Arial" w:hAnsi="Arial" w:cs="Arial"/>
          <w:i/>
          <w:iCs/>
          <w:sz w:val="20"/>
          <w:szCs w:val="20"/>
        </w:rPr>
        <w:t>Tervishoiutöötaja võib osutada tervishoiuteenuseid selle omandatud kutse või eriala piirides, mille alusel ta on registreeritud tervishoiukorralduse infosüsteemis</w:t>
      </w:r>
      <w:r w:rsidRPr="00EC5D70">
        <w:rPr>
          <w:rFonts w:ascii="Arial" w:hAnsi="Arial" w:cs="Arial"/>
          <w:sz w:val="20"/>
          <w:szCs w:val="20"/>
        </w:rPr>
        <w:t xml:space="preserve">, </w:t>
      </w:r>
      <w:r w:rsidRPr="00EC5D70">
        <w:rPr>
          <w:rFonts w:ascii="Arial" w:hAnsi="Arial" w:cs="Arial"/>
          <w:i/>
          <w:iCs/>
          <w:color w:val="FF0000"/>
          <w:sz w:val="20"/>
          <w:szCs w:val="20"/>
        </w:rPr>
        <w:t>arvestades seaduses sätestatud erandeid</w:t>
      </w:r>
      <w:r w:rsidRPr="00EC5D70">
        <w:rPr>
          <w:rFonts w:ascii="Arial" w:hAnsi="Arial" w:cs="Arial"/>
          <w:i/>
          <w:iCs/>
          <w:sz w:val="20"/>
          <w:szCs w:val="20"/>
        </w:rPr>
        <w:t xml:space="preserve">.“ </w:t>
      </w:r>
    </w:p>
    <w:p w14:paraId="0E8E76E8" w14:textId="77777777" w:rsidR="00EC5D70" w:rsidRPr="00EC5D70" w:rsidRDefault="00EC5D70" w:rsidP="00EC5D70">
      <w:pPr>
        <w:spacing w:line="276" w:lineRule="auto"/>
        <w:jc w:val="both"/>
        <w:rPr>
          <w:rFonts w:ascii="Arial" w:hAnsi="Arial" w:cs="Arial"/>
          <w:b/>
          <w:bCs/>
          <w:sz w:val="20"/>
          <w:szCs w:val="20"/>
        </w:rPr>
      </w:pPr>
    </w:p>
    <w:p w14:paraId="2E15ED9D" w14:textId="08D7A363" w:rsidR="00EC5D70" w:rsidRPr="00EC5D70" w:rsidRDefault="00EC5D70" w:rsidP="00EC5D70">
      <w:pPr>
        <w:spacing w:line="276" w:lineRule="auto"/>
        <w:jc w:val="both"/>
        <w:rPr>
          <w:rFonts w:ascii="Arial" w:hAnsi="Arial" w:cs="Arial"/>
          <w:b/>
          <w:bCs/>
          <w:sz w:val="20"/>
          <w:szCs w:val="20"/>
        </w:rPr>
      </w:pPr>
      <w:r w:rsidRPr="00EC5D70">
        <w:rPr>
          <w:rFonts w:ascii="Arial" w:hAnsi="Arial" w:cs="Arial"/>
          <w:b/>
          <w:bCs/>
          <w:sz w:val="20"/>
          <w:szCs w:val="20"/>
        </w:rPr>
        <w:t>Eriarstiabi erialade ja erialade lisapädevuste loetelu</w:t>
      </w:r>
    </w:p>
    <w:p w14:paraId="1A49644C" w14:textId="53A3AF48" w:rsidR="00EC5D70" w:rsidRPr="00EC5D70" w:rsidRDefault="00EC5D70" w:rsidP="00EC5D70">
      <w:pPr>
        <w:spacing w:line="276" w:lineRule="auto"/>
        <w:jc w:val="both"/>
        <w:rPr>
          <w:rFonts w:ascii="Arial" w:hAnsi="Arial" w:cs="Arial"/>
          <w:sz w:val="20"/>
          <w:szCs w:val="20"/>
        </w:rPr>
      </w:pPr>
      <w:r w:rsidRPr="00EC5D70">
        <w:rPr>
          <w:rFonts w:ascii="Arial" w:hAnsi="Arial" w:cs="Arial"/>
          <w:sz w:val="20"/>
          <w:szCs w:val="20"/>
        </w:rPr>
        <w:t>EHL leiab, et see, millised teenused kuuluvad üldhambaarsti ja millised erihambaarsti pädevusse, ei ole küsimus, mida peaks otsustama Riigikogu ja selle otsustamine on ministri pädevuses (TTKS § 20 lg 2). Seega alternatiivselt (või ka lisaks) ülal viidatud seaduse muudatusele tuleks kaaluda sotsiaalministri 28.11.2001 määruse nr 110 „Eriarstiabi erialade ja erialade lisapädevuste loetelu“ täiendamist. Määruse nr 110 § 3</w:t>
      </w:r>
      <w:r w:rsidRPr="00EC5D70">
        <w:rPr>
          <w:rFonts w:ascii="Arial" w:hAnsi="Arial" w:cs="Arial"/>
          <w:sz w:val="20"/>
          <w:szCs w:val="20"/>
          <w:vertAlign w:val="superscript"/>
        </w:rPr>
        <w:t xml:space="preserve">2 </w:t>
      </w:r>
      <w:r w:rsidRPr="00EC5D70">
        <w:rPr>
          <w:rFonts w:ascii="Arial" w:hAnsi="Arial" w:cs="Arial"/>
          <w:sz w:val="20"/>
          <w:szCs w:val="20"/>
        </w:rPr>
        <w:t>täpsustab muuhulgas suu-, näo- ja lõualuukirurgia eriala erisusi. Vajadusel on võimalik täpsustada ka teiste hambaravi erialadega seonduvat regulatsiooni.</w:t>
      </w:r>
    </w:p>
    <w:p w14:paraId="0C997D4C" w14:textId="77777777" w:rsidR="00EC5D70" w:rsidRPr="00EC5D70" w:rsidRDefault="00EC5D70" w:rsidP="00EC5D70">
      <w:pPr>
        <w:spacing w:line="276" w:lineRule="auto"/>
        <w:jc w:val="both"/>
        <w:rPr>
          <w:rFonts w:ascii="Arial" w:hAnsi="Arial" w:cs="Arial"/>
          <w:sz w:val="20"/>
          <w:szCs w:val="20"/>
        </w:rPr>
      </w:pPr>
    </w:p>
    <w:p w14:paraId="77687D3C" w14:textId="77777777" w:rsidR="00EC5D70" w:rsidRPr="00EC5D70" w:rsidRDefault="00EC5D70" w:rsidP="00EC5D70">
      <w:pPr>
        <w:spacing w:line="276" w:lineRule="auto"/>
        <w:jc w:val="both"/>
        <w:rPr>
          <w:rFonts w:ascii="Arial" w:hAnsi="Arial" w:cs="Arial"/>
          <w:sz w:val="20"/>
          <w:szCs w:val="20"/>
        </w:rPr>
      </w:pPr>
      <w:r w:rsidRPr="00EC5D70">
        <w:rPr>
          <w:rFonts w:ascii="Arial" w:hAnsi="Arial" w:cs="Arial"/>
          <w:sz w:val="20"/>
          <w:szCs w:val="20"/>
        </w:rPr>
        <w:t>Näiteks on võimalik täiendada määrust nr 110 §-ga 3</w:t>
      </w:r>
      <w:r w:rsidRPr="00EC5D70">
        <w:rPr>
          <w:rFonts w:ascii="Arial" w:hAnsi="Arial" w:cs="Arial"/>
          <w:sz w:val="20"/>
          <w:szCs w:val="20"/>
          <w:vertAlign w:val="superscript"/>
        </w:rPr>
        <w:t>3</w:t>
      </w:r>
      <w:r w:rsidRPr="00EC5D70">
        <w:rPr>
          <w:rFonts w:ascii="Arial" w:hAnsi="Arial" w:cs="Arial"/>
          <w:sz w:val="20"/>
          <w:szCs w:val="20"/>
        </w:rPr>
        <w:t>, mis sätestaks ortodondi pädevusse kuuluvate teenuste loetelu. EHL-i ettepanek on sätestada vastav regulatsioon järgmiselt: „</w:t>
      </w:r>
      <w:r w:rsidRPr="00EC5D70">
        <w:rPr>
          <w:rFonts w:ascii="Arial" w:hAnsi="Arial" w:cs="Arial"/>
          <w:i/>
          <w:iCs/>
          <w:color w:val="FF0000"/>
          <w:sz w:val="20"/>
          <w:szCs w:val="20"/>
        </w:rPr>
        <w:t>Ravikindlustuse seaduse § 30 lõike 1 ja § 33</w:t>
      </w:r>
      <w:r w:rsidRPr="00EC5D70">
        <w:rPr>
          <w:rFonts w:ascii="Arial" w:hAnsi="Arial" w:cs="Arial"/>
          <w:i/>
          <w:iCs/>
          <w:color w:val="FF0000"/>
          <w:sz w:val="20"/>
          <w:szCs w:val="20"/>
          <w:vertAlign w:val="superscript"/>
        </w:rPr>
        <w:t>1</w:t>
      </w:r>
      <w:r w:rsidRPr="00EC5D70">
        <w:rPr>
          <w:rFonts w:ascii="Arial" w:hAnsi="Arial" w:cs="Arial"/>
          <w:i/>
          <w:iCs/>
          <w:color w:val="FF0000"/>
          <w:sz w:val="20"/>
          <w:szCs w:val="20"/>
        </w:rPr>
        <w:t xml:space="preserve"> lõike 1 alusel kehtestatud ministri määruses (Tervisekassa tervishoiuteenuste </w:t>
      </w:r>
      <w:bookmarkStart w:id="1" w:name="_Hlk157013043"/>
      <w:r w:rsidRPr="00EC5D70">
        <w:rPr>
          <w:rFonts w:ascii="Arial" w:hAnsi="Arial" w:cs="Arial"/>
          <w:i/>
          <w:iCs/>
          <w:color w:val="FF0000"/>
          <w:sz w:val="20"/>
          <w:szCs w:val="20"/>
        </w:rPr>
        <w:t xml:space="preserve">loetelu) nimetatud diagnooside puhul on loetelus esitatud ortodontiliste teenuste osutamise õigus üksnes ortodondil ning kõikidel muudel juhtudel võib </w:t>
      </w:r>
      <w:r w:rsidRPr="00EC5D70">
        <w:rPr>
          <w:rFonts w:ascii="Arial" w:hAnsi="Arial" w:cs="Arial"/>
          <w:i/>
          <w:iCs/>
          <w:color w:val="FF0000"/>
          <w:sz w:val="20"/>
          <w:szCs w:val="20"/>
        </w:rPr>
        <w:lastRenderedPageBreak/>
        <w:t xml:space="preserve">vastavat ortodontilist teenust osutada ka üldhambaarst </w:t>
      </w:r>
      <w:bookmarkEnd w:id="1"/>
      <w:r w:rsidRPr="00EC5D70">
        <w:rPr>
          <w:rFonts w:ascii="Arial" w:hAnsi="Arial" w:cs="Arial"/>
          <w:i/>
          <w:iCs/>
          <w:color w:val="FF0000"/>
          <w:sz w:val="20"/>
          <w:szCs w:val="20"/>
        </w:rPr>
        <w:t>vastavalt oma pädevusele ja kogemusele</w:t>
      </w:r>
      <w:r w:rsidRPr="00EC5D70">
        <w:rPr>
          <w:rFonts w:ascii="Arial" w:hAnsi="Arial" w:cs="Arial"/>
          <w:i/>
          <w:iCs/>
          <w:sz w:val="20"/>
          <w:szCs w:val="20"/>
        </w:rPr>
        <w:t>.</w:t>
      </w:r>
      <w:r w:rsidRPr="00EC5D70">
        <w:rPr>
          <w:rFonts w:ascii="Arial" w:hAnsi="Arial" w:cs="Arial"/>
          <w:sz w:val="20"/>
          <w:szCs w:val="20"/>
        </w:rPr>
        <w:t xml:space="preserve">“ EHL ei välista ka võimalust, et määruses esitatakse konkreetne loetelu ortodontilistest teenustust, mida võivad osutada ainult ortodondid või kriteeriumid, mille alusel teenused üldhambaravi ja ortodontia vahel jaotuvad. </w:t>
      </w:r>
    </w:p>
    <w:p w14:paraId="5D67A44D" w14:textId="77777777" w:rsidR="00EC5D70" w:rsidRPr="00EC5D70" w:rsidRDefault="00EC5D70" w:rsidP="00EC5D70">
      <w:pPr>
        <w:spacing w:line="276" w:lineRule="auto"/>
        <w:jc w:val="both"/>
        <w:rPr>
          <w:rFonts w:ascii="Arial" w:hAnsi="Arial" w:cs="Arial"/>
          <w:b/>
          <w:bCs/>
          <w:sz w:val="20"/>
          <w:szCs w:val="20"/>
        </w:rPr>
      </w:pPr>
    </w:p>
    <w:p w14:paraId="4A10A282" w14:textId="49883E57" w:rsidR="00EC5D70" w:rsidRPr="00EC5D70" w:rsidRDefault="00EC5D70" w:rsidP="00EC5D70">
      <w:pPr>
        <w:spacing w:line="276" w:lineRule="auto"/>
        <w:jc w:val="both"/>
        <w:rPr>
          <w:rFonts w:ascii="Arial" w:hAnsi="Arial" w:cs="Arial"/>
          <w:b/>
          <w:bCs/>
          <w:sz w:val="20"/>
          <w:szCs w:val="20"/>
        </w:rPr>
      </w:pPr>
      <w:r w:rsidRPr="00EC5D70">
        <w:rPr>
          <w:rFonts w:ascii="Arial" w:hAnsi="Arial" w:cs="Arial"/>
          <w:b/>
          <w:bCs/>
          <w:sz w:val="20"/>
          <w:szCs w:val="20"/>
        </w:rPr>
        <w:t xml:space="preserve">Kokkuvõte </w:t>
      </w:r>
    </w:p>
    <w:p w14:paraId="0EC4F479" w14:textId="46080F7F" w:rsidR="00EC5D70" w:rsidRPr="00EC5D70" w:rsidRDefault="00EC5D70" w:rsidP="00EC5D70">
      <w:pPr>
        <w:spacing w:line="276" w:lineRule="auto"/>
        <w:jc w:val="both"/>
        <w:rPr>
          <w:rFonts w:ascii="Arial" w:hAnsi="Arial" w:cs="Arial"/>
          <w:sz w:val="20"/>
          <w:szCs w:val="20"/>
        </w:rPr>
      </w:pPr>
      <w:r w:rsidRPr="00EC5D70">
        <w:rPr>
          <w:rFonts w:ascii="Arial" w:hAnsi="Arial" w:cs="Arial"/>
          <w:sz w:val="20"/>
          <w:szCs w:val="20"/>
        </w:rPr>
        <w:t xml:space="preserve">Leiame, et võimalikke õigusaktide muudatusi tuleks hakata analüüsima ja ette valmistama paralleelselt läbirääkimistega kokkuleppe saavutamiseks, kuna õigusaktide muutmine on aeganõudvam ja keerulisem kui kokkuleppe täitmine (kui see saavutatakse). EOS on 13.03.2024 EHL-ile saadetud vastuses märkinud, et nemad ei tegele teenuste regulatsiooniga ja jätavad selles osas juhtrolli riigi otsustajatele. </w:t>
      </w:r>
    </w:p>
    <w:p w14:paraId="34E3796F" w14:textId="77777777" w:rsidR="00EC5D70" w:rsidRPr="00777B7B" w:rsidRDefault="00EC5D70" w:rsidP="00EC5D70">
      <w:pPr>
        <w:spacing w:line="276" w:lineRule="auto"/>
        <w:jc w:val="both"/>
        <w:rPr>
          <w:rFonts w:ascii="Arial" w:hAnsi="Arial" w:cs="Arial"/>
          <w:b/>
          <w:bCs/>
          <w:sz w:val="20"/>
          <w:szCs w:val="20"/>
        </w:rPr>
      </w:pPr>
      <w:r w:rsidRPr="00777B7B">
        <w:rPr>
          <w:rFonts w:ascii="Arial" w:hAnsi="Arial" w:cs="Arial"/>
          <w:b/>
          <w:bCs/>
          <w:sz w:val="20"/>
          <w:szCs w:val="20"/>
        </w:rPr>
        <w:t>Jääme ootama Sotsiaalministeeriumi selgitust TTKS § 4</w:t>
      </w:r>
      <w:r w:rsidRPr="00777B7B">
        <w:rPr>
          <w:rFonts w:ascii="Arial" w:hAnsi="Arial" w:cs="Arial"/>
          <w:b/>
          <w:bCs/>
          <w:sz w:val="20"/>
          <w:szCs w:val="20"/>
          <w:vertAlign w:val="superscript"/>
        </w:rPr>
        <w:t>3</w:t>
      </w:r>
      <w:r w:rsidRPr="00777B7B">
        <w:rPr>
          <w:rFonts w:ascii="Arial" w:hAnsi="Arial" w:cs="Arial"/>
          <w:b/>
          <w:bCs/>
          <w:sz w:val="20"/>
          <w:szCs w:val="20"/>
        </w:rPr>
        <w:t xml:space="preserve"> lg 2 tõlgendamise kohta ning tagasisidet ülaltoodud ettepanekutele. Samuti oleme valmis seadusandliku algatuse osas eraldi kohtuma. </w:t>
      </w:r>
    </w:p>
    <w:p w14:paraId="15B66900" w14:textId="77777777" w:rsidR="00EC5D70" w:rsidRPr="00EC5D70" w:rsidRDefault="00EC5D70" w:rsidP="00EC5D70">
      <w:pPr>
        <w:spacing w:line="276" w:lineRule="auto"/>
        <w:jc w:val="both"/>
        <w:rPr>
          <w:rFonts w:ascii="Arial" w:hAnsi="Arial" w:cs="Arial"/>
          <w:sz w:val="20"/>
          <w:szCs w:val="20"/>
        </w:rPr>
      </w:pPr>
    </w:p>
    <w:p w14:paraId="11E6D808" w14:textId="77777777" w:rsidR="00EC5D70" w:rsidRPr="00EC5D70" w:rsidRDefault="00EC5D70" w:rsidP="00EC5D70">
      <w:pPr>
        <w:spacing w:line="276" w:lineRule="auto"/>
        <w:jc w:val="both"/>
        <w:rPr>
          <w:rFonts w:ascii="Arial" w:hAnsi="Arial" w:cs="Arial"/>
          <w:sz w:val="20"/>
          <w:szCs w:val="20"/>
        </w:rPr>
      </w:pPr>
    </w:p>
    <w:p w14:paraId="5FFA52C4" w14:textId="77777777" w:rsidR="00EC5D70" w:rsidRPr="00EC5D70" w:rsidRDefault="00EC5D70" w:rsidP="00EC5D70">
      <w:pPr>
        <w:spacing w:line="276" w:lineRule="auto"/>
        <w:jc w:val="both"/>
        <w:rPr>
          <w:rFonts w:ascii="Arial" w:eastAsia="Calibri" w:hAnsi="Arial" w:cs="Arial"/>
          <w:sz w:val="20"/>
          <w:szCs w:val="20"/>
        </w:rPr>
      </w:pPr>
      <w:r w:rsidRPr="00EC5D70">
        <w:rPr>
          <w:rFonts w:ascii="Arial" w:eastAsia="Calibri" w:hAnsi="Arial" w:cs="Arial"/>
          <w:sz w:val="20"/>
          <w:szCs w:val="20"/>
        </w:rPr>
        <w:t xml:space="preserve">Lugupidamisega </w:t>
      </w:r>
    </w:p>
    <w:p w14:paraId="21461B52" w14:textId="77777777" w:rsidR="00EC5D70" w:rsidRPr="00EC5D70" w:rsidRDefault="00EC5D70" w:rsidP="00EC5D70">
      <w:pPr>
        <w:spacing w:line="276" w:lineRule="auto"/>
        <w:jc w:val="both"/>
        <w:rPr>
          <w:rFonts w:ascii="Arial" w:eastAsia="Calibri" w:hAnsi="Arial" w:cs="Arial"/>
          <w:sz w:val="20"/>
          <w:szCs w:val="20"/>
        </w:rPr>
      </w:pPr>
    </w:p>
    <w:p w14:paraId="1992E4C5" w14:textId="77777777" w:rsidR="00EC5D70" w:rsidRPr="00EC5D70" w:rsidRDefault="00EC5D70" w:rsidP="00EC5D70">
      <w:pPr>
        <w:spacing w:after="0" w:line="276" w:lineRule="auto"/>
        <w:jc w:val="both"/>
        <w:rPr>
          <w:rFonts w:ascii="Arial" w:eastAsia="Calibri" w:hAnsi="Arial" w:cs="Arial"/>
          <w:sz w:val="20"/>
          <w:szCs w:val="20"/>
          <w:u w:val="single"/>
        </w:rPr>
      </w:pPr>
      <w:r w:rsidRPr="00EC5D70">
        <w:rPr>
          <w:rFonts w:ascii="Arial" w:eastAsia="Calibri" w:hAnsi="Arial" w:cs="Arial"/>
          <w:sz w:val="20"/>
          <w:szCs w:val="20"/>
          <w:u w:val="single"/>
        </w:rPr>
        <w:t>/Allkirjastatud digitaalselt/</w:t>
      </w:r>
    </w:p>
    <w:p w14:paraId="335F1416" w14:textId="77777777" w:rsidR="00EC5D70" w:rsidRPr="00EC5D70" w:rsidRDefault="00EC5D70" w:rsidP="00EC5D70">
      <w:pPr>
        <w:spacing w:after="0" w:line="276" w:lineRule="auto"/>
        <w:jc w:val="both"/>
        <w:rPr>
          <w:rFonts w:ascii="Arial" w:eastAsia="Calibri" w:hAnsi="Arial" w:cs="Arial"/>
          <w:sz w:val="20"/>
          <w:szCs w:val="20"/>
        </w:rPr>
      </w:pPr>
      <w:r w:rsidRPr="00EC5D70">
        <w:rPr>
          <w:rFonts w:ascii="Arial" w:eastAsia="Calibri" w:hAnsi="Arial" w:cs="Arial"/>
          <w:sz w:val="20"/>
          <w:szCs w:val="20"/>
        </w:rPr>
        <w:t>Katrin Metstak</w:t>
      </w:r>
    </w:p>
    <w:p w14:paraId="61926482" w14:textId="77777777" w:rsidR="00EC5D70" w:rsidRPr="00EC5D70" w:rsidRDefault="00EC5D70" w:rsidP="00EC5D70">
      <w:pPr>
        <w:spacing w:after="0" w:line="276" w:lineRule="auto"/>
        <w:jc w:val="both"/>
        <w:rPr>
          <w:rFonts w:ascii="Arial" w:eastAsia="Calibri" w:hAnsi="Arial" w:cs="Arial"/>
          <w:sz w:val="20"/>
          <w:szCs w:val="20"/>
        </w:rPr>
      </w:pPr>
      <w:r w:rsidRPr="00EC5D70">
        <w:rPr>
          <w:rFonts w:ascii="Arial" w:eastAsia="Calibri" w:hAnsi="Arial" w:cs="Arial"/>
          <w:sz w:val="20"/>
          <w:szCs w:val="20"/>
        </w:rPr>
        <w:t>President</w:t>
      </w:r>
    </w:p>
    <w:p w14:paraId="4826CB3C" w14:textId="77777777" w:rsidR="00EC5D70" w:rsidRPr="00EC5D70" w:rsidRDefault="00EC5D70" w:rsidP="00EC5D70">
      <w:pPr>
        <w:spacing w:after="0" w:line="276" w:lineRule="auto"/>
        <w:jc w:val="both"/>
        <w:rPr>
          <w:rFonts w:ascii="Arial" w:eastAsia="Calibri" w:hAnsi="Arial" w:cs="Arial"/>
          <w:sz w:val="20"/>
          <w:szCs w:val="20"/>
        </w:rPr>
      </w:pPr>
      <w:r w:rsidRPr="00EC5D70">
        <w:rPr>
          <w:rFonts w:ascii="Arial" w:eastAsia="Calibri" w:hAnsi="Arial" w:cs="Arial"/>
          <w:sz w:val="20"/>
          <w:szCs w:val="20"/>
        </w:rPr>
        <w:t>Eesti Hambaarstide Liit</w:t>
      </w:r>
    </w:p>
    <w:p w14:paraId="35BD234B" w14:textId="75208684" w:rsidR="00857C9E" w:rsidRPr="00EC5D70" w:rsidRDefault="00857C9E" w:rsidP="00EC5D70">
      <w:pPr>
        <w:spacing w:line="276" w:lineRule="auto"/>
        <w:jc w:val="both"/>
        <w:rPr>
          <w:rFonts w:ascii="Arial" w:hAnsi="Arial" w:cs="Arial"/>
          <w:sz w:val="20"/>
          <w:szCs w:val="20"/>
        </w:rPr>
      </w:pPr>
    </w:p>
    <w:sectPr w:rsidR="00857C9E" w:rsidRPr="00EC5D70" w:rsidSect="004F7B7D">
      <w:headerReference w:type="even" r:id="rId13"/>
      <w:headerReference w:type="default" r:id="rId14"/>
      <w:footerReference w:type="default" r:id="rId15"/>
      <w:headerReference w:type="first" r:id="rId16"/>
      <w:pgSz w:w="11900" w:h="16840"/>
      <w:pgMar w:top="2268" w:right="1800" w:bottom="2268" w:left="1800" w:header="567"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CB1C0" w14:textId="77777777" w:rsidR="00E4609B" w:rsidRDefault="00E4609B" w:rsidP="006F323F">
      <w:r>
        <w:separator/>
      </w:r>
    </w:p>
  </w:endnote>
  <w:endnote w:type="continuationSeparator" w:id="0">
    <w:p w14:paraId="5B2F1AD0" w14:textId="77777777" w:rsidR="00E4609B" w:rsidRDefault="00E4609B" w:rsidP="006F3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84064" w14:textId="643C2394" w:rsidR="00A446AD" w:rsidRPr="004F7B7D" w:rsidRDefault="00A446AD" w:rsidP="00CC5C56">
    <w:pPr>
      <w:pStyle w:val="Footer"/>
      <w:spacing w:after="0" w:line="240" w:lineRule="auto"/>
      <w:rPr>
        <w:rFonts w:asciiTheme="majorHAnsi" w:hAnsiTheme="majorHAnsi"/>
        <w:color w:val="808080" w:themeColor="background1" w:themeShade="80"/>
      </w:rPr>
    </w:pPr>
    <w:r>
      <w:rPr>
        <w:rFonts w:asciiTheme="majorHAnsi" w:hAnsiTheme="majorHAnsi"/>
        <w:color w:val="808080" w:themeColor="background1" w:themeShade="80"/>
      </w:rPr>
      <w:t>MTÜ Eesti Hambaarstide Liit</w:t>
    </w:r>
    <w:r>
      <w:rPr>
        <w:rFonts w:asciiTheme="majorHAnsi" w:hAnsiTheme="majorHAnsi"/>
        <w:color w:val="808080" w:themeColor="background1" w:themeShade="80"/>
      </w:rPr>
      <w:tab/>
    </w:r>
    <w:r>
      <w:rPr>
        <w:rFonts w:asciiTheme="majorHAnsi" w:hAnsiTheme="majorHAnsi"/>
        <w:color w:val="808080" w:themeColor="background1" w:themeShade="80"/>
      </w:rPr>
      <w:tab/>
      <w:t>Eesti Hambaarstide Liit</w:t>
    </w:r>
  </w:p>
  <w:p w14:paraId="11A6D7B5" w14:textId="0CB73400" w:rsidR="00A446AD" w:rsidRPr="004F7B7D" w:rsidRDefault="00A446AD" w:rsidP="00CC5C56">
    <w:pPr>
      <w:pStyle w:val="Footer"/>
      <w:spacing w:after="0" w:line="240" w:lineRule="auto"/>
      <w:rPr>
        <w:rFonts w:asciiTheme="majorHAnsi" w:hAnsiTheme="majorHAnsi"/>
        <w:color w:val="808080" w:themeColor="background1" w:themeShade="80"/>
      </w:rPr>
    </w:pPr>
    <w:r w:rsidRPr="004F7B7D">
      <w:rPr>
        <w:rFonts w:asciiTheme="majorHAnsi" w:hAnsiTheme="majorHAnsi"/>
        <w:color w:val="808080" w:themeColor="background1" w:themeShade="80"/>
      </w:rPr>
      <w:t>Narva mnt 5-76, Tallinn 10117</w:t>
    </w:r>
    <w:r>
      <w:rPr>
        <w:rFonts w:asciiTheme="majorHAnsi" w:hAnsiTheme="majorHAnsi"/>
        <w:color w:val="808080" w:themeColor="background1" w:themeShade="80"/>
      </w:rPr>
      <w:tab/>
    </w:r>
    <w:r>
      <w:rPr>
        <w:rFonts w:asciiTheme="majorHAnsi" w:hAnsiTheme="majorHAnsi"/>
        <w:color w:val="808080" w:themeColor="background1" w:themeShade="80"/>
      </w:rPr>
      <w:tab/>
      <w:t>reg. nr. 80253809</w:t>
    </w:r>
  </w:p>
  <w:p w14:paraId="13D8C037" w14:textId="1DD0C55E" w:rsidR="00A446AD" w:rsidRDefault="00A446AD" w:rsidP="00CC5C56">
    <w:pPr>
      <w:pStyle w:val="Footer"/>
      <w:spacing w:after="0" w:line="240" w:lineRule="auto"/>
      <w:rPr>
        <w:rFonts w:asciiTheme="majorHAnsi" w:hAnsiTheme="majorHAnsi"/>
        <w:color w:val="808080" w:themeColor="background1" w:themeShade="80"/>
      </w:rPr>
    </w:pPr>
    <w:r w:rsidRPr="004F7B7D">
      <w:rPr>
        <w:rFonts w:asciiTheme="majorHAnsi" w:hAnsiTheme="majorHAnsi"/>
        <w:color w:val="808080" w:themeColor="background1" w:themeShade="80"/>
      </w:rPr>
      <w:t xml:space="preserve">Tel. 645 9001 | </w:t>
    </w:r>
    <w:hyperlink r:id="rId1" w:history="1">
      <w:r w:rsidRPr="006259F3">
        <w:rPr>
          <w:rStyle w:val="Hyperlink"/>
          <w:rFonts w:asciiTheme="majorHAnsi" w:hAnsiTheme="majorHAnsi"/>
          <w:color w:val="000080" w:themeColor="hyperlink" w:themeShade="80"/>
        </w:rPr>
        <w:t>tallinn@ehl.ee</w:t>
      </w:r>
    </w:hyperlink>
    <w:r>
      <w:rPr>
        <w:rFonts w:asciiTheme="majorHAnsi" w:hAnsiTheme="majorHAnsi"/>
        <w:color w:val="808080" w:themeColor="background1" w:themeShade="80"/>
      </w:rPr>
      <w:tab/>
    </w:r>
    <w:r>
      <w:rPr>
        <w:rFonts w:asciiTheme="majorHAnsi" w:hAnsiTheme="majorHAnsi"/>
        <w:color w:val="808080" w:themeColor="background1" w:themeShade="80"/>
      </w:rPr>
      <w:tab/>
      <w:t>SEB EE141010152007519005</w:t>
    </w:r>
  </w:p>
  <w:p w14:paraId="6D307A9E" w14:textId="49579D73" w:rsidR="00A446AD" w:rsidRPr="004F7B7D" w:rsidRDefault="00000000" w:rsidP="00CC5C56">
    <w:pPr>
      <w:pStyle w:val="Footer"/>
      <w:spacing w:after="0" w:line="240" w:lineRule="auto"/>
      <w:rPr>
        <w:rFonts w:asciiTheme="majorHAnsi" w:hAnsiTheme="majorHAnsi"/>
        <w:color w:val="808080" w:themeColor="background1" w:themeShade="80"/>
      </w:rPr>
    </w:pPr>
    <w:hyperlink r:id="rId2" w:history="1">
      <w:r w:rsidR="00A446AD" w:rsidRPr="006259F3">
        <w:rPr>
          <w:rStyle w:val="Hyperlink"/>
          <w:rFonts w:asciiTheme="majorHAnsi" w:hAnsiTheme="majorHAnsi"/>
          <w:color w:val="000080" w:themeColor="hyperlink" w:themeShade="80"/>
        </w:rPr>
        <w:t>www.ehl.ee</w:t>
      </w:r>
    </w:hyperlink>
    <w:r w:rsidR="00A446AD">
      <w:rPr>
        <w:rFonts w:asciiTheme="majorHAnsi" w:hAnsiTheme="majorHAnsi"/>
        <w:color w:val="808080" w:themeColor="background1" w:themeShade="80"/>
      </w:rPr>
      <w:t xml:space="preserve"> </w:t>
    </w:r>
    <w:r w:rsidR="00A446AD">
      <w:rPr>
        <w:rFonts w:asciiTheme="majorHAnsi" w:hAnsiTheme="majorHAnsi"/>
        <w:color w:val="808080" w:themeColor="background1" w:themeShade="80"/>
      </w:rPr>
      <w:tab/>
    </w:r>
    <w:r w:rsidR="00A446AD">
      <w:rPr>
        <w:rFonts w:asciiTheme="majorHAnsi" w:hAnsiTheme="majorHAnsi"/>
        <w:color w:val="808080" w:themeColor="background1" w:themeShade="80"/>
      </w:rPr>
      <w:tab/>
      <w:t>Swedbank EE302200221001164481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BB868F" w14:textId="77777777" w:rsidR="00E4609B" w:rsidRDefault="00E4609B" w:rsidP="006F323F">
      <w:r>
        <w:separator/>
      </w:r>
    </w:p>
  </w:footnote>
  <w:footnote w:type="continuationSeparator" w:id="0">
    <w:p w14:paraId="33112700" w14:textId="77777777" w:rsidR="00E4609B" w:rsidRDefault="00E4609B" w:rsidP="006F32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ABBAE" w14:textId="76EA96F3" w:rsidR="00A446AD" w:rsidRDefault="00E4609B">
    <w:pPr>
      <w:pStyle w:val="Header"/>
    </w:pPr>
    <w:r>
      <w:rPr>
        <w:noProof/>
      </w:rPr>
      <w:pict w14:anchorId="20ADDA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7" type="#_x0000_t75" alt="" style="position:absolute;margin-left:0;margin-top:0;width:414.95pt;height:409.05pt;z-index:-251653120;mso-wrap-edited:f;mso-width-percent:0;mso-height-percent:0;mso-position-horizontal:center;mso-position-horizontal-relative:margin;mso-position-vertical:center;mso-position-vertical-relative:margin;mso-width-percent:0;mso-height-percent:0" wrapcoords="-39 0 -39 21520 21600 21520 21600 0 -39 0" o:allowincell="f">
          <v:imagedata r:id="rId1" o:title="ehl 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64EEA" w14:textId="00223E69" w:rsidR="00A446AD" w:rsidRDefault="00E4609B" w:rsidP="004F7B7D">
    <w:pPr>
      <w:pStyle w:val="Header"/>
      <w:ind w:left="-993"/>
    </w:pPr>
    <w:r>
      <w:rPr>
        <w:noProof/>
      </w:rPr>
      <w:pict w14:anchorId="3CC0F4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6" type="#_x0000_t75" alt="" style="position:absolute;left:0;text-align:left;margin-left:0;margin-top:0;width:414.95pt;height:409.05pt;z-index:-251650048;mso-wrap-edited:f;mso-width-percent:0;mso-height-percent:0;mso-position-horizontal:center;mso-position-horizontal-relative:margin;mso-position-vertical:center;mso-position-vertical-relative:margin;mso-width-percent:0;mso-height-percent:0" wrapcoords="-39 0 -39 21520 21600 21520 21600 0 -39 0" o:allowincell="f">
          <v:imagedata r:id="rId1" o:title="ehl logo" gain="19661f" blacklevel="22938f"/>
          <w10:wrap anchorx="margin" anchory="margin"/>
        </v:shape>
      </w:pict>
    </w:r>
    <w:r w:rsidR="00A446AD">
      <w:rPr>
        <w:noProof/>
        <w:lang w:val="en-US"/>
      </w:rPr>
      <w:drawing>
        <wp:inline distT="0" distB="0" distL="0" distR="0" wp14:anchorId="50D64EB8" wp14:editId="48A67573">
          <wp:extent cx="3124200" cy="749300"/>
          <wp:effectExtent l="0" t="0" r="0" b="0"/>
          <wp:docPr id="1" name="Picture 1"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with low confidence"/>
                  <pic:cNvPicPr/>
                </pic:nvPicPr>
                <pic:blipFill>
                  <a:blip r:embed="rId2"/>
                  <a:stretch>
                    <a:fillRect/>
                  </a:stretch>
                </pic:blipFill>
                <pic:spPr>
                  <a:xfrm>
                    <a:off x="0" y="0"/>
                    <a:ext cx="3124200" cy="7493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1D424" w14:textId="237AFFE2" w:rsidR="00A446AD" w:rsidRDefault="00E4609B">
    <w:pPr>
      <w:pStyle w:val="Header"/>
    </w:pPr>
    <w:r>
      <w:rPr>
        <w:noProof/>
      </w:rPr>
      <w:pict w14:anchorId="40B740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 style="position:absolute;margin-left:0;margin-top:0;width:414.95pt;height:409.05pt;z-index:-251656192;mso-wrap-edited:f;mso-width-percent:0;mso-height-percent:0;mso-position-horizontal:center;mso-position-horizontal-relative:margin;mso-position-vertical:center;mso-position-vertical-relative:margin;mso-width-percent:0;mso-height-percent:0" wrapcoords="-39 0 -39 21520 21600 21520 21600 0 -39 0" o:allowincell="f">
          <v:imagedata r:id="rId1" o:title="ehl 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417C5"/>
    <w:multiLevelType w:val="hybridMultilevel"/>
    <w:tmpl w:val="2F120D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7047F8"/>
    <w:multiLevelType w:val="multilevel"/>
    <w:tmpl w:val="603436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A621162"/>
    <w:multiLevelType w:val="hybridMultilevel"/>
    <w:tmpl w:val="B424671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FFC18DC"/>
    <w:multiLevelType w:val="hybridMultilevel"/>
    <w:tmpl w:val="23B8A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E5878F7"/>
    <w:multiLevelType w:val="hybridMultilevel"/>
    <w:tmpl w:val="ED8CA2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4995EC6"/>
    <w:multiLevelType w:val="hybridMultilevel"/>
    <w:tmpl w:val="0DA4BCE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AA965E8"/>
    <w:multiLevelType w:val="hybridMultilevel"/>
    <w:tmpl w:val="A36E3F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75366939">
    <w:abstractNumId w:val="3"/>
  </w:num>
  <w:num w:numId="2" w16cid:durableId="235363857">
    <w:abstractNumId w:val="2"/>
  </w:num>
  <w:num w:numId="3" w16cid:durableId="1184325619">
    <w:abstractNumId w:val="4"/>
  </w:num>
  <w:num w:numId="4" w16cid:durableId="1161386930">
    <w:abstractNumId w:val="6"/>
  </w:num>
  <w:num w:numId="5" w16cid:durableId="1140343546">
    <w:abstractNumId w:val="0"/>
  </w:num>
  <w:num w:numId="6" w16cid:durableId="2013363814">
    <w:abstractNumId w:val="1"/>
  </w:num>
  <w:num w:numId="7" w16cid:durableId="17885449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23F"/>
    <w:rsid w:val="00025841"/>
    <w:rsid w:val="000375B1"/>
    <w:rsid w:val="00051093"/>
    <w:rsid w:val="00081278"/>
    <w:rsid w:val="00083269"/>
    <w:rsid w:val="000F05CE"/>
    <w:rsid w:val="00103241"/>
    <w:rsid w:val="001169A1"/>
    <w:rsid w:val="00140D80"/>
    <w:rsid w:val="0016138C"/>
    <w:rsid w:val="00170EF9"/>
    <w:rsid w:val="0017583C"/>
    <w:rsid w:val="001A7444"/>
    <w:rsid w:val="001C14C5"/>
    <w:rsid w:val="001E0014"/>
    <w:rsid w:val="001E63EE"/>
    <w:rsid w:val="0020446F"/>
    <w:rsid w:val="00264F06"/>
    <w:rsid w:val="00291B5C"/>
    <w:rsid w:val="002D1C2A"/>
    <w:rsid w:val="00306644"/>
    <w:rsid w:val="00317B16"/>
    <w:rsid w:val="00337DAF"/>
    <w:rsid w:val="00360A36"/>
    <w:rsid w:val="00361521"/>
    <w:rsid w:val="00362001"/>
    <w:rsid w:val="003C34B9"/>
    <w:rsid w:val="0043062F"/>
    <w:rsid w:val="004345FA"/>
    <w:rsid w:val="0045195A"/>
    <w:rsid w:val="00477B02"/>
    <w:rsid w:val="004821CD"/>
    <w:rsid w:val="00495897"/>
    <w:rsid w:val="004F7B7D"/>
    <w:rsid w:val="0050263E"/>
    <w:rsid w:val="00503228"/>
    <w:rsid w:val="005328FE"/>
    <w:rsid w:val="005345A1"/>
    <w:rsid w:val="00553106"/>
    <w:rsid w:val="0056791A"/>
    <w:rsid w:val="00586A65"/>
    <w:rsid w:val="005A56B2"/>
    <w:rsid w:val="005A71DB"/>
    <w:rsid w:val="005C13AA"/>
    <w:rsid w:val="005D7DBF"/>
    <w:rsid w:val="005E3FD9"/>
    <w:rsid w:val="006107BE"/>
    <w:rsid w:val="006227C7"/>
    <w:rsid w:val="00624F20"/>
    <w:rsid w:val="00627632"/>
    <w:rsid w:val="00635DD0"/>
    <w:rsid w:val="006A0B5E"/>
    <w:rsid w:val="006A6A0B"/>
    <w:rsid w:val="006C70A2"/>
    <w:rsid w:val="006F323F"/>
    <w:rsid w:val="007068AF"/>
    <w:rsid w:val="00716D9F"/>
    <w:rsid w:val="0072745B"/>
    <w:rsid w:val="00757196"/>
    <w:rsid w:val="007643B8"/>
    <w:rsid w:val="00777B7B"/>
    <w:rsid w:val="007E5F35"/>
    <w:rsid w:val="007F4B0F"/>
    <w:rsid w:val="0081628D"/>
    <w:rsid w:val="00857C9E"/>
    <w:rsid w:val="00962905"/>
    <w:rsid w:val="00970200"/>
    <w:rsid w:val="00982733"/>
    <w:rsid w:val="009B0428"/>
    <w:rsid w:val="009C513D"/>
    <w:rsid w:val="009D424A"/>
    <w:rsid w:val="009E058A"/>
    <w:rsid w:val="009F204C"/>
    <w:rsid w:val="009F56FC"/>
    <w:rsid w:val="00A446AD"/>
    <w:rsid w:val="00AA7AA9"/>
    <w:rsid w:val="00AE0866"/>
    <w:rsid w:val="00B104A1"/>
    <w:rsid w:val="00B31BE6"/>
    <w:rsid w:val="00BC05CE"/>
    <w:rsid w:val="00BE10B4"/>
    <w:rsid w:val="00BF7CD8"/>
    <w:rsid w:val="00C00C62"/>
    <w:rsid w:val="00C0532D"/>
    <w:rsid w:val="00C247AA"/>
    <w:rsid w:val="00C37E08"/>
    <w:rsid w:val="00C45D81"/>
    <w:rsid w:val="00C50978"/>
    <w:rsid w:val="00C75D2F"/>
    <w:rsid w:val="00C85489"/>
    <w:rsid w:val="00CC5C56"/>
    <w:rsid w:val="00CD16DE"/>
    <w:rsid w:val="00CD7AEA"/>
    <w:rsid w:val="00CE018E"/>
    <w:rsid w:val="00CE64B4"/>
    <w:rsid w:val="00DA5403"/>
    <w:rsid w:val="00DA64E6"/>
    <w:rsid w:val="00DD253A"/>
    <w:rsid w:val="00DD2D61"/>
    <w:rsid w:val="00E06922"/>
    <w:rsid w:val="00E3151C"/>
    <w:rsid w:val="00E4609B"/>
    <w:rsid w:val="00E72BD8"/>
    <w:rsid w:val="00EB43E6"/>
    <w:rsid w:val="00EC5793"/>
    <w:rsid w:val="00EC5D70"/>
    <w:rsid w:val="00EE3ACE"/>
    <w:rsid w:val="00EE7A6D"/>
    <w:rsid w:val="00EF2296"/>
    <w:rsid w:val="00F54B62"/>
    <w:rsid w:val="00F643FA"/>
    <w:rsid w:val="00F65685"/>
    <w:rsid w:val="00F67470"/>
    <w:rsid w:val="00F961DF"/>
    <w:rsid w:val="00FB4BE5"/>
    <w:rsid w:val="00FD53C3"/>
    <w:rsid w:val="00FF4A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E7C314"/>
  <w14:defaultImageDpi w14:val="300"/>
  <w15:docId w15:val="{C7EAFF96-D951-AC43-B1A5-2707BD6DC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64B4"/>
    <w:pPr>
      <w:spacing w:after="160" w:line="259" w:lineRule="auto"/>
    </w:pPr>
    <w:rPr>
      <w:rFonts w:eastAsiaTheme="minorHAnsi"/>
      <w:sz w:val="22"/>
      <w:szCs w:val="22"/>
      <w:lang w:val="et-EE"/>
    </w:rPr>
  </w:style>
  <w:style w:type="paragraph" w:styleId="Heading1">
    <w:name w:val="heading 1"/>
    <w:basedOn w:val="Normal"/>
    <w:next w:val="Normal"/>
    <w:link w:val="Heading1Char"/>
    <w:uiPriority w:val="9"/>
    <w:qFormat/>
    <w:rsid w:val="0045195A"/>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323F"/>
    <w:pPr>
      <w:tabs>
        <w:tab w:val="center" w:pos="4320"/>
        <w:tab w:val="right" w:pos="8640"/>
      </w:tabs>
    </w:pPr>
  </w:style>
  <w:style w:type="character" w:customStyle="1" w:styleId="HeaderChar">
    <w:name w:val="Header Char"/>
    <w:basedOn w:val="DefaultParagraphFont"/>
    <w:link w:val="Header"/>
    <w:uiPriority w:val="99"/>
    <w:rsid w:val="006F323F"/>
  </w:style>
  <w:style w:type="paragraph" w:styleId="Footer">
    <w:name w:val="footer"/>
    <w:basedOn w:val="Normal"/>
    <w:link w:val="FooterChar"/>
    <w:uiPriority w:val="99"/>
    <w:unhideWhenUsed/>
    <w:rsid w:val="006F323F"/>
    <w:pPr>
      <w:tabs>
        <w:tab w:val="center" w:pos="4320"/>
        <w:tab w:val="right" w:pos="8640"/>
      </w:tabs>
    </w:pPr>
  </w:style>
  <w:style w:type="character" w:customStyle="1" w:styleId="FooterChar">
    <w:name w:val="Footer Char"/>
    <w:basedOn w:val="DefaultParagraphFont"/>
    <w:link w:val="Footer"/>
    <w:uiPriority w:val="99"/>
    <w:rsid w:val="006F323F"/>
  </w:style>
  <w:style w:type="character" w:styleId="Hyperlink">
    <w:name w:val="Hyperlink"/>
    <w:basedOn w:val="DefaultParagraphFont"/>
    <w:uiPriority w:val="99"/>
    <w:unhideWhenUsed/>
    <w:rsid w:val="004F7B7D"/>
    <w:rPr>
      <w:color w:val="0000FF" w:themeColor="hyperlink"/>
      <w:u w:val="single"/>
    </w:rPr>
  </w:style>
  <w:style w:type="character" w:customStyle="1" w:styleId="UnresolvedMention1">
    <w:name w:val="Unresolved Mention1"/>
    <w:basedOn w:val="DefaultParagraphFont"/>
    <w:uiPriority w:val="99"/>
    <w:semiHidden/>
    <w:unhideWhenUsed/>
    <w:rsid w:val="004F7B7D"/>
    <w:rPr>
      <w:color w:val="605E5C"/>
      <w:shd w:val="clear" w:color="auto" w:fill="E1DFDD"/>
    </w:rPr>
  </w:style>
  <w:style w:type="paragraph" w:styleId="BalloonText">
    <w:name w:val="Balloon Text"/>
    <w:basedOn w:val="Normal"/>
    <w:link w:val="BalloonTextChar"/>
    <w:uiPriority w:val="99"/>
    <w:semiHidden/>
    <w:unhideWhenUsed/>
    <w:rsid w:val="00AE086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E0866"/>
    <w:rPr>
      <w:rFonts w:ascii="Lucida Grande" w:hAnsi="Lucida Grande" w:cs="Lucida Grande"/>
      <w:sz w:val="18"/>
      <w:szCs w:val="18"/>
    </w:rPr>
  </w:style>
  <w:style w:type="paragraph" w:styleId="ListParagraph">
    <w:name w:val="List Paragraph"/>
    <w:basedOn w:val="Normal"/>
    <w:uiPriority w:val="34"/>
    <w:qFormat/>
    <w:rsid w:val="003C34B9"/>
    <w:pPr>
      <w:ind w:left="720"/>
      <w:contextualSpacing/>
    </w:pPr>
  </w:style>
  <w:style w:type="paragraph" w:customStyle="1" w:styleId="Default">
    <w:name w:val="Default"/>
    <w:rsid w:val="007068AF"/>
    <w:pPr>
      <w:widowControl w:val="0"/>
      <w:autoSpaceDE w:val="0"/>
      <w:autoSpaceDN w:val="0"/>
      <w:adjustRightInd w:val="0"/>
    </w:pPr>
    <w:rPr>
      <w:rFonts w:ascii="Arial" w:hAnsi="Arial" w:cs="Arial"/>
      <w:color w:val="000000"/>
    </w:rPr>
  </w:style>
  <w:style w:type="character" w:customStyle="1" w:styleId="Heading1Char">
    <w:name w:val="Heading 1 Char"/>
    <w:basedOn w:val="DefaultParagraphFont"/>
    <w:link w:val="Heading1"/>
    <w:uiPriority w:val="9"/>
    <w:rsid w:val="0045195A"/>
    <w:rPr>
      <w:rFonts w:asciiTheme="majorHAnsi" w:eastAsiaTheme="majorEastAsia" w:hAnsiTheme="majorHAnsi" w:cstheme="majorBidi"/>
      <w:b/>
      <w:bCs/>
      <w:color w:val="345A8A" w:themeColor="accent1" w:themeShade="B5"/>
      <w:sz w:val="32"/>
      <w:szCs w:val="32"/>
      <w:lang w:val="et-EE"/>
    </w:rPr>
  </w:style>
  <w:style w:type="paragraph" w:customStyle="1" w:styleId="Normal1">
    <w:name w:val="Normal1"/>
    <w:rsid w:val="005A56B2"/>
    <w:pPr>
      <w:spacing w:line="276" w:lineRule="auto"/>
    </w:pPr>
    <w:rPr>
      <w:rFonts w:ascii="Arial" w:eastAsia="Arial" w:hAnsi="Arial" w:cs="Arial"/>
      <w:sz w:val="22"/>
      <w:szCs w:val="22"/>
      <w:lang w:val="et-EE"/>
    </w:rPr>
  </w:style>
  <w:style w:type="paragraph" w:styleId="FootnoteText">
    <w:name w:val="footnote text"/>
    <w:basedOn w:val="Normal"/>
    <w:link w:val="FootnoteTextChar"/>
    <w:uiPriority w:val="99"/>
    <w:semiHidden/>
    <w:unhideWhenUsed/>
    <w:rsid w:val="00CC5C5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C5C56"/>
    <w:rPr>
      <w:rFonts w:eastAsiaTheme="minorHAnsi"/>
      <w:sz w:val="20"/>
      <w:szCs w:val="20"/>
      <w:lang w:val="et-EE"/>
    </w:rPr>
  </w:style>
  <w:style w:type="character" w:styleId="FootnoteReference">
    <w:name w:val="footnote reference"/>
    <w:basedOn w:val="DefaultParagraphFont"/>
    <w:uiPriority w:val="99"/>
    <w:semiHidden/>
    <w:unhideWhenUsed/>
    <w:rsid w:val="00CC5C56"/>
    <w:rPr>
      <w:vertAlign w:val="superscript"/>
    </w:rPr>
  </w:style>
  <w:style w:type="character" w:styleId="UnresolvedMention">
    <w:name w:val="Unresolved Mention"/>
    <w:basedOn w:val="DefaultParagraphFont"/>
    <w:uiPriority w:val="99"/>
    <w:semiHidden/>
    <w:unhideWhenUsed/>
    <w:rsid w:val="00CE01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726838">
      <w:bodyDiv w:val="1"/>
      <w:marLeft w:val="0"/>
      <w:marRight w:val="0"/>
      <w:marTop w:val="0"/>
      <w:marBottom w:val="0"/>
      <w:divBdr>
        <w:top w:val="none" w:sz="0" w:space="0" w:color="auto"/>
        <w:left w:val="none" w:sz="0" w:space="0" w:color="auto"/>
        <w:bottom w:val="none" w:sz="0" w:space="0" w:color="auto"/>
        <w:right w:val="none" w:sz="0" w:space="0" w:color="auto"/>
      </w:divBdr>
    </w:div>
    <w:div w:id="138890526">
      <w:bodyDiv w:val="1"/>
      <w:marLeft w:val="0"/>
      <w:marRight w:val="0"/>
      <w:marTop w:val="0"/>
      <w:marBottom w:val="0"/>
      <w:divBdr>
        <w:top w:val="none" w:sz="0" w:space="0" w:color="auto"/>
        <w:left w:val="none" w:sz="0" w:space="0" w:color="auto"/>
        <w:bottom w:val="none" w:sz="0" w:space="0" w:color="auto"/>
        <w:right w:val="none" w:sz="0" w:space="0" w:color="auto"/>
      </w:divBdr>
    </w:div>
    <w:div w:id="278727422">
      <w:bodyDiv w:val="1"/>
      <w:marLeft w:val="0"/>
      <w:marRight w:val="0"/>
      <w:marTop w:val="0"/>
      <w:marBottom w:val="0"/>
      <w:divBdr>
        <w:top w:val="none" w:sz="0" w:space="0" w:color="auto"/>
        <w:left w:val="none" w:sz="0" w:space="0" w:color="auto"/>
        <w:bottom w:val="none" w:sz="0" w:space="0" w:color="auto"/>
        <w:right w:val="none" w:sz="0" w:space="0" w:color="auto"/>
      </w:divBdr>
    </w:div>
    <w:div w:id="397631030">
      <w:bodyDiv w:val="1"/>
      <w:marLeft w:val="0"/>
      <w:marRight w:val="0"/>
      <w:marTop w:val="0"/>
      <w:marBottom w:val="0"/>
      <w:divBdr>
        <w:top w:val="none" w:sz="0" w:space="0" w:color="auto"/>
        <w:left w:val="none" w:sz="0" w:space="0" w:color="auto"/>
        <w:bottom w:val="none" w:sz="0" w:space="0" w:color="auto"/>
        <w:right w:val="none" w:sz="0" w:space="0" w:color="auto"/>
      </w:divBdr>
    </w:div>
    <w:div w:id="657274191">
      <w:bodyDiv w:val="1"/>
      <w:marLeft w:val="0"/>
      <w:marRight w:val="0"/>
      <w:marTop w:val="0"/>
      <w:marBottom w:val="0"/>
      <w:divBdr>
        <w:top w:val="none" w:sz="0" w:space="0" w:color="auto"/>
        <w:left w:val="none" w:sz="0" w:space="0" w:color="auto"/>
        <w:bottom w:val="none" w:sz="0" w:space="0" w:color="auto"/>
        <w:right w:val="none" w:sz="0" w:space="0" w:color="auto"/>
      </w:divBdr>
    </w:div>
    <w:div w:id="779645966">
      <w:bodyDiv w:val="1"/>
      <w:marLeft w:val="0"/>
      <w:marRight w:val="0"/>
      <w:marTop w:val="0"/>
      <w:marBottom w:val="0"/>
      <w:divBdr>
        <w:top w:val="none" w:sz="0" w:space="0" w:color="auto"/>
        <w:left w:val="none" w:sz="0" w:space="0" w:color="auto"/>
        <w:bottom w:val="none" w:sz="0" w:space="0" w:color="auto"/>
        <w:right w:val="none" w:sz="0" w:space="0" w:color="auto"/>
      </w:divBdr>
    </w:div>
    <w:div w:id="887499719">
      <w:bodyDiv w:val="1"/>
      <w:marLeft w:val="0"/>
      <w:marRight w:val="0"/>
      <w:marTop w:val="0"/>
      <w:marBottom w:val="0"/>
      <w:divBdr>
        <w:top w:val="none" w:sz="0" w:space="0" w:color="auto"/>
        <w:left w:val="none" w:sz="0" w:space="0" w:color="auto"/>
        <w:bottom w:val="none" w:sz="0" w:space="0" w:color="auto"/>
        <w:right w:val="none" w:sz="0" w:space="0" w:color="auto"/>
      </w:divBdr>
    </w:div>
    <w:div w:id="1068377381">
      <w:bodyDiv w:val="1"/>
      <w:marLeft w:val="0"/>
      <w:marRight w:val="0"/>
      <w:marTop w:val="0"/>
      <w:marBottom w:val="0"/>
      <w:divBdr>
        <w:top w:val="none" w:sz="0" w:space="0" w:color="auto"/>
        <w:left w:val="none" w:sz="0" w:space="0" w:color="auto"/>
        <w:bottom w:val="none" w:sz="0" w:space="0" w:color="auto"/>
        <w:right w:val="none" w:sz="0" w:space="0" w:color="auto"/>
      </w:divBdr>
    </w:div>
    <w:div w:id="1282805184">
      <w:bodyDiv w:val="1"/>
      <w:marLeft w:val="0"/>
      <w:marRight w:val="0"/>
      <w:marTop w:val="0"/>
      <w:marBottom w:val="0"/>
      <w:divBdr>
        <w:top w:val="none" w:sz="0" w:space="0" w:color="auto"/>
        <w:left w:val="none" w:sz="0" w:space="0" w:color="auto"/>
        <w:bottom w:val="none" w:sz="0" w:space="0" w:color="auto"/>
        <w:right w:val="none" w:sz="0" w:space="0" w:color="auto"/>
      </w:divBdr>
    </w:div>
    <w:div w:id="1394229460">
      <w:bodyDiv w:val="1"/>
      <w:marLeft w:val="0"/>
      <w:marRight w:val="0"/>
      <w:marTop w:val="0"/>
      <w:marBottom w:val="0"/>
      <w:divBdr>
        <w:top w:val="none" w:sz="0" w:space="0" w:color="auto"/>
        <w:left w:val="none" w:sz="0" w:space="0" w:color="auto"/>
        <w:bottom w:val="none" w:sz="0" w:space="0" w:color="auto"/>
        <w:right w:val="none" w:sz="0" w:space="0" w:color="auto"/>
      </w:divBdr>
    </w:div>
    <w:div w:id="1471441046">
      <w:bodyDiv w:val="1"/>
      <w:marLeft w:val="0"/>
      <w:marRight w:val="0"/>
      <w:marTop w:val="0"/>
      <w:marBottom w:val="0"/>
      <w:divBdr>
        <w:top w:val="none" w:sz="0" w:space="0" w:color="auto"/>
        <w:left w:val="none" w:sz="0" w:space="0" w:color="auto"/>
        <w:bottom w:val="none" w:sz="0" w:space="0" w:color="auto"/>
        <w:right w:val="none" w:sz="0" w:space="0" w:color="auto"/>
      </w:divBdr>
    </w:div>
    <w:div w:id="1622570573">
      <w:bodyDiv w:val="1"/>
      <w:marLeft w:val="0"/>
      <w:marRight w:val="0"/>
      <w:marTop w:val="0"/>
      <w:marBottom w:val="0"/>
      <w:divBdr>
        <w:top w:val="none" w:sz="0" w:space="0" w:color="auto"/>
        <w:left w:val="none" w:sz="0" w:space="0" w:color="auto"/>
        <w:bottom w:val="none" w:sz="0" w:space="0" w:color="auto"/>
        <w:right w:val="none" w:sz="0" w:space="0" w:color="auto"/>
      </w:divBdr>
    </w:div>
    <w:div w:id="2076270914">
      <w:bodyDiv w:val="1"/>
      <w:marLeft w:val="0"/>
      <w:marRight w:val="0"/>
      <w:marTop w:val="0"/>
      <w:marBottom w:val="0"/>
      <w:divBdr>
        <w:top w:val="none" w:sz="0" w:space="0" w:color="auto"/>
        <w:left w:val="none" w:sz="0" w:space="0" w:color="auto"/>
        <w:bottom w:val="none" w:sz="0" w:space="0" w:color="auto"/>
        <w:right w:val="none" w:sz="0" w:space="0" w:color="auto"/>
      </w:divBdr>
      <w:divsChild>
        <w:div w:id="164666653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0758021">
              <w:marLeft w:val="0"/>
              <w:marRight w:val="0"/>
              <w:marTop w:val="0"/>
              <w:marBottom w:val="0"/>
              <w:divBdr>
                <w:top w:val="none" w:sz="0" w:space="0" w:color="auto"/>
                <w:left w:val="none" w:sz="0" w:space="0" w:color="auto"/>
                <w:bottom w:val="none" w:sz="0" w:space="0" w:color="auto"/>
                <w:right w:val="none" w:sz="0" w:space="0" w:color="auto"/>
              </w:divBdr>
              <w:divsChild>
                <w:div w:id="2135978508">
                  <w:marLeft w:val="0"/>
                  <w:marRight w:val="0"/>
                  <w:marTop w:val="0"/>
                  <w:marBottom w:val="0"/>
                  <w:divBdr>
                    <w:top w:val="none" w:sz="0" w:space="0" w:color="auto"/>
                    <w:left w:val="none" w:sz="0" w:space="0" w:color="auto"/>
                    <w:bottom w:val="none" w:sz="0" w:space="0" w:color="auto"/>
                    <w:right w:val="none" w:sz="0" w:space="0" w:color="auto"/>
                  </w:divBdr>
                  <w:divsChild>
                    <w:div w:id="491677901">
                      <w:marLeft w:val="0"/>
                      <w:marRight w:val="0"/>
                      <w:marTop w:val="0"/>
                      <w:marBottom w:val="0"/>
                      <w:divBdr>
                        <w:top w:val="none" w:sz="0" w:space="0" w:color="auto"/>
                        <w:left w:val="none" w:sz="0" w:space="0" w:color="auto"/>
                        <w:bottom w:val="none" w:sz="0" w:space="0" w:color="auto"/>
                        <w:right w:val="none" w:sz="0" w:space="0" w:color="auto"/>
                      </w:divBdr>
                    </w:div>
                    <w:div w:id="492650027">
                      <w:marLeft w:val="0"/>
                      <w:marRight w:val="0"/>
                      <w:marTop w:val="0"/>
                      <w:marBottom w:val="0"/>
                      <w:divBdr>
                        <w:top w:val="none" w:sz="0" w:space="0" w:color="auto"/>
                        <w:left w:val="none" w:sz="0" w:space="0" w:color="auto"/>
                        <w:bottom w:val="none" w:sz="0" w:space="0" w:color="auto"/>
                        <w:right w:val="none" w:sz="0" w:space="0" w:color="auto"/>
                      </w:divBdr>
                    </w:div>
                    <w:div w:id="857600">
                      <w:marLeft w:val="0"/>
                      <w:marRight w:val="0"/>
                      <w:marTop w:val="0"/>
                      <w:marBottom w:val="0"/>
                      <w:divBdr>
                        <w:top w:val="none" w:sz="0" w:space="0" w:color="auto"/>
                        <w:left w:val="none" w:sz="0" w:space="0" w:color="auto"/>
                        <w:bottom w:val="none" w:sz="0" w:space="0" w:color="auto"/>
                        <w:right w:val="none" w:sz="0" w:space="0" w:color="auto"/>
                      </w:divBdr>
                    </w:div>
                    <w:div w:id="138692796">
                      <w:marLeft w:val="0"/>
                      <w:marRight w:val="0"/>
                      <w:marTop w:val="0"/>
                      <w:marBottom w:val="0"/>
                      <w:divBdr>
                        <w:top w:val="none" w:sz="0" w:space="0" w:color="auto"/>
                        <w:left w:val="none" w:sz="0" w:space="0" w:color="auto"/>
                        <w:bottom w:val="none" w:sz="0" w:space="0" w:color="auto"/>
                        <w:right w:val="none" w:sz="0" w:space="0" w:color="auto"/>
                      </w:divBdr>
                    </w:div>
                    <w:div w:id="159404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2162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m.ee"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ambaravi@tervisekassa.e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iia.zeigo@tervisekassa.e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sotsiaalkomisjon@riigikogu.ee" TargetMode="External"/><Relationship Id="rId4" Type="http://schemas.openxmlformats.org/officeDocument/2006/relationships/settings" Target="settings.xml"/><Relationship Id="rId9" Type="http://schemas.openxmlformats.org/officeDocument/2006/relationships/hyperlink" Target="mailto:Heli.Paluste@sm.ee"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www.ehl.ee" TargetMode="External"/><Relationship Id="rId1" Type="http://schemas.openxmlformats.org/officeDocument/2006/relationships/hyperlink" Target="mailto:tallinn@ehl.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E7DBA-E7FF-2F42-A272-CCBDB9A1B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1386</Words>
  <Characters>7905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K</Company>
  <LinksUpToDate>false</LinksUpToDate>
  <CharactersWithSpaces>9273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L</dc:creator>
  <cp:keywords/>
  <dc:description/>
  <cp:lastModifiedBy>Helen Lang</cp:lastModifiedBy>
  <cp:revision>4</cp:revision>
  <cp:lastPrinted>2022-06-06T09:39:00Z</cp:lastPrinted>
  <dcterms:created xsi:type="dcterms:W3CDTF">2024-04-10T08:42:00Z</dcterms:created>
  <dcterms:modified xsi:type="dcterms:W3CDTF">2024-04-10T09:50:00Z</dcterms:modified>
</cp:coreProperties>
</file>