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9BD2" w14:textId="77777777" w:rsidR="00390360" w:rsidRDefault="00390360" w:rsidP="00B1595F">
      <w:pPr>
        <w:jc w:val="both"/>
        <w:rPr>
          <w:lang w:val="et-EE"/>
        </w:rPr>
      </w:pPr>
    </w:p>
    <w:p w14:paraId="264DBBCE" w14:textId="77777777" w:rsidR="000F7B09" w:rsidRPr="00390360" w:rsidRDefault="0019295A" w:rsidP="00390360">
      <w:pPr>
        <w:ind w:right="-766"/>
        <w:jc w:val="center"/>
        <w:rPr>
          <w:b/>
          <w:lang w:val="et-EE"/>
        </w:rPr>
      </w:pPr>
      <w:r w:rsidRPr="00390360">
        <w:rPr>
          <w:b/>
          <w:lang w:val="et-EE"/>
        </w:rPr>
        <w:t>S</w:t>
      </w:r>
      <w:r>
        <w:rPr>
          <w:b/>
          <w:lang w:val="et-EE"/>
        </w:rPr>
        <w:t>ELETUSKIRI</w:t>
      </w:r>
    </w:p>
    <w:p w14:paraId="0F2A92A0" w14:textId="6AB4B7DD" w:rsidR="00390360" w:rsidRPr="00FA4605" w:rsidRDefault="00E04586" w:rsidP="002E06F6">
      <w:pPr>
        <w:ind w:right="-766"/>
        <w:jc w:val="both"/>
        <w:rPr>
          <w:b/>
          <w:lang w:val="et-EE"/>
        </w:rPr>
      </w:pPr>
      <w:r>
        <w:rPr>
          <w:b/>
          <w:lang w:val="et-EE"/>
        </w:rPr>
        <w:t>regionaal</w:t>
      </w:r>
      <w:r w:rsidR="00656AF9">
        <w:rPr>
          <w:b/>
          <w:lang w:val="et-EE"/>
        </w:rPr>
        <w:t>ministri määruse „</w:t>
      </w:r>
      <w:r w:rsidRPr="00E04586">
        <w:rPr>
          <w:b/>
          <w:lang w:val="et-EE"/>
        </w:rPr>
        <w:t>2024. aastal „Eesti maaelu arengukava 2014–</w:t>
      </w:r>
      <w:r w:rsidR="00C116EC" w:rsidRPr="00E04586">
        <w:rPr>
          <w:b/>
          <w:lang w:val="et-EE"/>
        </w:rPr>
        <w:t>2020</w:t>
      </w:r>
      <w:r w:rsidR="00991952" w:rsidRPr="00991952">
        <w:rPr>
          <w:b/>
          <w:bCs/>
          <w:lang w:val="et-EE"/>
        </w:rPr>
        <w:t>ˮ</w:t>
      </w:r>
      <w:r w:rsidR="00C116EC" w:rsidRPr="00E04586">
        <w:rPr>
          <w:b/>
          <w:lang w:val="et-EE"/>
        </w:rPr>
        <w:t xml:space="preserve"> </w:t>
      </w:r>
      <w:r w:rsidRPr="00E04586">
        <w:rPr>
          <w:b/>
          <w:lang w:val="et-EE"/>
        </w:rPr>
        <w:t>alusel antavad Euroopa Liidu ühise põllumajanduspoliitika kohased maaelu arengu toetused ja „Euroopa Liidu ühise põllumajanduspoliitika Eesti strateegiakava aastateks 2023–2027</w:t>
      </w:r>
      <w:r w:rsidR="00991952" w:rsidRPr="00991952">
        <w:rPr>
          <w:b/>
          <w:bCs/>
          <w:lang w:val="et-EE"/>
        </w:rPr>
        <w:t>ˮ</w:t>
      </w:r>
      <w:r w:rsidRPr="00E04586">
        <w:rPr>
          <w:b/>
          <w:lang w:val="et-EE"/>
        </w:rPr>
        <w:t xml:space="preserve"> sekkumiste raames antavad toetused</w:t>
      </w:r>
      <w:r w:rsidR="00991952" w:rsidRPr="00991952">
        <w:rPr>
          <w:b/>
          <w:bCs/>
          <w:lang w:val="et-EE"/>
        </w:rPr>
        <w:t>ˮ</w:t>
      </w:r>
      <w:r w:rsidR="00390360" w:rsidRPr="00FA4605">
        <w:rPr>
          <w:b/>
          <w:lang w:val="et-EE"/>
        </w:rPr>
        <w:t xml:space="preserve"> eelnõu juurde</w:t>
      </w:r>
    </w:p>
    <w:p w14:paraId="6F47ADDC" w14:textId="77777777" w:rsidR="00390360" w:rsidRDefault="00390360" w:rsidP="002E06F6">
      <w:pPr>
        <w:ind w:right="-766"/>
        <w:jc w:val="both"/>
        <w:rPr>
          <w:lang w:val="et-EE"/>
        </w:rPr>
      </w:pPr>
    </w:p>
    <w:p w14:paraId="2BE5B16E" w14:textId="77777777" w:rsidR="00390360" w:rsidRDefault="00390360" w:rsidP="002E06F6">
      <w:pPr>
        <w:ind w:right="-766"/>
        <w:jc w:val="both"/>
        <w:rPr>
          <w:lang w:val="et-EE"/>
        </w:rPr>
      </w:pPr>
    </w:p>
    <w:p w14:paraId="25D4A101" w14:textId="77777777" w:rsidR="002E06F6" w:rsidRPr="00390360" w:rsidRDefault="002E06F6" w:rsidP="00390360">
      <w:pPr>
        <w:ind w:right="-766"/>
        <w:jc w:val="both"/>
        <w:rPr>
          <w:b/>
          <w:lang w:val="et-EE"/>
        </w:rPr>
      </w:pPr>
      <w:r w:rsidRPr="00390360">
        <w:rPr>
          <w:b/>
          <w:lang w:val="et-EE"/>
        </w:rPr>
        <w:t>1. Sissejuhatus</w:t>
      </w:r>
    </w:p>
    <w:p w14:paraId="6931673F" w14:textId="77777777" w:rsidR="00390360" w:rsidRDefault="00390360" w:rsidP="00390360">
      <w:pPr>
        <w:ind w:right="-766"/>
        <w:jc w:val="both"/>
        <w:rPr>
          <w:lang w:val="et-EE"/>
        </w:rPr>
      </w:pPr>
    </w:p>
    <w:p w14:paraId="2752CB75" w14:textId="3C251FE6" w:rsidR="002E06F6" w:rsidRPr="002E06F6" w:rsidRDefault="00E04586" w:rsidP="00390360">
      <w:pPr>
        <w:ind w:right="-766"/>
        <w:jc w:val="both"/>
        <w:rPr>
          <w:lang w:val="et-EE"/>
        </w:rPr>
      </w:pPr>
      <w:r>
        <w:rPr>
          <w:lang w:val="et-EE"/>
        </w:rPr>
        <w:t>Regionaal</w:t>
      </w:r>
      <w:r w:rsidR="002E06F6" w:rsidRPr="002E06F6">
        <w:rPr>
          <w:lang w:val="et-EE"/>
        </w:rPr>
        <w:t>ministri määrus „</w:t>
      </w:r>
      <w:r w:rsidRPr="00E04586">
        <w:rPr>
          <w:lang w:val="et-EE"/>
        </w:rPr>
        <w:t>2024. aastal „Eesti maaelu arengukava 2014–2020ˮ alusel antavad Euroopa Liidu ühise põllumajanduspoliitika kohased maaelu arengu toetused ja „Euroopa Liidu ühise põllumajanduspoliitika Eesti strateegiakava aastateks 2023–2027” sekkumiste raames antavad toetused</w:t>
      </w:r>
      <w:r w:rsidR="00853F2A">
        <w:rPr>
          <w:lang w:val="et-EE"/>
        </w:rPr>
        <w:t>“</w:t>
      </w:r>
      <w:r w:rsidR="00390360">
        <w:rPr>
          <w:lang w:val="et-EE"/>
        </w:rPr>
        <w:t xml:space="preserve"> </w:t>
      </w:r>
      <w:r w:rsidR="002E06F6" w:rsidRPr="002E06F6">
        <w:rPr>
          <w:lang w:val="et-EE"/>
        </w:rPr>
        <w:t>kehtestatakse Euroopa Liidu ühise põllumajanduspo</w:t>
      </w:r>
      <w:r w:rsidR="006C23D5">
        <w:rPr>
          <w:lang w:val="et-EE"/>
        </w:rPr>
        <w:t xml:space="preserve">liitika rakendamise seaduse </w:t>
      </w:r>
      <w:r w:rsidR="00872AE6">
        <w:rPr>
          <w:lang w:val="et-EE"/>
        </w:rPr>
        <w:t xml:space="preserve">(edaspidi </w:t>
      </w:r>
      <w:r w:rsidR="00872AE6" w:rsidRPr="008E0E5C">
        <w:rPr>
          <w:i/>
          <w:lang w:val="et-EE"/>
        </w:rPr>
        <w:t>ELÜPS</w:t>
      </w:r>
      <w:r w:rsidR="00872AE6">
        <w:rPr>
          <w:lang w:val="et-EE"/>
        </w:rPr>
        <w:t xml:space="preserve">) </w:t>
      </w:r>
      <w:r>
        <w:rPr>
          <w:lang w:val="et-EE"/>
        </w:rPr>
        <w:t xml:space="preserve">§ 11 lõike 1 ja </w:t>
      </w:r>
      <w:r w:rsidR="006C23D5">
        <w:rPr>
          <w:lang w:val="et-EE"/>
        </w:rPr>
        <w:t xml:space="preserve">§ </w:t>
      </w:r>
      <w:r w:rsidR="006048C1">
        <w:rPr>
          <w:lang w:val="et-EE"/>
        </w:rPr>
        <w:t>50</w:t>
      </w:r>
      <w:r w:rsidR="006C23D5" w:rsidRPr="00CD3DC5">
        <w:rPr>
          <w:lang w:val="et-EE"/>
        </w:rPr>
        <w:t xml:space="preserve"> lõike</w:t>
      </w:r>
      <w:r w:rsidR="00960054">
        <w:rPr>
          <w:lang w:val="et-EE"/>
        </w:rPr>
        <w:t> </w:t>
      </w:r>
      <w:r w:rsidR="006C23D5" w:rsidRPr="00AD2F76">
        <w:rPr>
          <w:lang w:val="et-EE"/>
        </w:rPr>
        <w:t>1</w:t>
      </w:r>
      <w:r w:rsidR="00390360" w:rsidRPr="00AD2F76">
        <w:rPr>
          <w:lang w:val="et-EE"/>
        </w:rPr>
        <w:t xml:space="preserve"> </w:t>
      </w:r>
      <w:r w:rsidR="002E06F6" w:rsidRPr="00AD2F76">
        <w:rPr>
          <w:lang w:val="et-EE"/>
        </w:rPr>
        <w:t>alusel</w:t>
      </w:r>
      <w:r w:rsidR="0019295A" w:rsidRPr="00AD2F76">
        <w:rPr>
          <w:lang w:val="et-EE"/>
        </w:rPr>
        <w:t xml:space="preserve">, </w:t>
      </w:r>
      <w:r w:rsidR="006048C1">
        <w:rPr>
          <w:lang w:val="et-EE"/>
        </w:rPr>
        <w:t xml:space="preserve">arvestades </w:t>
      </w:r>
      <w:r w:rsidR="00052238">
        <w:rPr>
          <w:lang w:val="et-EE"/>
        </w:rPr>
        <w:t>2024</w:t>
      </w:r>
      <w:r w:rsidR="0019295A" w:rsidRPr="00AD2F76">
        <w:rPr>
          <w:lang w:val="et-EE"/>
        </w:rPr>
        <w:t>.</w:t>
      </w:r>
      <w:r w:rsidR="00872AE6" w:rsidRPr="00AD2F76">
        <w:rPr>
          <w:lang w:val="et-EE"/>
        </w:rPr>
        <w:t> </w:t>
      </w:r>
      <w:r w:rsidR="0019295A" w:rsidRPr="00AD2F76">
        <w:rPr>
          <w:lang w:val="et-EE"/>
        </w:rPr>
        <w:t>aasta riigieelarve seadu</w:t>
      </w:r>
      <w:r w:rsidR="0019295A" w:rsidRPr="005D1B50">
        <w:rPr>
          <w:lang w:val="et-EE"/>
        </w:rPr>
        <w:t>s</w:t>
      </w:r>
      <w:r w:rsidR="004927CF" w:rsidRPr="005D1B50">
        <w:rPr>
          <w:lang w:val="et-EE"/>
        </w:rPr>
        <w:t xml:space="preserve">e </w:t>
      </w:r>
      <w:r w:rsidR="00A30539" w:rsidRPr="004E1174">
        <w:rPr>
          <w:lang w:val="et-EE"/>
        </w:rPr>
        <w:t xml:space="preserve">§ 1 </w:t>
      </w:r>
      <w:r w:rsidR="00653828">
        <w:rPr>
          <w:lang w:val="et-EE"/>
        </w:rPr>
        <w:t xml:space="preserve">lõikes 2 </w:t>
      </w:r>
      <w:r w:rsidR="00052238">
        <w:rPr>
          <w:lang w:val="et-EE"/>
        </w:rPr>
        <w:t>Regionaal- ja Põllumajandus</w:t>
      </w:r>
      <w:r w:rsidR="00653828">
        <w:rPr>
          <w:lang w:val="et-EE"/>
        </w:rPr>
        <w:t>ministeeriumi valitsemisala</w:t>
      </w:r>
      <w:r w:rsidR="009D238F" w:rsidRPr="0043594F">
        <w:rPr>
          <w:lang w:val="et-EE"/>
        </w:rPr>
        <w:t xml:space="preserve"> tulemusvaldkonna „põllumajandus ja kalandus</w:t>
      </w:r>
      <w:r w:rsidR="008519C9" w:rsidRPr="00E04586">
        <w:rPr>
          <w:lang w:val="et-EE"/>
        </w:rPr>
        <w:t>ˮ</w:t>
      </w:r>
      <w:r w:rsidR="009D238F" w:rsidRPr="0043594F">
        <w:rPr>
          <w:lang w:val="et-EE"/>
        </w:rPr>
        <w:t xml:space="preserve"> osa</w:t>
      </w:r>
      <w:r w:rsidR="00653828">
        <w:rPr>
          <w:lang w:val="et-EE"/>
        </w:rPr>
        <w:t xml:space="preserve"> </w:t>
      </w:r>
      <w:r w:rsidR="009D238F">
        <w:rPr>
          <w:lang w:val="et-EE"/>
        </w:rPr>
        <w:t>„</w:t>
      </w:r>
      <w:r w:rsidR="00BA5AFE">
        <w:rPr>
          <w:lang w:val="et-EE"/>
        </w:rPr>
        <w:t xml:space="preserve">põllumajandus, </w:t>
      </w:r>
      <w:r w:rsidR="009D238F">
        <w:rPr>
          <w:lang w:val="et-EE"/>
        </w:rPr>
        <w:t xml:space="preserve">toit </w:t>
      </w:r>
      <w:r w:rsidR="00BA5AFE">
        <w:rPr>
          <w:lang w:val="et-EE"/>
        </w:rPr>
        <w:t>ja maaelu</w:t>
      </w:r>
      <w:r w:rsidR="008519C9" w:rsidRPr="00E04586">
        <w:rPr>
          <w:lang w:val="et-EE"/>
        </w:rPr>
        <w:t>ˮ</w:t>
      </w:r>
      <w:r w:rsidR="00BA5AFE">
        <w:rPr>
          <w:lang w:val="et-EE"/>
        </w:rPr>
        <w:t xml:space="preserve"> kuludeks määratud </w:t>
      </w:r>
      <w:r w:rsidR="0019295A" w:rsidRPr="005D1B50">
        <w:rPr>
          <w:lang w:val="et-EE"/>
        </w:rPr>
        <w:t>rahalisi vahendeid</w:t>
      </w:r>
      <w:r w:rsidR="00757979">
        <w:rPr>
          <w:lang w:val="et-EE"/>
        </w:rPr>
        <w:t>,</w:t>
      </w:r>
      <w:r w:rsidR="0019295A" w:rsidRPr="005D1B50">
        <w:rPr>
          <w:lang w:val="et-EE"/>
        </w:rPr>
        <w:t xml:space="preserve"> ning kooskõlas Eu</w:t>
      </w:r>
      <w:r w:rsidR="0019295A" w:rsidRPr="0019295A">
        <w:rPr>
          <w:lang w:val="et-EE"/>
        </w:rPr>
        <w:t>roopa Parlamendi ja nõukogu määruse (EL) nr 1305/2013 Euroopa Maaelu Arengu Põllumajandusfondist (EAFRD) antavate maaelu arengu toetuste kohta ja millega tunnistatakse kehtetuks nõukogu määrus (EÜ) nr</w:t>
      </w:r>
      <w:r w:rsidR="00B96782">
        <w:rPr>
          <w:lang w:val="et-EE"/>
        </w:rPr>
        <w:t> </w:t>
      </w:r>
      <w:r w:rsidR="0019295A" w:rsidRPr="0019295A">
        <w:rPr>
          <w:lang w:val="et-EE"/>
        </w:rPr>
        <w:t>1698/2005 (ELT L 347, 20.12.2013</w:t>
      </w:r>
      <w:r w:rsidR="00F406C2">
        <w:rPr>
          <w:lang w:val="et-EE"/>
        </w:rPr>
        <w:t>, lk 487–548) artikli 10 lõike 2</w:t>
      </w:r>
      <w:r w:rsidR="0019295A" w:rsidRPr="0019295A">
        <w:rPr>
          <w:lang w:val="et-EE"/>
        </w:rPr>
        <w:t xml:space="preserve"> alusel </w:t>
      </w:r>
      <w:r w:rsidR="00F406C2">
        <w:rPr>
          <w:lang w:val="et-EE"/>
        </w:rPr>
        <w:t>heaks</w:t>
      </w:r>
      <w:r w:rsidR="00757979">
        <w:rPr>
          <w:lang w:val="et-EE"/>
        </w:rPr>
        <w:t xml:space="preserve"> </w:t>
      </w:r>
      <w:r w:rsidR="00F406C2">
        <w:rPr>
          <w:lang w:val="et-EE"/>
        </w:rPr>
        <w:t xml:space="preserve">kiidetud </w:t>
      </w:r>
      <w:r w:rsidR="0019295A" w:rsidRPr="0019295A">
        <w:rPr>
          <w:lang w:val="et-EE"/>
        </w:rPr>
        <w:t>„Ees</w:t>
      </w:r>
      <w:r w:rsidR="00853F2A">
        <w:rPr>
          <w:lang w:val="et-EE"/>
        </w:rPr>
        <w:t>ti maaelu arengukavaga 2014–202</w:t>
      </w:r>
      <w:r w:rsidR="000E76B2">
        <w:rPr>
          <w:lang w:val="et-EE"/>
        </w:rPr>
        <w:t>0</w:t>
      </w:r>
      <w:r w:rsidR="00853F2A">
        <w:rPr>
          <w:lang w:val="et-EE"/>
        </w:rPr>
        <w:t>“</w:t>
      </w:r>
      <w:r w:rsidR="0019295A" w:rsidRPr="0019295A">
        <w:rPr>
          <w:lang w:val="et-EE"/>
        </w:rPr>
        <w:t xml:space="preserve"> (edaspidi </w:t>
      </w:r>
      <w:r w:rsidR="0019295A" w:rsidRPr="0019295A">
        <w:rPr>
          <w:i/>
          <w:lang w:val="et-EE"/>
        </w:rPr>
        <w:t>arengukava</w:t>
      </w:r>
      <w:r w:rsidR="0019295A">
        <w:rPr>
          <w:lang w:val="et-EE"/>
        </w:rPr>
        <w:t>)</w:t>
      </w:r>
      <w:r w:rsidR="00052238">
        <w:rPr>
          <w:lang w:val="et-EE"/>
        </w:rPr>
        <w:t xml:space="preserve"> ja </w:t>
      </w:r>
      <w:r w:rsidR="00052238" w:rsidRPr="00E03C46">
        <w:rPr>
          <w:lang w:val="et-EE"/>
        </w:rPr>
        <w:t>Euroopa Parlamendi ja nõukogu määruse (EL) 2021/2115, millega kehtestatakse liikmesriikide koostatavate Euroopa Põllumajanduse Tagatisfondist (EAGF) ja Euroopa Maaelu Arengu Põllumajandusfondist (EAFRD) rahastatavate ühise põllumajanduspoliitika strateegiakavade (ÜPP strateegiakavad) toetamise reeglid ning tunnistatakse kehtetuks määrused (EL) nr 1305/2013 ja (EL) nr 1307/2013 (ELT L 435, 06.12.2021, lk 1–186) artikli 118 lõike 6 alusel heakskiidetud „Euroopa Liidu ühise põllumajanduspoliitika Eesti strateegiakava</w:t>
      </w:r>
      <w:r w:rsidR="00052238">
        <w:rPr>
          <w:lang w:val="et-EE"/>
        </w:rPr>
        <w:t>ga</w:t>
      </w:r>
      <w:r w:rsidR="00052238" w:rsidRPr="00E03C46">
        <w:rPr>
          <w:lang w:val="et-EE"/>
        </w:rPr>
        <w:t xml:space="preserve"> aastateks 2023–2027ˮ (edaspidi </w:t>
      </w:r>
      <w:r w:rsidR="00052238" w:rsidRPr="00E03C46">
        <w:rPr>
          <w:i/>
          <w:lang w:val="et-EE"/>
        </w:rPr>
        <w:t>strateegiakava</w:t>
      </w:r>
      <w:r w:rsidR="00052238" w:rsidRPr="00E03C46">
        <w:rPr>
          <w:lang w:val="et-EE"/>
        </w:rPr>
        <w:t>)</w:t>
      </w:r>
      <w:r w:rsidR="002E06F6" w:rsidRPr="002E06F6">
        <w:rPr>
          <w:lang w:val="et-EE"/>
        </w:rPr>
        <w:t>.</w:t>
      </w:r>
    </w:p>
    <w:p w14:paraId="2E540CBD" w14:textId="77777777" w:rsidR="0019295A" w:rsidRDefault="0019295A" w:rsidP="00390360">
      <w:pPr>
        <w:ind w:right="-766"/>
        <w:jc w:val="both"/>
        <w:rPr>
          <w:lang w:val="et-EE"/>
        </w:rPr>
      </w:pPr>
    </w:p>
    <w:p w14:paraId="69798234" w14:textId="41753472" w:rsidR="002E06F6" w:rsidRPr="002E06F6" w:rsidRDefault="002E06F6" w:rsidP="00390360">
      <w:pPr>
        <w:ind w:right="-766"/>
        <w:jc w:val="both"/>
        <w:rPr>
          <w:lang w:val="et-EE"/>
        </w:rPr>
      </w:pPr>
      <w:r w:rsidRPr="002E06F6">
        <w:rPr>
          <w:lang w:val="et-EE"/>
        </w:rPr>
        <w:t>Määruse eelnõu ja sel</w:t>
      </w:r>
      <w:r w:rsidR="00F406C2">
        <w:rPr>
          <w:lang w:val="et-EE"/>
        </w:rPr>
        <w:t>etus</w:t>
      </w:r>
      <w:r w:rsidR="00E04586">
        <w:rPr>
          <w:lang w:val="et-EE"/>
        </w:rPr>
        <w:t>kirja on ette valmistanud Regionaal- ja Põllumajandus</w:t>
      </w:r>
      <w:r w:rsidR="00390360">
        <w:rPr>
          <w:lang w:val="et-EE"/>
        </w:rPr>
        <w:t>ministeeriumi maaelu</w:t>
      </w:r>
      <w:r w:rsidR="00515732">
        <w:rPr>
          <w:lang w:val="et-EE"/>
        </w:rPr>
        <w:t>poliitika</w:t>
      </w:r>
      <w:r w:rsidR="00390360">
        <w:rPr>
          <w:lang w:val="et-EE"/>
        </w:rPr>
        <w:t xml:space="preserve"> </w:t>
      </w:r>
      <w:r w:rsidR="00515732">
        <w:rPr>
          <w:lang w:val="et-EE"/>
        </w:rPr>
        <w:t xml:space="preserve">ja analüüsi </w:t>
      </w:r>
      <w:r w:rsidRPr="002E06F6">
        <w:rPr>
          <w:lang w:val="et-EE"/>
        </w:rPr>
        <w:t>osakonna nõunik Ove Põder (625 6290, ove.poder@agri.ee). Eelnõule on juriidilise</w:t>
      </w:r>
      <w:r w:rsidR="00390360">
        <w:rPr>
          <w:lang w:val="et-EE"/>
        </w:rPr>
        <w:t xml:space="preserve"> </w:t>
      </w:r>
      <w:r w:rsidRPr="002E06F6">
        <w:rPr>
          <w:lang w:val="et-EE"/>
        </w:rPr>
        <w:t xml:space="preserve">ekspertiisi teinud </w:t>
      </w:r>
      <w:r w:rsidR="00E04586">
        <w:rPr>
          <w:lang w:val="et-EE"/>
        </w:rPr>
        <w:t xml:space="preserve">Regionaal- ja Põllumajandusministeeriumi </w:t>
      </w:r>
      <w:r w:rsidRPr="002E06F6">
        <w:rPr>
          <w:lang w:val="et-EE"/>
        </w:rPr>
        <w:t>õigusosakonna</w:t>
      </w:r>
      <w:r w:rsidR="00E04586">
        <w:rPr>
          <w:lang w:val="et-EE"/>
        </w:rPr>
        <w:t xml:space="preserve"> </w:t>
      </w:r>
      <w:r w:rsidR="009D238F">
        <w:rPr>
          <w:lang w:val="et-EE"/>
        </w:rPr>
        <w:t>peaspetsialist Christel Ilves</w:t>
      </w:r>
      <w:r w:rsidR="009D238F" w:rsidRPr="0043594F">
        <w:rPr>
          <w:lang w:val="et-EE"/>
        </w:rPr>
        <w:t xml:space="preserve"> (625 6261, christel.ilves@agri.ee)</w:t>
      </w:r>
      <w:r w:rsidR="009D238F">
        <w:rPr>
          <w:lang w:val="et-EE"/>
        </w:rPr>
        <w:t xml:space="preserve"> </w:t>
      </w:r>
      <w:r w:rsidRPr="002E06F6">
        <w:rPr>
          <w:lang w:val="et-EE"/>
        </w:rPr>
        <w:t>.</w:t>
      </w:r>
    </w:p>
    <w:p w14:paraId="7584F308" w14:textId="77777777" w:rsidR="0019295A" w:rsidRDefault="0019295A" w:rsidP="00390360">
      <w:pPr>
        <w:ind w:right="-766"/>
        <w:jc w:val="both"/>
        <w:rPr>
          <w:lang w:val="et-EE"/>
        </w:rPr>
      </w:pPr>
    </w:p>
    <w:p w14:paraId="086C7A90" w14:textId="1CBE45B3" w:rsidR="002E06F6" w:rsidRDefault="002E06F6" w:rsidP="00390360">
      <w:pPr>
        <w:ind w:right="-766"/>
        <w:jc w:val="both"/>
        <w:rPr>
          <w:lang w:val="et-EE"/>
        </w:rPr>
      </w:pPr>
      <w:r w:rsidRPr="002E06F6">
        <w:rPr>
          <w:lang w:val="et-EE"/>
        </w:rPr>
        <w:t xml:space="preserve">Määruse eelnõu eesmärk on kehtestada </w:t>
      </w:r>
      <w:r w:rsidRPr="0019295A">
        <w:rPr>
          <w:lang w:val="et-EE"/>
        </w:rPr>
        <w:t>arengukava</w:t>
      </w:r>
      <w:r w:rsidR="004C745D" w:rsidRPr="0019295A">
        <w:rPr>
          <w:lang w:val="et-EE"/>
        </w:rPr>
        <w:t xml:space="preserve"> </w:t>
      </w:r>
      <w:r w:rsidRPr="002E06F6">
        <w:rPr>
          <w:lang w:val="et-EE"/>
        </w:rPr>
        <w:t>peatükis</w:t>
      </w:r>
      <w:r w:rsidR="00872AE6">
        <w:rPr>
          <w:lang w:val="et-EE"/>
        </w:rPr>
        <w:t> </w:t>
      </w:r>
      <w:r w:rsidR="005D1B50">
        <w:rPr>
          <w:lang w:val="et-EE"/>
        </w:rPr>
        <w:t>8.2</w:t>
      </w:r>
      <w:r w:rsidRPr="002E06F6">
        <w:rPr>
          <w:lang w:val="et-EE"/>
        </w:rPr>
        <w:t xml:space="preserve"> nimetatud m</w:t>
      </w:r>
      <w:r w:rsidR="005D1B50">
        <w:rPr>
          <w:lang w:val="et-EE"/>
        </w:rPr>
        <w:t>eetmete, alameetmete ja tegevus</w:t>
      </w:r>
      <w:r w:rsidRPr="002E06F6">
        <w:rPr>
          <w:lang w:val="et-EE"/>
        </w:rPr>
        <w:t>e</w:t>
      </w:r>
      <w:r w:rsidR="00390360">
        <w:rPr>
          <w:lang w:val="et-EE"/>
        </w:rPr>
        <w:t xml:space="preserve"> </w:t>
      </w:r>
      <w:r w:rsidR="005D1B50">
        <w:rPr>
          <w:lang w:val="et-EE"/>
        </w:rPr>
        <w:t xml:space="preserve">liikide </w:t>
      </w:r>
      <w:r w:rsidR="00D154F7">
        <w:rPr>
          <w:lang w:val="et-EE"/>
        </w:rPr>
        <w:t xml:space="preserve">ning strateegiakava peatükis 5 nimetatud sekkumiste </w:t>
      </w:r>
      <w:r w:rsidR="00163285">
        <w:rPr>
          <w:lang w:val="et-EE"/>
        </w:rPr>
        <w:t>rakendamiseks antavate</w:t>
      </w:r>
      <w:r w:rsidRPr="002E06F6">
        <w:rPr>
          <w:lang w:val="et-EE"/>
        </w:rPr>
        <w:t xml:space="preserve"> </w:t>
      </w:r>
      <w:r w:rsidR="00163285">
        <w:rPr>
          <w:lang w:val="et-EE"/>
        </w:rPr>
        <w:t>asjakohaste toetuste</w:t>
      </w:r>
      <w:r w:rsidRPr="002E06F6">
        <w:rPr>
          <w:lang w:val="et-EE"/>
        </w:rPr>
        <w:t xml:space="preserve"> </w:t>
      </w:r>
      <w:r w:rsidR="009656CA">
        <w:rPr>
          <w:lang w:val="et-EE"/>
        </w:rPr>
        <w:t>andmine</w:t>
      </w:r>
      <w:r w:rsidR="00D154F7">
        <w:rPr>
          <w:lang w:val="et-EE"/>
        </w:rPr>
        <w:t xml:space="preserve"> 2024</w:t>
      </w:r>
      <w:r w:rsidRPr="002E06F6">
        <w:rPr>
          <w:lang w:val="et-EE"/>
        </w:rPr>
        <w:t>.</w:t>
      </w:r>
      <w:r w:rsidR="00960054">
        <w:rPr>
          <w:lang w:val="et-EE"/>
        </w:rPr>
        <w:t> </w:t>
      </w:r>
      <w:r w:rsidRPr="002E06F6">
        <w:rPr>
          <w:lang w:val="et-EE"/>
        </w:rPr>
        <w:t>aastal.</w:t>
      </w:r>
    </w:p>
    <w:p w14:paraId="44A69525" w14:textId="77777777" w:rsidR="002E06F6" w:rsidRDefault="002E06F6" w:rsidP="00390360">
      <w:pPr>
        <w:ind w:right="-766"/>
        <w:jc w:val="both"/>
        <w:rPr>
          <w:lang w:val="et-EE"/>
        </w:rPr>
      </w:pPr>
    </w:p>
    <w:p w14:paraId="45B47413" w14:textId="77777777" w:rsidR="002E06F6" w:rsidRPr="00390360" w:rsidRDefault="002E06F6" w:rsidP="00390360">
      <w:pPr>
        <w:ind w:right="-766"/>
        <w:jc w:val="both"/>
        <w:rPr>
          <w:b/>
          <w:lang w:val="et-EE"/>
        </w:rPr>
      </w:pPr>
      <w:r w:rsidRPr="00390360">
        <w:rPr>
          <w:b/>
          <w:lang w:val="et-EE"/>
        </w:rPr>
        <w:t>2. Eelnõu sisu ja võrdlev analüüs</w:t>
      </w:r>
    </w:p>
    <w:p w14:paraId="36D5C941" w14:textId="77777777" w:rsidR="00390360" w:rsidRDefault="00390360" w:rsidP="00390360">
      <w:pPr>
        <w:ind w:right="-766"/>
        <w:jc w:val="both"/>
        <w:rPr>
          <w:lang w:val="et-EE"/>
        </w:rPr>
      </w:pPr>
    </w:p>
    <w:p w14:paraId="42969FF9" w14:textId="3C3D1695" w:rsidR="00950276" w:rsidRDefault="00D154F7" w:rsidP="00390360">
      <w:pPr>
        <w:ind w:right="-766"/>
        <w:jc w:val="both"/>
        <w:rPr>
          <w:lang w:val="et-EE"/>
        </w:rPr>
      </w:pPr>
      <w:r w:rsidRPr="00872AE6">
        <w:rPr>
          <w:lang w:val="et-EE"/>
        </w:rPr>
        <w:t>ELÜPS</w:t>
      </w:r>
      <w:r>
        <w:rPr>
          <w:lang w:val="et-EE"/>
        </w:rPr>
        <w:t>i</w:t>
      </w:r>
      <w:r w:rsidRPr="002E06F6">
        <w:rPr>
          <w:lang w:val="et-EE"/>
        </w:rPr>
        <w:t xml:space="preserve"> </w:t>
      </w:r>
      <w:r>
        <w:rPr>
          <w:lang w:val="et-EE"/>
        </w:rPr>
        <w:t>§ 11 lõike 1 kohaselt kehtestab valdkonna eest vastutav minister (</w:t>
      </w:r>
      <w:r w:rsidR="007674D6">
        <w:rPr>
          <w:lang w:val="et-EE"/>
        </w:rPr>
        <w:t xml:space="preserve">edaspidi </w:t>
      </w:r>
      <w:r w:rsidRPr="0043594F">
        <w:rPr>
          <w:i/>
          <w:iCs/>
          <w:lang w:val="et-EE"/>
        </w:rPr>
        <w:t>regionaalminister</w:t>
      </w:r>
      <w:r>
        <w:rPr>
          <w:lang w:val="et-EE"/>
        </w:rPr>
        <w:t xml:space="preserve">) igal aastal määrusega kalendriaastal strateegiakava sekkumiste raames antavate toetuste loetelu. </w:t>
      </w:r>
      <w:r w:rsidR="00FC1CAE">
        <w:rPr>
          <w:lang w:val="et-EE"/>
        </w:rPr>
        <w:t xml:space="preserve">Analoogiliselt kehtestab </w:t>
      </w:r>
      <w:r w:rsidR="00872AE6" w:rsidRPr="00872AE6">
        <w:rPr>
          <w:lang w:val="et-EE"/>
        </w:rPr>
        <w:t>ELÜPS</w:t>
      </w:r>
      <w:r w:rsidR="00872AE6">
        <w:rPr>
          <w:lang w:val="et-EE"/>
        </w:rPr>
        <w:t>i</w:t>
      </w:r>
      <w:r w:rsidR="00163285" w:rsidRPr="002E06F6">
        <w:rPr>
          <w:lang w:val="et-EE"/>
        </w:rPr>
        <w:t xml:space="preserve"> </w:t>
      </w:r>
      <w:r w:rsidR="006048C1">
        <w:rPr>
          <w:lang w:val="et-EE"/>
        </w:rPr>
        <w:t>§ 50</w:t>
      </w:r>
      <w:r w:rsidR="00163285">
        <w:rPr>
          <w:lang w:val="et-EE"/>
        </w:rPr>
        <w:t xml:space="preserve"> lõike 1 kohaselt </w:t>
      </w:r>
      <w:r>
        <w:rPr>
          <w:lang w:val="et-EE"/>
        </w:rPr>
        <w:t xml:space="preserve">regionaalminister </w:t>
      </w:r>
      <w:r w:rsidR="001378D5">
        <w:rPr>
          <w:lang w:val="et-EE"/>
        </w:rPr>
        <w:t>igal aastal määrusega nende arengukava meetmete, alameetmete ja tegevuse liikide loetelu, mille raames on eelarveaastal võimalik maaelu arengu toetust taotleda</w:t>
      </w:r>
      <w:r w:rsidR="00163285">
        <w:rPr>
          <w:lang w:val="et-EE"/>
        </w:rPr>
        <w:t>.</w:t>
      </w:r>
      <w:r w:rsidR="003121BB">
        <w:rPr>
          <w:lang w:val="et-EE"/>
        </w:rPr>
        <w:t xml:space="preserve"> Järgides senist praktikat on halduskoormuse vähendamise huvidest lähtuvalt kahe erineva programmiperioodi toetuste andmist käsitlevate volitusnormide alusel koostatud üks, ühine määrus.</w:t>
      </w:r>
    </w:p>
    <w:p w14:paraId="2783F9BC" w14:textId="77777777" w:rsidR="0019295A" w:rsidRDefault="0019295A" w:rsidP="00390360">
      <w:pPr>
        <w:ind w:right="-766"/>
        <w:jc w:val="both"/>
        <w:rPr>
          <w:lang w:val="et-EE"/>
        </w:rPr>
      </w:pPr>
    </w:p>
    <w:p w14:paraId="27711198" w14:textId="3B6F72FD" w:rsidR="00F6144F" w:rsidRDefault="00DD0CA4" w:rsidP="008F0D6E">
      <w:pPr>
        <w:ind w:right="-766"/>
        <w:jc w:val="both"/>
        <w:rPr>
          <w:lang w:val="et-EE"/>
        </w:rPr>
      </w:pPr>
      <w:r>
        <w:rPr>
          <w:lang w:val="et-EE"/>
        </w:rPr>
        <w:lastRenderedPageBreak/>
        <w:t xml:space="preserve">Eelarveaastal antavate toetuste </w:t>
      </w:r>
      <w:r w:rsidR="00757979">
        <w:rPr>
          <w:lang w:val="et-EE"/>
        </w:rPr>
        <w:t xml:space="preserve">loetelu </w:t>
      </w:r>
      <w:r>
        <w:rPr>
          <w:lang w:val="et-EE"/>
        </w:rPr>
        <w:t xml:space="preserve">kehtestamine täidab nii </w:t>
      </w:r>
      <w:r w:rsidR="00757979">
        <w:rPr>
          <w:lang w:val="et-EE"/>
        </w:rPr>
        <w:t xml:space="preserve">võimalike </w:t>
      </w:r>
      <w:r w:rsidR="002E06F6" w:rsidRPr="002E06F6">
        <w:rPr>
          <w:lang w:val="et-EE"/>
        </w:rPr>
        <w:t>taotlejat</w:t>
      </w:r>
      <w:r>
        <w:rPr>
          <w:lang w:val="et-EE"/>
        </w:rPr>
        <w:t>e</w:t>
      </w:r>
      <w:r w:rsidR="002E06F6" w:rsidRPr="002E06F6">
        <w:rPr>
          <w:lang w:val="et-EE"/>
        </w:rPr>
        <w:t xml:space="preserve"> </w:t>
      </w:r>
      <w:r>
        <w:rPr>
          <w:lang w:val="et-EE"/>
        </w:rPr>
        <w:t xml:space="preserve">teavitamise kui ka arengukava </w:t>
      </w:r>
      <w:r w:rsidR="00D154F7">
        <w:rPr>
          <w:lang w:val="et-EE"/>
        </w:rPr>
        <w:t xml:space="preserve">ja strateegiakava </w:t>
      </w:r>
      <w:r w:rsidR="000575BD">
        <w:rPr>
          <w:lang w:val="et-EE"/>
        </w:rPr>
        <w:t>eesmärgipärase juhtimise</w:t>
      </w:r>
      <w:r w:rsidR="00757979">
        <w:rPr>
          <w:lang w:val="et-EE"/>
        </w:rPr>
        <w:t>,</w:t>
      </w:r>
      <w:r w:rsidR="000575BD">
        <w:rPr>
          <w:lang w:val="et-EE"/>
        </w:rPr>
        <w:t xml:space="preserve"> </w:t>
      </w:r>
      <w:r w:rsidR="00757979">
        <w:rPr>
          <w:lang w:val="et-EE"/>
        </w:rPr>
        <w:t xml:space="preserve">sealhulgas </w:t>
      </w:r>
      <w:r w:rsidR="000575BD">
        <w:rPr>
          <w:lang w:val="et-EE"/>
        </w:rPr>
        <w:t xml:space="preserve">finantsjuhtimise funktsiooni. </w:t>
      </w:r>
      <w:r w:rsidR="00D154F7" w:rsidRPr="00872AE6">
        <w:rPr>
          <w:lang w:val="et-EE"/>
        </w:rPr>
        <w:t>ELÜPS</w:t>
      </w:r>
      <w:r w:rsidR="00D154F7">
        <w:rPr>
          <w:lang w:val="et-EE"/>
        </w:rPr>
        <w:t>i § 11</w:t>
      </w:r>
      <w:r w:rsidR="00D154F7" w:rsidRPr="002E06F6">
        <w:rPr>
          <w:lang w:val="et-EE"/>
        </w:rPr>
        <w:t xml:space="preserve"> lõike</w:t>
      </w:r>
      <w:r w:rsidR="00D154F7">
        <w:rPr>
          <w:lang w:val="et-EE"/>
        </w:rPr>
        <w:t> 6</w:t>
      </w:r>
      <w:r w:rsidR="00D154F7" w:rsidRPr="002E06F6">
        <w:rPr>
          <w:lang w:val="et-EE"/>
        </w:rPr>
        <w:t xml:space="preserve"> kohaselt ei teki</w:t>
      </w:r>
      <w:r w:rsidR="00D154F7">
        <w:rPr>
          <w:lang w:val="et-EE"/>
        </w:rPr>
        <w:t xml:space="preserve"> strateegiakava raames antava </w:t>
      </w:r>
      <w:r w:rsidR="00D154F7" w:rsidRPr="002E06F6">
        <w:rPr>
          <w:lang w:val="et-EE"/>
        </w:rPr>
        <w:t>toetuse taotlemise õigust, kui selle toetuse andmist ei ole</w:t>
      </w:r>
      <w:r w:rsidR="00D154F7">
        <w:rPr>
          <w:lang w:val="et-EE"/>
        </w:rPr>
        <w:t xml:space="preserve"> </w:t>
      </w:r>
      <w:r w:rsidR="007674D6">
        <w:rPr>
          <w:lang w:val="et-EE"/>
        </w:rPr>
        <w:t>regionaal</w:t>
      </w:r>
      <w:r w:rsidR="00D154F7">
        <w:rPr>
          <w:lang w:val="et-EE"/>
        </w:rPr>
        <w:t xml:space="preserve">minister kalendriaastal </w:t>
      </w:r>
      <w:r w:rsidR="00D154F7" w:rsidRPr="002E06F6">
        <w:rPr>
          <w:lang w:val="et-EE"/>
        </w:rPr>
        <w:t>otsustanud.</w:t>
      </w:r>
      <w:r w:rsidR="00D154F7">
        <w:rPr>
          <w:lang w:val="et-EE"/>
        </w:rPr>
        <w:t xml:space="preserve"> Analoogiliselt ei teki </w:t>
      </w:r>
      <w:r w:rsidR="00872AE6" w:rsidRPr="00872AE6">
        <w:rPr>
          <w:lang w:val="et-EE"/>
        </w:rPr>
        <w:t>ELÜPS</w:t>
      </w:r>
      <w:r w:rsidR="00872AE6">
        <w:rPr>
          <w:lang w:val="et-EE"/>
        </w:rPr>
        <w:t>i</w:t>
      </w:r>
      <w:r w:rsidR="006048C1">
        <w:rPr>
          <w:lang w:val="et-EE"/>
        </w:rPr>
        <w:t xml:space="preserve"> § 50</w:t>
      </w:r>
      <w:r w:rsidR="002E06F6" w:rsidRPr="002E06F6">
        <w:rPr>
          <w:lang w:val="et-EE"/>
        </w:rPr>
        <w:t xml:space="preserve"> lõike</w:t>
      </w:r>
      <w:r w:rsidR="00B96782">
        <w:rPr>
          <w:lang w:val="et-EE"/>
        </w:rPr>
        <w:t> </w:t>
      </w:r>
      <w:r w:rsidR="006048C1">
        <w:rPr>
          <w:lang w:val="et-EE"/>
        </w:rPr>
        <w:t>7</w:t>
      </w:r>
      <w:r w:rsidR="002E06F6" w:rsidRPr="002E06F6">
        <w:rPr>
          <w:lang w:val="et-EE"/>
        </w:rPr>
        <w:t xml:space="preserve"> kohaselt </w:t>
      </w:r>
      <w:r w:rsidR="00F846D5">
        <w:rPr>
          <w:lang w:val="et-EE"/>
        </w:rPr>
        <w:t xml:space="preserve">maaelu arengu </w:t>
      </w:r>
      <w:r w:rsidR="002E06F6" w:rsidRPr="002E06F6">
        <w:rPr>
          <w:lang w:val="et-EE"/>
        </w:rPr>
        <w:t>toetuse taotlemise õigust, kui selle toetuse andmist ei ole</w:t>
      </w:r>
      <w:r w:rsidR="00686914">
        <w:rPr>
          <w:lang w:val="et-EE"/>
        </w:rPr>
        <w:t xml:space="preserve"> </w:t>
      </w:r>
      <w:r w:rsidR="007674D6">
        <w:rPr>
          <w:lang w:val="et-EE"/>
        </w:rPr>
        <w:t>regionaal</w:t>
      </w:r>
      <w:r w:rsidR="00D154F7">
        <w:rPr>
          <w:lang w:val="et-EE"/>
        </w:rPr>
        <w:t xml:space="preserve">minister </w:t>
      </w:r>
      <w:r w:rsidR="002E06F6" w:rsidRPr="002E06F6">
        <w:rPr>
          <w:lang w:val="et-EE"/>
        </w:rPr>
        <w:t xml:space="preserve">eelarveaastal otsustanud. </w:t>
      </w:r>
    </w:p>
    <w:p w14:paraId="43A52860" w14:textId="1E045F17" w:rsidR="00F6144F" w:rsidRDefault="00F6144F" w:rsidP="008F0D6E">
      <w:pPr>
        <w:ind w:right="-766"/>
        <w:jc w:val="both"/>
        <w:rPr>
          <w:lang w:val="et-EE"/>
        </w:rPr>
      </w:pPr>
    </w:p>
    <w:p w14:paraId="76443FBE" w14:textId="4E3E02AF" w:rsidR="00686914" w:rsidRPr="00C52D20" w:rsidRDefault="00F6144F" w:rsidP="00390360">
      <w:pPr>
        <w:ind w:right="-766"/>
        <w:jc w:val="both"/>
        <w:rPr>
          <w:bCs/>
          <w:lang w:val="et-EE"/>
        </w:rPr>
      </w:pPr>
      <w:r>
        <w:rPr>
          <w:lang w:val="et-EE"/>
        </w:rPr>
        <w:t xml:space="preserve">2024. aasta on strateegikava rakendamise teine aasta ning 2024. aastal on võimalik taotleda toetust valdava osa strateegiakava sekkumiste raames. ELÜPSi § 11 lõige 1 annab </w:t>
      </w:r>
      <w:r w:rsidR="007674D6">
        <w:rPr>
          <w:lang w:val="et-EE"/>
        </w:rPr>
        <w:t>regionaal</w:t>
      </w:r>
      <w:r>
        <w:rPr>
          <w:lang w:val="et-EE"/>
        </w:rPr>
        <w:t xml:space="preserve">ministrile ka õiguse märkida käesolevas määruses ära need </w:t>
      </w:r>
      <w:r w:rsidRPr="002B60F2">
        <w:rPr>
          <w:bCs/>
          <w:lang w:val="et-EE"/>
        </w:rPr>
        <w:t xml:space="preserve">eelarveaastal antavad </w:t>
      </w:r>
      <w:r>
        <w:rPr>
          <w:bCs/>
          <w:lang w:val="et-EE"/>
        </w:rPr>
        <w:t xml:space="preserve">strateegiakava </w:t>
      </w:r>
      <w:r w:rsidRPr="002B60F2">
        <w:rPr>
          <w:bCs/>
          <w:lang w:val="et-EE"/>
        </w:rPr>
        <w:t>toetused, mida antakse ainult maksetaotluse alusel ja ük</w:t>
      </w:r>
      <w:r>
        <w:rPr>
          <w:bCs/>
          <w:lang w:val="et-EE"/>
        </w:rPr>
        <w:t>snes kehtiva kohustuse ulatuses</w:t>
      </w:r>
      <w:r w:rsidRPr="002B60F2">
        <w:rPr>
          <w:bCs/>
          <w:lang w:val="et-EE"/>
        </w:rPr>
        <w:t xml:space="preserve"> </w:t>
      </w:r>
      <w:r>
        <w:rPr>
          <w:bCs/>
          <w:lang w:val="et-EE"/>
        </w:rPr>
        <w:t xml:space="preserve">- </w:t>
      </w:r>
      <w:r w:rsidRPr="002B60F2">
        <w:rPr>
          <w:bCs/>
          <w:lang w:val="et-EE"/>
        </w:rPr>
        <w:t xml:space="preserve">mitmeaastaste kohustustega toetuste puhul </w:t>
      </w:r>
      <w:r>
        <w:rPr>
          <w:bCs/>
          <w:lang w:val="et-EE"/>
        </w:rPr>
        <w:t xml:space="preserve">on strateegiakava eelarve juhtimise seisukohast </w:t>
      </w:r>
      <w:r w:rsidRPr="002B60F2">
        <w:rPr>
          <w:bCs/>
          <w:lang w:val="et-EE"/>
        </w:rPr>
        <w:t xml:space="preserve">oluline sätestada, kas taotlejatel on võimalik konkreetsel aastal toetusskeemiga liituda (milleks tuleb esitada toetusetaotlus) või on uutele taotlejatele toetusskeemiga liitumist piiratud ning toetust saavad ainult toetusskeemiga juba liitunud isikud (kes peavad toetuse saamiseks esitama maksetaotluse), ning kas olemasoleva kohustusega taotlejatel on võimalik kohustust suurendada või on seda võimalust piiratud. </w:t>
      </w:r>
      <w:r w:rsidR="00807700">
        <w:rPr>
          <w:bCs/>
          <w:lang w:val="et-EE"/>
        </w:rPr>
        <w:t>2024</w:t>
      </w:r>
      <w:r>
        <w:rPr>
          <w:bCs/>
          <w:lang w:val="et-EE"/>
        </w:rPr>
        <w:t xml:space="preserve">. aastal </w:t>
      </w:r>
      <w:r w:rsidR="00807700">
        <w:rPr>
          <w:bCs/>
          <w:lang w:val="et-EE"/>
        </w:rPr>
        <w:t xml:space="preserve">ei ole strateegiakava toetuste osas kavas </w:t>
      </w:r>
      <w:r w:rsidR="00352CED">
        <w:rPr>
          <w:bCs/>
          <w:lang w:val="et-EE"/>
        </w:rPr>
        <w:t>kõnealuseid kitsendusi</w:t>
      </w:r>
      <w:r>
        <w:rPr>
          <w:bCs/>
          <w:lang w:val="et-EE"/>
        </w:rPr>
        <w:t xml:space="preserve"> kasutada.</w:t>
      </w:r>
      <w:r w:rsidR="00807700">
        <w:rPr>
          <w:bCs/>
          <w:lang w:val="et-EE"/>
        </w:rPr>
        <w:t xml:space="preserve"> Analoogiline säte on ELÜPSis olemas ka arengukava toetuste kohta</w:t>
      </w:r>
      <w:r w:rsidR="00C52D20">
        <w:rPr>
          <w:bCs/>
          <w:lang w:val="et-EE"/>
        </w:rPr>
        <w:t xml:space="preserve"> (§ 50 lõige 1)</w:t>
      </w:r>
      <w:r w:rsidR="00807700">
        <w:rPr>
          <w:bCs/>
          <w:lang w:val="et-EE"/>
        </w:rPr>
        <w:t>. Sellele t</w:t>
      </w:r>
      <w:r w:rsidR="007C559D">
        <w:rPr>
          <w:bCs/>
          <w:lang w:val="et-EE"/>
        </w:rPr>
        <w:t>uginedes on eelnõu § 2 lõigete 6 ja 7</w:t>
      </w:r>
      <w:r w:rsidR="00807700">
        <w:rPr>
          <w:bCs/>
          <w:lang w:val="et-EE"/>
        </w:rPr>
        <w:t xml:space="preserve"> kohaselt võimalik taotleda ohustatud tõugu looma pidamise toetust ja poolloodusliku koosluse hooldamise toetust üksnes kehtiva kohustusega taotlejatel ning poolloodusliku koosluse hooldamise toetuse puhul ka üksnes kehtiva kohustuse ulatuses. Nimetatud kahe toetusskeemi näol on tegemist ka ainsate arengukava mitmeaastaste pindala- ja loomapõhiste toetustega, mis 2024. aastal veel (piiratud ulatuses) avatud on.</w:t>
      </w:r>
      <w:r w:rsidR="00C52D20">
        <w:rPr>
          <w:bCs/>
          <w:lang w:val="et-EE"/>
        </w:rPr>
        <w:t xml:space="preserve"> Ülejäänud arengukava toetuste osas </w:t>
      </w:r>
      <w:r w:rsidR="00486DB6">
        <w:rPr>
          <w:lang w:val="et-EE"/>
        </w:rPr>
        <w:t xml:space="preserve">avatakse </w:t>
      </w:r>
      <w:r w:rsidR="00C52D20">
        <w:rPr>
          <w:lang w:val="et-EE"/>
        </w:rPr>
        <w:t xml:space="preserve">2024. aastal </w:t>
      </w:r>
      <w:r w:rsidR="00211419">
        <w:rPr>
          <w:lang w:val="et-EE"/>
        </w:rPr>
        <w:t>taotlusvoor</w:t>
      </w:r>
      <w:r w:rsidR="00486DB6">
        <w:rPr>
          <w:lang w:val="et-EE"/>
        </w:rPr>
        <w:t>ud</w:t>
      </w:r>
      <w:r w:rsidR="00211419">
        <w:rPr>
          <w:lang w:val="et-EE"/>
        </w:rPr>
        <w:t xml:space="preserve"> vaid </w:t>
      </w:r>
      <w:r w:rsidR="00486DB6">
        <w:rPr>
          <w:lang w:val="et-EE"/>
        </w:rPr>
        <w:t xml:space="preserve">nende </w:t>
      </w:r>
      <w:r w:rsidR="00AD33B6">
        <w:rPr>
          <w:lang w:val="et-EE"/>
        </w:rPr>
        <w:t xml:space="preserve">meetmete või </w:t>
      </w:r>
      <w:r w:rsidR="008968B9">
        <w:rPr>
          <w:lang w:val="et-EE"/>
        </w:rPr>
        <w:t xml:space="preserve">tegevuse liikide </w:t>
      </w:r>
      <w:r w:rsidR="000D5E04">
        <w:rPr>
          <w:lang w:val="et-EE"/>
        </w:rPr>
        <w:t>puhul</w:t>
      </w:r>
      <w:r w:rsidR="00486DB6">
        <w:rPr>
          <w:lang w:val="et-EE"/>
        </w:rPr>
        <w:t>, milles o</w:t>
      </w:r>
      <w:r w:rsidR="000947DF">
        <w:rPr>
          <w:lang w:val="et-EE"/>
        </w:rPr>
        <w:t>n taotlusvooru korraldamiseks veel piisavalt kohustustest vabu rahalisi vahendeid</w:t>
      </w:r>
      <w:r w:rsidR="008968B9">
        <w:rPr>
          <w:lang w:val="et-EE"/>
        </w:rPr>
        <w:t>.</w:t>
      </w:r>
    </w:p>
    <w:p w14:paraId="0E79E379" w14:textId="77777777" w:rsidR="0045157B" w:rsidRDefault="0045157B" w:rsidP="00390360">
      <w:pPr>
        <w:ind w:right="-766"/>
        <w:jc w:val="both"/>
        <w:rPr>
          <w:lang w:val="et-EE"/>
        </w:rPr>
      </w:pPr>
    </w:p>
    <w:p w14:paraId="5CB9D6E8" w14:textId="7C7A7F1C" w:rsidR="00390360" w:rsidRDefault="00D154F7" w:rsidP="00390360">
      <w:pPr>
        <w:ind w:right="-766"/>
        <w:jc w:val="both"/>
        <w:rPr>
          <w:lang w:val="et-EE"/>
        </w:rPr>
      </w:pPr>
      <w:r>
        <w:rPr>
          <w:lang w:val="et-EE"/>
        </w:rPr>
        <w:t>Strateegiakava raames antavateks ÜPP toetusteks ettenähtud vahendite jaotuse ning m</w:t>
      </w:r>
      <w:r w:rsidR="00390360" w:rsidRPr="00390360">
        <w:rPr>
          <w:lang w:val="et-EE"/>
        </w:rPr>
        <w:t xml:space="preserve">aaelu arengu toetusteks ettenähtud vahendite jaotuse </w:t>
      </w:r>
      <w:r>
        <w:rPr>
          <w:lang w:val="et-EE"/>
        </w:rPr>
        <w:t>2024</w:t>
      </w:r>
      <w:r w:rsidR="008968B9">
        <w:rPr>
          <w:lang w:val="et-EE"/>
        </w:rPr>
        <w:t xml:space="preserve">. aastal </w:t>
      </w:r>
      <w:r w:rsidR="00390360" w:rsidRPr="00390360">
        <w:rPr>
          <w:lang w:val="et-EE"/>
        </w:rPr>
        <w:t>antavate toetuste</w:t>
      </w:r>
      <w:r w:rsidR="00686914">
        <w:rPr>
          <w:lang w:val="et-EE"/>
        </w:rPr>
        <w:t xml:space="preserve"> </w:t>
      </w:r>
      <w:r w:rsidR="00BE59DF">
        <w:rPr>
          <w:lang w:val="et-EE"/>
        </w:rPr>
        <w:t xml:space="preserve">taotlusvoorude </w:t>
      </w:r>
      <w:r>
        <w:rPr>
          <w:lang w:val="et-EE"/>
        </w:rPr>
        <w:t>kohta kehtestab regionaal</w:t>
      </w:r>
      <w:r w:rsidR="00390360" w:rsidRPr="00390360">
        <w:rPr>
          <w:lang w:val="et-EE"/>
        </w:rPr>
        <w:t>minister käskkirjaga.</w:t>
      </w:r>
    </w:p>
    <w:p w14:paraId="60766E2D" w14:textId="77777777" w:rsidR="00390360" w:rsidRDefault="00390360" w:rsidP="00390360">
      <w:pPr>
        <w:ind w:right="-766"/>
        <w:jc w:val="both"/>
        <w:rPr>
          <w:lang w:val="et-EE"/>
        </w:rPr>
      </w:pPr>
    </w:p>
    <w:p w14:paraId="3A6DA3C4" w14:textId="77777777" w:rsidR="00390360" w:rsidRPr="00390360" w:rsidRDefault="00390360" w:rsidP="00390360">
      <w:pPr>
        <w:ind w:right="-766"/>
        <w:jc w:val="both"/>
        <w:rPr>
          <w:b/>
          <w:lang w:val="et-EE"/>
        </w:rPr>
      </w:pPr>
      <w:r w:rsidRPr="00390360">
        <w:rPr>
          <w:b/>
          <w:lang w:val="et-EE"/>
        </w:rPr>
        <w:t>3. Eelnõu vastavus Euroopa Liidu õigusele</w:t>
      </w:r>
    </w:p>
    <w:p w14:paraId="1B3073DE" w14:textId="77777777" w:rsidR="00390360" w:rsidRDefault="00390360" w:rsidP="00390360">
      <w:pPr>
        <w:ind w:right="-766"/>
        <w:jc w:val="both"/>
        <w:rPr>
          <w:lang w:val="et-EE"/>
        </w:rPr>
      </w:pPr>
    </w:p>
    <w:p w14:paraId="2CD9C113" w14:textId="303C38AA" w:rsidR="00390360" w:rsidRPr="00390360" w:rsidRDefault="00390360" w:rsidP="00390360">
      <w:pPr>
        <w:ind w:right="-766"/>
        <w:jc w:val="both"/>
        <w:rPr>
          <w:lang w:val="et-EE"/>
        </w:rPr>
      </w:pPr>
      <w:r w:rsidRPr="00390360">
        <w:rPr>
          <w:lang w:val="et-EE"/>
        </w:rPr>
        <w:t xml:space="preserve">Eelnõu väljatöötamisel võeti aluseks </w:t>
      </w:r>
      <w:r w:rsidR="00950276">
        <w:rPr>
          <w:lang w:val="et-EE"/>
        </w:rPr>
        <w:t>Euroopa Parlamendi ja nõukogu määrus</w:t>
      </w:r>
      <w:r w:rsidR="00950276" w:rsidRPr="004C745D">
        <w:rPr>
          <w:lang w:val="et-EE"/>
        </w:rPr>
        <w:t xml:space="preserve"> (EL) nr</w:t>
      </w:r>
      <w:r w:rsidR="002013F8">
        <w:rPr>
          <w:lang w:val="et-EE"/>
        </w:rPr>
        <w:t> </w:t>
      </w:r>
      <w:r w:rsidR="00950276" w:rsidRPr="004C745D">
        <w:rPr>
          <w:lang w:val="et-EE"/>
        </w:rPr>
        <w:t>1305/2013 Euroopa Maaelu Arengu Põllumajandusfondist (EAFRD) antavate maaelu arengu toetuste kohta ja millega tunnistatakse kehtetuks nõukogu määrus (EÜ) nr 1698/2005 (ELT L 347, 20.12.2013, lk 487–548)</w:t>
      </w:r>
      <w:r w:rsidR="00950276">
        <w:rPr>
          <w:lang w:val="et-EE"/>
        </w:rPr>
        <w:t xml:space="preserve">, </w:t>
      </w:r>
      <w:r w:rsidR="00B25567">
        <w:rPr>
          <w:lang w:val="et-EE"/>
        </w:rPr>
        <w:t xml:space="preserve">komisjoni delegeeritud määrus (EL) nr 640/2014, </w:t>
      </w:r>
      <w:r w:rsidR="00B25567" w:rsidRPr="00E66925">
        <w:rPr>
          <w:lang w:val="et-EE"/>
        </w:rPr>
        <w:t>millega täiendatakse Euroopa Parlamendi ja nõukogu määrust (EL) nr 1306/2013 ühtse haldus- ja kontrollisüsteemi osas, otsetoetuste, maaelu arengu toetuse ja nõuetele vastavuse süsteemiga seoses kohaldatavatest maksetest keeldumise ja nende tühistamise tingimuste osas ning kõnealuste toetuste ja süsteemiga seotud halduskaristuste osas</w:t>
      </w:r>
      <w:r w:rsidR="00B25567">
        <w:rPr>
          <w:lang w:val="et-EE"/>
        </w:rPr>
        <w:t xml:space="preserve"> (ELT L 181, 20.06.2014, lk</w:t>
      </w:r>
      <w:r w:rsidR="005A6BC6">
        <w:rPr>
          <w:lang w:val="et-EE"/>
        </w:rPr>
        <w:t> </w:t>
      </w:r>
      <w:r w:rsidR="009656CA">
        <w:rPr>
          <w:lang w:val="et-EE"/>
        </w:rPr>
        <w:t>48–73)</w:t>
      </w:r>
      <w:r w:rsidR="007B6BF2">
        <w:rPr>
          <w:lang w:val="et-EE"/>
        </w:rPr>
        <w:t>,</w:t>
      </w:r>
      <w:r w:rsidR="00A21038">
        <w:rPr>
          <w:lang w:val="et-EE"/>
        </w:rPr>
        <w:t xml:space="preserve"> </w:t>
      </w:r>
      <w:r w:rsidRPr="00390360">
        <w:rPr>
          <w:lang w:val="et-EE"/>
        </w:rPr>
        <w:t>Euroopa Parlamendi ja nõukogu määrus (EL) nr</w:t>
      </w:r>
      <w:r w:rsidR="00686914">
        <w:rPr>
          <w:lang w:val="et-EE"/>
        </w:rPr>
        <w:t xml:space="preserve"> </w:t>
      </w:r>
      <w:r w:rsidRPr="00390360">
        <w:rPr>
          <w:lang w:val="et-EE"/>
        </w:rPr>
        <w:t>1303/2013, millega kehtestatakse ühissätted Euroopa Regionaalarengu Fondi, Euroopa</w:t>
      </w:r>
      <w:r w:rsidR="00686914">
        <w:rPr>
          <w:lang w:val="et-EE"/>
        </w:rPr>
        <w:t xml:space="preserve"> </w:t>
      </w:r>
      <w:r w:rsidRPr="00390360">
        <w:rPr>
          <w:lang w:val="et-EE"/>
        </w:rPr>
        <w:t>Sotsiaalfondi, Ühtekuuluvusfondi, Euroopa Maaelu Arengu Euroopa Põllumajandusfondi</w:t>
      </w:r>
      <w:r w:rsidR="00686914">
        <w:rPr>
          <w:lang w:val="et-EE"/>
        </w:rPr>
        <w:t xml:space="preserve"> </w:t>
      </w:r>
      <w:r w:rsidRPr="00390360">
        <w:rPr>
          <w:lang w:val="et-EE"/>
        </w:rPr>
        <w:t>ning Euroopa Merendus- ja Kalandusfondi kohta, nähakse ette üldsätted Euroopa</w:t>
      </w:r>
      <w:r w:rsidR="00686914">
        <w:rPr>
          <w:lang w:val="et-EE"/>
        </w:rPr>
        <w:t xml:space="preserve"> </w:t>
      </w:r>
      <w:r w:rsidRPr="00390360">
        <w:rPr>
          <w:lang w:val="et-EE"/>
        </w:rPr>
        <w:t>Regionaalarengu Fondi, Euroopa Sotsiaalfondi, Ühtekuuluvusfondi ja Euroopa Merendus- ja</w:t>
      </w:r>
      <w:r w:rsidR="00686914">
        <w:rPr>
          <w:lang w:val="et-EE"/>
        </w:rPr>
        <w:t xml:space="preserve"> </w:t>
      </w:r>
      <w:r w:rsidRPr="00390360">
        <w:rPr>
          <w:lang w:val="et-EE"/>
        </w:rPr>
        <w:t>Kalandusfondi kohta ning tunnistatakse kehtetuks nõukogu määrus (EÜ) nr 1083/2006 (ELT</w:t>
      </w:r>
      <w:r w:rsidR="00686914">
        <w:rPr>
          <w:lang w:val="et-EE"/>
        </w:rPr>
        <w:t xml:space="preserve"> </w:t>
      </w:r>
      <w:r w:rsidRPr="00390360">
        <w:rPr>
          <w:lang w:val="et-EE"/>
        </w:rPr>
        <w:t>L 347, 20.12.2013, lk</w:t>
      </w:r>
      <w:r w:rsidR="007B6BF2">
        <w:rPr>
          <w:lang w:val="et-EE"/>
        </w:rPr>
        <w:t> </w:t>
      </w:r>
      <w:r w:rsidRPr="00390360">
        <w:rPr>
          <w:lang w:val="et-EE"/>
        </w:rPr>
        <w:t>320–469)</w:t>
      </w:r>
      <w:r w:rsidR="00A21038" w:rsidRPr="00A21038">
        <w:rPr>
          <w:lang w:val="et-EE"/>
        </w:rPr>
        <w:t xml:space="preserve"> </w:t>
      </w:r>
      <w:r w:rsidR="00A21038">
        <w:rPr>
          <w:lang w:val="et-EE"/>
        </w:rPr>
        <w:t xml:space="preserve">ning </w:t>
      </w:r>
      <w:r w:rsidR="00A21038" w:rsidRPr="000E4D03">
        <w:rPr>
          <w:lang w:val="et-EE"/>
        </w:rPr>
        <w:t>Euroop</w:t>
      </w:r>
      <w:r w:rsidR="00A21038">
        <w:rPr>
          <w:lang w:val="et-EE"/>
        </w:rPr>
        <w:t>a Parlamendi ja nõukogu määrus</w:t>
      </w:r>
      <w:r w:rsidR="00A21038" w:rsidRPr="000E4D03">
        <w:rPr>
          <w:lang w:val="et-EE"/>
        </w:rPr>
        <w:t xml:space="preserve"> (EL) 2021/2115, millega kehtestatakse liikmesriikide koostatavate Euroopa Põllumajanduse Tagatisfondist (EAGF) ja Euroopa Maaelu Arengu Põllumajandusfondist (EAFRD) rahastatavate ühise põllumajanduspoliitika </w:t>
      </w:r>
      <w:r w:rsidR="00A21038" w:rsidRPr="000E4D03">
        <w:rPr>
          <w:lang w:val="et-EE"/>
        </w:rPr>
        <w:lastRenderedPageBreak/>
        <w:t>strateegiakavade (ÜPP strateegiakavad) toetamise reeglid ning tunnistatakse kehtetuks määrused (EL) nr 1305/2013 ja (EL) nr 1307/2013 (ELT L 435, 06.12.2021, lk 1–186)</w:t>
      </w:r>
      <w:r w:rsidRPr="00390360">
        <w:rPr>
          <w:lang w:val="et-EE"/>
        </w:rPr>
        <w:t>.</w:t>
      </w:r>
    </w:p>
    <w:p w14:paraId="38D0BCEF" w14:textId="77777777" w:rsidR="00390360" w:rsidRDefault="00390360" w:rsidP="00390360">
      <w:pPr>
        <w:ind w:right="-766"/>
        <w:jc w:val="both"/>
        <w:rPr>
          <w:lang w:val="et-EE"/>
        </w:rPr>
      </w:pPr>
    </w:p>
    <w:p w14:paraId="3AECFE28" w14:textId="77777777" w:rsidR="00390360" w:rsidRPr="00390360" w:rsidRDefault="00390360" w:rsidP="00390360">
      <w:pPr>
        <w:ind w:right="-766"/>
        <w:jc w:val="both"/>
        <w:rPr>
          <w:b/>
          <w:lang w:val="et-EE"/>
        </w:rPr>
      </w:pPr>
      <w:r w:rsidRPr="00390360">
        <w:rPr>
          <w:b/>
          <w:lang w:val="et-EE"/>
        </w:rPr>
        <w:t>4. Määruse mõjud</w:t>
      </w:r>
    </w:p>
    <w:p w14:paraId="30DF1C80" w14:textId="77777777" w:rsidR="00390360" w:rsidRDefault="00390360" w:rsidP="00390360">
      <w:pPr>
        <w:ind w:right="-766"/>
        <w:jc w:val="both"/>
        <w:rPr>
          <w:lang w:val="et-EE"/>
        </w:rPr>
      </w:pPr>
    </w:p>
    <w:p w14:paraId="7A55176A" w14:textId="68C5A534" w:rsidR="00390360" w:rsidRPr="00390360" w:rsidRDefault="00390360" w:rsidP="00A12581">
      <w:pPr>
        <w:ind w:right="-766"/>
        <w:jc w:val="both"/>
        <w:rPr>
          <w:lang w:val="et-EE"/>
        </w:rPr>
      </w:pPr>
      <w:r w:rsidRPr="00390360">
        <w:rPr>
          <w:lang w:val="et-EE"/>
        </w:rPr>
        <w:t>Määruse rakend</w:t>
      </w:r>
      <w:r w:rsidR="0096329E">
        <w:rPr>
          <w:lang w:val="et-EE"/>
        </w:rPr>
        <w:t>amisel</w:t>
      </w:r>
      <w:r w:rsidRPr="00390360">
        <w:rPr>
          <w:lang w:val="et-EE"/>
        </w:rPr>
        <w:t xml:space="preserve"> </w:t>
      </w:r>
      <w:r w:rsidR="0096329E">
        <w:rPr>
          <w:lang w:val="et-EE"/>
        </w:rPr>
        <w:t>suureneb</w:t>
      </w:r>
      <w:r w:rsidR="0096329E" w:rsidRPr="00390360">
        <w:rPr>
          <w:lang w:val="et-EE"/>
        </w:rPr>
        <w:t xml:space="preserve"> </w:t>
      </w:r>
      <w:r w:rsidR="0096329E">
        <w:rPr>
          <w:lang w:val="et-EE"/>
        </w:rPr>
        <w:t>võimalike</w:t>
      </w:r>
      <w:r w:rsidR="0096329E" w:rsidRPr="00390360">
        <w:rPr>
          <w:lang w:val="et-EE"/>
        </w:rPr>
        <w:t xml:space="preserve"> </w:t>
      </w:r>
      <w:r w:rsidRPr="00390360">
        <w:rPr>
          <w:lang w:val="et-EE"/>
        </w:rPr>
        <w:t xml:space="preserve">taotlejate teadlikkus </w:t>
      </w:r>
      <w:r w:rsidR="00A21038">
        <w:rPr>
          <w:lang w:val="et-EE"/>
        </w:rPr>
        <w:t>2024</w:t>
      </w:r>
      <w:r w:rsidRPr="00390360">
        <w:rPr>
          <w:lang w:val="et-EE"/>
        </w:rPr>
        <w:t>.</w:t>
      </w:r>
      <w:r w:rsidR="005A6BC6">
        <w:rPr>
          <w:lang w:val="et-EE"/>
        </w:rPr>
        <w:t> </w:t>
      </w:r>
      <w:r w:rsidRPr="00390360">
        <w:rPr>
          <w:lang w:val="et-EE"/>
        </w:rPr>
        <w:t xml:space="preserve">aastal </w:t>
      </w:r>
      <w:r w:rsidR="00A21038">
        <w:rPr>
          <w:lang w:val="et-EE"/>
        </w:rPr>
        <w:t xml:space="preserve">arengukava ja strateegiakava raames </w:t>
      </w:r>
      <w:r w:rsidRPr="00390360">
        <w:rPr>
          <w:lang w:val="et-EE"/>
        </w:rPr>
        <w:t xml:space="preserve">antavatest </w:t>
      </w:r>
      <w:r w:rsidR="00A21038">
        <w:rPr>
          <w:lang w:val="et-EE"/>
        </w:rPr>
        <w:t xml:space="preserve">Euroopa Liidu ühise põllumajanduspoliitika </w:t>
      </w:r>
      <w:r w:rsidR="00A21038" w:rsidRPr="00390360">
        <w:rPr>
          <w:lang w:val="et-EE"/>
        </w:rPr>
        <w:t xml:space="preserve">toetustest </w:t>
      </w:r>
      <w:r w:rsidRPr="00390360">
        <w:rPr>
          <w:lang w:val="et-EE"/>
        </w:rPr>
        <w:t xml:space="preserve">ning </w:t>
      </w:r>
      <w:r w:rsidR="003102D6" w:rsidRPr="00390360">
        <w:rPr>
          <w:lang w:val="et-EE"/>
        </w:rPr>
        <w:t xml:space="preserve">seeläbi </w:t>
      </w:r>
      <w:r w:rsidR="0096329E">
        <w:rPr>
          <w:lang w:val="et-EE"/>
        </w:rPr>
        <w:t xml:space="preserve">luuakse </w:t>
      </w:r>
      <w:r w:rsidRPr="00390360">
        <w:rPr>
          <w:lang w:val="et-EE"/>
        </w:rPr>
        <w:t>paremad tingimused</w:t>
      </w:r>
      <w:r w:rsidR="00686914">
        <w:rPr>
          <w:lang w:val="et-EE"/>
        </w:rPr>
        <w:t xml:space="preserve"> </w:t>
      </w:r>
      <w:r w:rsidR="00211419">
        <w:rPr>
          <w:lang w:val="et-EE"/>
        </w:rPr>
        <w:t>nende</w:t>
      </w:r>
      <w:r w:rsidR="0096329E">
        <w:rPr>
          <w:lang w:val="et-EE"/>
        </w:rPr>
        <w:t xml:space="preserve"> toetuste</w:t>
      </w:r>
      <w:r w:rsidR="00211419">
        <w:rPr>
          <w:lang w:val="et-EE"/>
        </w:rPr>
        <w:t xml:space="preserve"> </w:t>
      </w:r>
      <w:r w:rsidRPr="00390360">
        <w:rPr>
          <w:lang w:val="et-EE"/>
        </w:rPr>
        <w:t>eesmärgipäraseks kasutamiseks.</w:t>
      </w:r>
      <w:r w:rsidR="00A12581" w:rsidRPr="002B091E">
        <w:rPr>
          <w:lang w:val="et-EE"/>
        </w:rPr>
        <w:t xml:space="preserve"> </w:t>
      </w:r>
      <w:r w:rsidR="00115C8A">
        <w:rPr>
          <w:lang w:val="et-EE"/>
        </w:rPr>
        <w:t>M</w:t>
      </w:r>
      <w:r w:rsidR="00A12581" w:rsidRPr="00A12581">
        <w:rPr>
          <w:lang w:val="et-EE"/>
        </w:rPr>
        <w:t>ääruse</w:t>
      </w:r>
      <w:r w:rsidR="00115C8A">
        <w:rPr>
          <w:lang w:val="et-EE"/>
        </w:rPr>
        <w:t>s</w:t>
      </w:r>
      <w:r w:rsidR="00A12581" w:rsidRPr="00A12581">
        <w:rPr>
          <w:lang w:val="et-EE"/>
        </w:rPr>
        <w:t xml:space="preserve"> </w:t>
      </w:r>
      <w:r w:rsidR="00115C8A">
        <w:rPr>
          <w:lang w:val="et-EE"/>
        </w:rPr>
        <w:t xml:space="preserve">nimetatud </w:t>
      </w:r>
      <w:r w:rsidR="00A12581">
        <w:rPr>
          <w:lang w:val="et-EE"/>
        </w:rPr>
        <w:t xml:space="preserve">toetuste rakendamise </w:t>
      </w:r>
      <w:r w:rsidR="00A12581" w:rsidRPr="00A12581">
        <w:rPr>
          <w:lang w:val="et-EE"/>
        </w:rPr>
        <w:t>eesmärke ja eeldatavaid mõjusid on kirjeldatud nii arengukavas</w:t>
      </w:r>
      <w:r w:rsidR="00A12581">
        <w:rPr>
          <w:lang w:val="et-EE"/>
        </w:rPr>
        <w:t xml:space="preserve"> </w:t>
      </w:r>
      <w:r w:rsidR="00A21038">
        <w:rPr>
          <w:lang w:val="et-EE"/>
        </w:rPr>
        <w:t xml:space="preserve">ja strateegiakavas </w:t>
      </w:r>
      <w:r w:rsidR="009656CA">
        <w:rPr>
          <w:lang w:val="et-EE"/>
        </w:rPr>
        <w:t xml:space="preserve">kui ka </w:t>
      </w:r>
      <w:r w:rsidR="00A21038">
        <w:rPr>
          <w:lang w:val="et-EE"/>
        </w:rPr>
        <w:t>nende eelhindamise aruann</w:t>
      </w:r>
      <w:r w:rsidR="00A12581" w:rsidRPr="00A12581">
        <w:rPr>
          <w:lang w:val="et-EE"/>
        </w:rPr>
        <w:t>e</w:t>
      </w:r>
      <w:r w:rsidR="00A21038">
        <w:rPr>
          <w:lang w:val="et-EE"/>
        </w:rPr>
        <w:t>te</w:t>
      </w:r>
      <w:r w:rsidR="00A12581" w:rsidRPr="00A12581">
        <w:rPr>
          <w:lang w:val="et-EE"/>
        </w:rPr>
        <w:t>s.</w:t>
      </w:r>
      <w:r w:rsidR="007120D5" w:rsidRPr="007120D5">
        <w:rPr>
          <w:lang w:val="et-EE"/>
        </w:rPr>
        <w:t xml:space="preserve"> </w:t>
      </w:r>
      <w:r w:rsidR="007120D5">
        <w:rPr>
          <w:lang w:val="et-EE"/>
        </w:rPr>
        <w:t>Arengukava tekstiga on võimalik tutvuda aadressil</w:t>
      </w:r>
      <w:r w:rsidR="00B252E4">
        <w:rPr>
          <w:lang w:val="et-EE"/>
        </w:rPr>
        <w:t xml:space="preserve"> </w:t>
      </w:r>
      <w:hyperlink r:id="rId7" w:history="1">
        <w:r w:rsidR="00B252E4" w:rsidRPr="002D03A0">
          <w:rPr>
            <w:rStyle w:val="Hyperlink"/>
            <w:lang w:val="et-EE"/>
          </w:rPr>
          <w:t>https://www.agri.ee/eesti-maaelu-arengukava-2014-2020</w:t>
        </w:r>
      </w:hyperlink>
      <w:r w:rsidR="007120D5">
        <w:rPr>
          <w:lang w:val="et-EE"/>
        </w:rPr>
        <w:t>, arengukava eelhindamise aruandega aadressil</w:t>
      </w:r>
      <w:r w:rsidR="00B252E4">
        <w:rPr>
          <w:lang w:val="et-EE"/>
        </w:rPr>
        <w:t xml:space="preserve"> </w:t>
      </w:r>
      <w:hyperlink r:id="rId8" w:anchor="eelhindamine" w:history="1">
        <w:r w:rsidR="00B252E4" w:rsidRPr="002D03A0">
          <w:rPr>
            <w:rStyle w:val="Hyperlink"/>
            <w:lang w:val="et-EE"/>
          </w:rPr>
          <w:t>https://www.agri.ee/eesti-maaelu-arengukava-2014-2020#eelhindamine</w:t>
        </w:r>
      </w:hyperlink>
      <w:r w:rsidR="007120D5">
        <w:rPr>
          <w:lang w:val="et-EE"/>
        </w:rPr>
        <w:t>.</w:t>
      </w:r>
      <w:r w:rsidR="00A21038">
        <w:rPr>
          <w:lang w:val="et-EE"/>
        </w:rPr>
        <w:t xml:space="preserve"> Strateegiakava tekstiga on võimalik tutvuda aadressil</w:t>
      </w:r>
      <w:r w:rsidR="00B252E4">
        <w:rPr>
          <w:lang w:val="et-EE"/>
        </w:rPr>
        <w:t xml:space="preserve"> </w:t>
      </w:r>
      <w:hyperlink r:id="rId9" w:history="1">
        <w:r w:rsidR="00B252E4" w:rsidRPr="002D03A0">
          <w:rPr>
            <w:rStyle w:val="Hyperlink"/>
            <w:lang w:val="et-EE"/>
          </w:rPr>
          <w:t>https://www.agri.ee/euroopa-liidu-uhise-pollumajanduspoliitika-strateegiakava-2023-2027</w:t>
        </w:r>
      </w:hyperlink>
      <w:r w:rsidR="00A21038">
        <w:rPr>
          <w:lang w:val="et-EE"/>
        </w:rPr>
        <w:t>, strateegiakava eelhindamise aruandega aadressil</w:t>
      </w:r>
      <w:r w:rsidR="00B252E4">
        <w:rPr>
          <w:lang w:val="et-EE"/>
        </w:rPr>
        <w:t xml:space="preserve"> </w:t>
      </w:r>
      <w:hyperlink r:id="rId10" w:anchor="eelhindamine" w:history="1">
        <w:r w:rsidR="00B252E4" w:rsidRPr="002D03A0">
          <w:rPr>
            <w:rStyle w:val="Hyperlink"/>
            <w:lang w:val="et-EE"/>
          </w:rPr>
          <w:t>https://www.agri.ee/euroopa-liidu-uhise-pollumajanduspoliitika-strateegiakava-2023-2027#eelhindamine</w:t>
        </w:r>
      </w:hyperlink>
      <w:r w:rsidR="00A21038">
        <w:rPr>
          <w:lang w:val="et-EE"/>
        </w:rPr>
        <w:t>.</w:t>
      </w:r>
    </w:p>
    <w:p w14:paraId="2D703133" w14:textId="77777777" w:rsidR="00390360" w:rsidRDefault="00390360" w:rsidP="00390360">
      <w:pPr>
        <w:ind w:right="-766"/>
        <w:jc w:val="both"/>
        <w:rPr>
          <w:lang w:val="et-EE"/>
        </w:rPr>
      </w:pPr>
    </w:p>
    <w:p w14:paraId="441C3663" w14:textId="77777777" w:rsidR="00390360" w:rsidRPr="00390360" w:rsidRDefault="00390360" w:rsidP="00390360">
      <w:pPr>
        <w:ind w:right="-766"/>
        <w:jc w:val="both"/>
        <w:rPr>
          <w:b/>
          <w:lang w:val="et-EE"/>
        </w:rPr>
      </w:pPr>
      <w:r>
        <w:rPr>
          <w:b/>
          <w:lang w:val="et-EE"/>
        </w:rPr>
        <w:t xml:space="preserve">5. Määruse </w:t>
      </w:r>
      <w:r w:rsidR="006F11F4">
        <w:rPr>
          <w:b/>
          <w:lang w:val="et-EE"/>
        </w:rPr>
        <w:t>rakendamisega seotud tegevused,</w:t>
      </w:r>
      <w:r w:rsidR="006F11F4" w:rsidRPr="00390360">
        <w:rPr>
          <w:b/>
          <w:lang w:val="et-EE"/>
        </w:rPr>
        <w:t xml:space="preserve"> </w:t>
      </w:r>
      <w:r w:rsidRPr="00390360">
        <w:rPr>
          <w:b/>
          <w:lang w:val="et-EE"/>
        </w:rPr>
        <w:t>vajalikud kulud ja määruse rakendamise eeldatavad tulud</w:t>
      </w:r>
    </w:p>
    <w:p w14:paraId="095F4B09" w14:textId="77777777" w:rsidR="00390360" w:rsidRDefault="00390360" w:rsidP="00390360">
      <w:pPr>
        <w:ind w:right="-766"/>
        <w:jc w:val="both"/>
        <w:rPr>
          <w:lang w:val="et-EE"/>
        </w:rPr>
      </w:pPr>
    </w:p>
    <w:p w14:paraId="27CE4E4B" w14:textId="5EE26C02" w:rsidR="00390360" w:rsidRDefault="00190762" w:rsidP="00E55C74">
      <w:pPr>
        <w:ind w:right="-766"/>
        <w:jc w:val="both"/>
        <w:rPr>
          <w:lang w:val="et-EE"/>
        </w:rPr>
      </w:pPr>
      <w:r>
        <w:rPr>
          <w:lang w:val="et-EE"/>
        </w:rPr>
        <w:t>Enam</w:t>
      </w:r>
      <w:r w:rsidR="006F11F4">
        <w:rPr>
          <w:lang w:val="et-EE"/>
        </w:rPr>
        <w:t>iku</w:t>
      </w:r>
      <w:r>
        <w:rPr>
          <w:lang w:val="et-EE"/>
        </w:rPr>
        <w:t xml:space="preserve"> määruse alusel korraldatavate taotlusvoorude raames vastu</w:t>
      </w:r>
      <w:r w:rsidR="0096329E">
        <w:rPr>
          <w:lang w:val="et-EE"/>
        </w:rPr>
        <w:t xml:space="preserve"> </w:t>
      </w:r>
      <w:r>
        <w:rPr>
          <w:lang w:val="et-EE"/>
        </w:rPr>
        <w:t xml:space="preserve">võetavate </w:t>
      </w:r>
      <w:r w:rsidR="00B96782">
        <w:rPr>
          <w:lang w:val="et-EE"/>
        </w:rPr>
        <w:t xml:space="preserve">ja </w:t>
      </w:r>
      <w:r w:rsidR="002013F8">
        <w:rPr>
          <w:lang w:val="et-EE"/>
        </w:rPr>
        <w:t xml:space="preserve">rahuldatavate </w:t>
      </w:r>
      <w:r>
        <w:rPr>
          <w:lang w:val="et-EE"/>
        </w:rPr>
        <w:t xml:space="preserve">taotluste </w:t>
      </w:r>
      <w:r w:rsidR="0096329E">
        <w:rPr>
          <w:lang w:val="et-EE"/>
        </w:rPr>
        <w:t>alusel makstakse toetuse saajale toetust</w:t>
      </w:r>
      <w:r w:rsidR="00B252E4">
        <w:rPr>
          <w:lang w:val="et-EE"/>
        </w:rPr>
        <w:t xml:space="preserve"> 2025</w:t>
      </w:r>
      <w:r w:rsidR="008139C6">
        <w:rPr>
          <w:lang w:val="et-EE"/>
        </w:rPr>
        <w:t>.</w:t>
      </w:r>
      <w:r w:rsidR="006F11F4">
        <w:rPr>
          <w:lang w:val="et-EE"/>
        </w:rPr>
        <w:t> </w:t>
      </w:r>
      <w:r w:rsidR="008139C6">
        <w:rPr>
          <w:lang w:val="et-EE"/>
        </w:rPr>
        <w:t>aastal või</w:t>
      </w:r>
      <w:r w:rsidR="00B252E4">
        <w:rPr>
          <w:lang w:val="et-EE"/>
        </w:rPr>
        <w:t xml:space="preserve"> mõnel juhul ka 2026</w:t>
      </w:r>
      <w:r w:rsidR="00452218">
        <w:rPr>
          <w:lang w:val="et-EE"/>
        </w:rPr>
        <w:t>. aastal</w:t>
      </w:r>
      <w:r>
        <w:rPr>
          <w:lang w:val="et-EE"/>
        </w:rPr>
        <w:t xml:space="preserve">. </w:t>
      </w:r>
      <w:r w:rsidR="008139C6">
        <w:rPr>
          <w:lang w:val="et-EE"/>
        </w:rPr>
        <w:t>Mõne toetuse puhul</w:t>
      </w:r>
      <w:r w:rsidR="007E7138">
        <w:rPr>
          <w:lang w:val="et-EE"/>
        </w:rPr>
        <w:t>,</w:t>
      </w:r>
      <w:r w:rsidR="008139C6">
        <w:rPr>
          <w:lang w:val="et-EE"/>
        </w:rPr>
        <w:t xml:space="preserve"> </w:t>
      </w:r>
      <w:r w:rsidR="007E7138">
        <w:rPr>
          <w:lang w:val="et-EE"/>
        </w:rPr>
        <w:t xml:space="preserve">kus näiteks esimene väljamakse järgneb kohe taotluse rahuldamisele, </w:t>
      </w:r>
      <w:r w:rsidR="008139C6">
        <w:rPr>
          <w:lang w:val="et-EE"/>
        </w:rPr>
        <w:t xml:space="preserve">jõutakse makseteni </w:t>
      </w:r>
      <w:r w:rsidR="006F11F4">
        <w:rPr>
          <w:lang w:val="et-EE"/>
        </w:rPr>
        <w:t xml:space="preserve">eeldatavasti </w:t>
      </w:r>
      <w:r w:rsidR="00B252E4">
        <w:rPr>
          <w:lang w:val="et-EE"/>
        </w:rPr>
        <w:t>juba 2024</w:t>
      </w:r>
      <w:r w:rsidR="008139C6">
        <w:rPr>
          <w:lang w:val="et-EE"/>
        </w:rPr>
        <w:t>.</w:t>
      </w:r>
      <w:r w:rsidR="008E0E5C">
        <w:rPr>
          <w:lang w:val="et-EE"/>
        </w:rPr>
        <w:t> </w:t>
      </w:r>
      <w:r w:rsidR="008139C6">
        <w:rPr>
          <w:lang w:val="et-EE"/>
        </w:rPr>
        <w:t xml:space="preserve">aastal. </w:t>
      </w:r>
      <w:r w:rsidR="00E55C74" w:rsidRPr="00E55C74">
        <w:rPr>
          <w:lang w:val="et-EE"/>
        </w:rPr>
        <w:t>Määruse rakendamine ei too endaga kaasa lisategevusi, samuti ei kaasne määruse rakendamisega</w:t>
      </w:r>
      <w:r w:rsidR="00E55C74">
        <w:rPr>
          <w:lang w:val="et-EE"/>
        </w:rPr>
        <w:t xml:space="preserve"> </w:t>
      </w:r>
      <w:r w:rsidR="00E55C74" w:rsidRPr="00E55C74">
        <w:rPr>
          <w:lang w:val="et-EE"/>
        </w:rPr>
        <w:t>tulusid.</w:t>
      </w:r>
      <w:r w:rsidR="00E55C74">
        <w:rPr>
          <w:lang w:val="et-EE"/>
        </w:rPr>
        <w:t xml:space="preserve"> </w:t>
      </w:r>
      <w:r w:rsidR="00BE59DF" w:rsidRPr="00BE59DF">
        <w:rPr>
          <w:lang w:val="et-EE"/>
        </w:rPr>
        <w:t>20</w:t>
      </w:r>
      <w:r w:rsidR="00CD343D">
        <w:rPr>
          <w:lang w:val="et-EE"/>
        </w:rPr>
        <w:t>24</w:t>
      </w:r>
      <w:r w:rsidR="00BE59DF">
        <w:rPr>
          <w:lang w:val="et-EE"/>
        </w:rPr>
        <w:t xml:space="preserve">. aasta toetuste eelarve </w:t>
      </w:r>
      <w:r w:rsidR="00CD343D">
        <w:rPr>
          <w:lang w:val="et-EE"/>
        </w:rPr>
        <w:t xml:space="preserve">arengukava osas </w:t>
      </w:r>
      <w:r w:rsidR="00BE59DF">
        <w:rPr>
          <w:lang w:val="et-EE"/>
        </w:rPr>
        <w:t>on ligikaudu</w:t>
      </w:r>
      <w:r w:rsidR="00CD343D">
        <w:rPr>
          <w:lang w:val="et-EE"/>
        </w:rPr>
        <w:t xml:space="preserve"> 115,5</w:t>
      </w:r>
      <w:r w:rsidR="00BE59DF" w:rsidRPr="00BE59DF">
        <w:rPr>
          <w:lang w:val="et-EE"/>
        </w:rPr>
        <w:t xml:space="preserve"> </w:t>
      </w:r>
      <w:r w:rsidR="00BE59DF">
        <w:rPr>
          <w:lang w:val="et-EE"/>
        </w:rPr>
        <w:t xml:space="preserve">mln eurot, millest moodustab ligikaudu </w:t>
      </w:r>
      <w:r w:rsidR="00CD343D">
        <w:rPr>
          <w:lang w:val="et-EE"/>
        </w:rPr>
        <w:t>99,1</w:t>
      </w:r>
      <w:r w:rsidR="00BE59DF" w:rsidRPr="00BE59DF">
        <w:rPr>
          <w:lang w:val="et-EE"/>
        </w:rPr>
        <w:t xml:space="preserve"> mln eurot Euroopa Liidu rahastus (Euroopa Maaelu Arengu Põllumajandusfondist ja Euro</w:t>
      </w:r>
      <w:r w:rsidR="00BE59DF">
        <w:rPr>
          <w:lang w:val="et-EE"/>
        </w:rPr>
        <w:t>opa Liidu taasterahastust) ja ligikaudu</w:t>
      </w:r>
      <w:r w:rsidR="00CD343D">
        <w:rPr>
          <w:lang w:val="et-EE"/>
        </w:rPr>
        <w:t xml:space="preserve"> 16,4</w:t>
      </w:r>
      <w:r w:rsidR="00BE59DF" w:rsidRPr="00BE59DF">
        <w:rPr>
          <w:lang w:val="et-EE"/>
        </w:rPr>
        <w:t xml:space="preserve"> mln eurot riigieelarve. </w:t>
      </w:r>
      <w:r w:rsidR="00CD343D" w:rsidRPr="00EB369C">
        <w:rPr>
          <w:lang w:val="et-EE"/>
        </w:rPr>
        <w:t>20</w:t>
      </w:r>
      <w:r w:rsidR="00CD343D">
        <w:rPr>
          <w:lang w:val="et-EE"/>
        </w:rPr>
        <w:t>24. aasta toetuste eelarve strateegiakava osas on ligikaudu 252,5</w:t>
      </w:r>
      <w:r w:rsidR="00CD343D" w:rsidRPr="00EB369C">
        <w:rPr>
          <w:lang w:val="et-EE"/>
        </w:rPr>
        <w:t xml:space="preserve"> </w:t>
      </w:r>
      <w:r w:rsidR="00CD343D">
        <w:rPr>
          <w:lang w:val="et-EE"/>
        </w:rPr>
        <w:t>mln eurot, millest moodustab ligikaudu 231,9</w:t>
      </w:r>
      <w:r w:rsidR="00CD343D" w:rsidRPr="00EB369C">
        <w:rPr>
          <w:lang w:val="et-EE"/>
        </w:rPr>
        <w:t xml:space="preserve"> mln eurot Euroopa Liidu rahastus (Euroopa Põllumajanduse Tagatisfondist ja Euroopa Maaelu Ar</w:t>
      </w:r>
      <w:r w:rsidR="00CD343D">
        <w:rPr>
          <w:lang w:val="et-EE"/>
        </w:rPr>
        <w:t>engu Põllumajandusfondist) ja ligikaudu</w:t>
      </w:r>
      <w:r w:rsidR="00CD343D" w:rsidRPr="00EB369C">
        <w:rPr>
          <w:lang w:val="et-EE"/>
        </w:rPr>
        <w:t xml:space="preserve"> 2</w:t>
      </w:r>
      <w:r w:rsidR="00CD343D">
        <w:rPr>
          <w:lang w:val="et-EE"/>
        </w:rPr>
        <w:t>0,6</w:t>
      </w:r>
      <w:r w:rsidR="00CD343D" w:rsidRPr="00EB369C">
        <w:rPr>
          <w:lang w:val="et-EE"/>
        </w:rPr>
        <w:t xml:space="preserve"> mln eurot riigieelarve.</w:t>
      </w:r>
      <w:r w:rsidR="00CD343D">
        <w:rPr>
          <w:lang w:val="et-EE"/>
        </w:rPr>
        <w:t xml:space="preserve"> </w:t>
      </w:r>
      <w:r w:rsidR="00BE59DF" w:rsidRPr="00BE59DF">
        <w:rPr>
          <w:lang w:val="et-EE"/>
        </w:rPr>
        <w:t>Riigieelarvelised vahendid on ette näh</w:t>
      </w:r>
      <w:r w:rsidR="003121BB">
        <w:rPr>
          <w:lang w:val="et-EE"/>
        </w:rPr>
        <w:t>tud 2024</w:t>
      </w:r>
      <w:r w:rsidR="00BE59DF" w:rsidRPr="00BE59DF">
        <w:rPr>
          <w:lang w:val="et-EE"/>
        </w:rPr>
        <w:t xml:space="preserve">. a riigieelarve seaduse § 1 lõikes 2 </w:t>
      </w:r>
      <w:r w:rsidR="003121BB">
        <w:rPr>
          <w:lang w:val="et-EE"/>
        </w:rPr>
        <w:t xml:space="preserve">Regionaal- ja Põllumajandusministeeriumi </w:t>
      </w:r>
      <w:r w:rsidR="00BE59DF" w:rsidRPr="00BE59DF">
        <w:rPr>
          <w:lang w:val="et-EE"/>
        </w:rPr>
        <w:t>valitsemisala põllumajanduse, toidu ja maaelu kulude all. Eelnõu heaks kiitmisega kaasnevate kulude rahastamisvõimaluste üle toetuste pu</w:t>
      </w:r>
      <w:r w:rsidR="003121BB">
        <w:rPr>
          <w:lang w:val="et-EE"/>
        </w:rPr>
        <w:t>hul, kus väljamaksed jäävad 2025. või 2026</w:t>
      </w:r>
      <w:r w:rsidR="00BE59DF" w:rsidRPr="00BE59DF">
        <w:rPr>
          <w:lang w:val="et-EE"/>
        </w:rPr>
        <w:t>. aastasse, arutatakse järgmises riigieelarve ja riig</w:t>
      </w:r>
      <w:r w:rsidR="00BE59DF">
        <w:rPr>
          <w:lang w:val="et-EE"/>
        </w:rPr>
        <w:t>i eelarvestrateegia protsessis.</w:t>
      </w:r>
    </w:p>
    <w:p w14:paraId="309E6BAA" w14:textId="77777777" w:rsidR="00390360" w:rsidRDefault="00390360" w:rsidP="00390360">
      <w:pPr>
        <w:ind w:right="-766"/>
        <w:jc w:val="both"/>
        <w:rPr>
          <w:lang w:val="et-EE"/>
        </w:rPr>
      </w:pPr>
    </w:p>
    <w:p w14:paraId="4895191F" w14:textId="77777777" w:rsidR="00686914" w:rsidRPr="00686914" w:rsidRDefault="00686914" w:rsidP="00390360">
      <w:pPr>
        <w:ind w:right="-766"/>
        <w:jc w:val="both"/>
        <w:rPr>
          <w:b/>
          <w:lang w:val="et-EE"/>
        </w:rPr>
      </w:pPr>
      <w:r w:rsidRPr="00686914">
        <w:rPr>
          <w:b/>
          <w:lang w:val="et-EE"/>
        </w:rPr>
        <w:t>6. Määruse jõustumine</w:t>
      </w:r>
    </w:p>
    <w:p w14:paraId="1AF1953A" w14:textId="77777777" w:rsidR="00686914" w:rsidRDefault="00686914" w:rsidP="00390360">
      <w:pPr>
        <w:ind w:right="-766"/>
        <w:jc w:val="both"/>
        <w:rPr>
          <w:lang w:val="et-EE"/>
        </w:rPr>
      </w:pPr>
    </w:p>
    <w:p w14:paraId="40F6992D" w14:textId="77777777" w:rsidR="00686914" w:rsidRDefault="00686914" w:rsidP="00390360">
      <w:pPr>
        <w:ind w:right="-766"/>
        <w:jc w:val="both"/>
        <w:rPr>
          <w:lang w:val="et-EE"/>
        </w:rPr>
      </w:pPr>
      <w:r>
        <w:rPr>
          <w:lang w:val="et-EE"/>
        </w:rPr>
        <w:t>Määrus jõustub üldises korras.</w:t>
      </w:r>
    </w:p>
    <w:p w14:paraId="4F5F3BA6" w14:textId="77777777" w:rsidR="00686914" w:rsidRDefault="00686914" w:rsidP="00390360">
      <w:pPr>
        <w:ind w:right="-766"/>
        <w:jc w:val="both"/>
        <w:rPr>
          <w:lang w:val="et-EE"/>
        </w:rPr>
      </w:pPr>
    </w:p>
    <w:p w14:paraId="13802327" w14:textId="77777777" w:rsidR="00390360" w:rsidRPr="00686914" w:rsidRDefault="00390360" w:rsidP="00390360">
      <w:pPr>
        <w:ind w:right="-766"/>
        <w:jc w:val="both"/>
        <w:rPr>
          <w:b/>
          <w:lang w:val="et-EE"/>
        </w:rPr>
      </w:pPr>
      <w:r w:rsidRPr="00686914">
        <w:rPr>
          <w:b/>
          <w:lang w:val="et-EE"/>
        </w:rPr>
        <w:t>7. Eelnõu kooskõlastamine, huvirühmade kaasamine ja avalik konsultatsioon</w:t>
      </w:r>
    </w:p>
    <w:p w14:paraId="35D14C76" w14:textId="77777777" w:rsidR="00686914" w:rsidRDefault="00686914" w:rsidP="00390360">
      <w:pPr>
        <w:ind w:right="-766"/>
        <w:jc w:val="both"/>
        <w:rPr>
          <w:lang w:val="et-EE"/>
        </w:rPr>
      </w:pPr>
    </w:p>
    <w:p w14:paraId="396F14AC" w14:textId="0D32BC94" w:rsidR="00DB3BCF" w:rsidRDefault="00122A91" w:rsidP="00653539">
      <w:pPr>
        <w:ind w:right="-766"/>
        <w:jc w:val="both"/>
        <w:rPr>
          <w:lang w:val="et-EE"/>
        </w:rPr>
      </w:pPr>
      <w:r w:rsidRPr="00122A91">
        <w:rPr>
          <w:lang w:val="et-EE"/>
        </w:rPr>
        <w:t xml:space="preserve">Eelnõu </w:t>
      </w:r>
      <w:r w:rsidR="004A4CAC">
        <w:rPr>
          <w:lang w:val="et-EE"/>
        </w:rPr>
        <w:t>esitatakse</w:t>
      </w:r>
      <w:r w:rsidR="00BE59DF">
        <w:rPr>
          <w:lang w:val="et-EE"/>
        </w:rPr>
        <w:t xml:space="preserve"> </w:t>
      </w:r>
      <w:r w:rsidR="004A4CAC">
        <w:rPr>
          <w:lang w:val="et-EE"/>
        </w:rPr>
        <w:t>kooskõlastamiseks Haridus- ja Teadusministeeriumile, Kliima</w:t>
      </w:r>
      <w:r w:rsidRPr="00122A91">
        <w:rPr>
          <w:lang w:val="et-EE"/>
        </w:rPr>
        <w:t xml:space="preserve">ministeeriumile, Majandus- ja </w:t>
      </w:r>
      <w:r w:rsidR="00515732">
        <w:rPr>
          <w:lang w:val="et-EE"/>
        </w:rPr>
        <w:t>Kommunikatsiooniministeeriumile</w:t>
      </w:r>
      <w:r w:rsidR="004A4CAC">
        <w:rPr>
          <w:lang w:val="et-EE"/>
        </w:rPr>
        <w:t>,</w:t>
      </w:r>
      <w:r w:rsidR="00515732">
        <w:rPr>
          <w:lang w:val="et-EE"/>
        </w:rPr>
        <w:t xml:space="preserve"> </w:t>
      </w:r>
      <w:r w:rsidRPr="00122A91">
        <w:rPr>
          <w:lang w:val="et-EE"/>
        </w:rPr>
        <w:t xml:space="preserve">Rahandusministeeriumile </w:t>
      </w:r>
      <w:r w:rsidR="001066D7">
        <w:rPr>
          <w:lang w:val="et-EE"/>
        </w:rPr>
        <w:t>ning</w:t>
      </w:r>
      <w:r w:rsidR="004A4CAC">
        <w:rPr>
          <w:lang w:val="et-EE"/>
        </w:rPr>
        <w:t xml:space="preserve"> Sotsiaalministeeriumile </w:t>
      </w:r>
      <w:r w:rsidRPr="00122A91">
        <w:rPr>
          <w:lang w:val="et-EE"/>
        </w:rPr>
        <w:t xml:space="preserve">eelnõude </w:t>
      </w:r>
      <w:r w:rsidR="00D816C3">
        <w:rPr>
          <w:lang w:val="et-EE"/>
        </w:rPr>
        <w:t>info</w:t>
      </w:r>
      <w:r w:rsidRPr="00122A91">
        <w:rPr>
          <w:lang w:val="et-EE"/>
        </w:rPr>
        <w:t xml:space="preserve">süsteemis EIS. Eelnõu </w:t>
      </w:r>
      <w:r w:rsidR="00D816C3" w:rsidRPr="00122A91">
        <w:rPr>
          <w:lang w:val="et-EE"/>
        </w:rPr>
        <w:t>saadet</w:t>
      </w:r>
      <w:r w:rsidR="00E04586">
        <w:rPr>
          <w:lang w:val="et-EE"/>
        </w:rPr>
        <w:t>akse</w:t>
      </w:r>
      <w:r w:rsidR="00D816C3" w:rsidRPr="00122A91">
        <w:rPr>
          <w:lang w:val="et-EE"/>
        </w:rPr>
        <w:t xml:space="preserve"> </w:t>
      </w:r>
      <w:r w:rsidRPr="00122A91">
        <w:rPr>
          <w:lang w:val="et-EE"/>
        </w:rPr>
        <w:t xml:space="preserve">informatsiooniks ka </w:t>
      </w:r>
      <w:r w:rsidRPr="00790DEE">
        <w:rPr>
          <w:lang w:val="et-EE"/>
        </w:rPr>
        <w:t xml:space="preserve">arengukava </w:t>
      </w:r>
      <w:r w:rsidR="00E04586">
        <w:rPr>
          <w:lang w:val="et-EE"/>
        </w:rPr>
        <w:t xml:space="preserve">ja strateegiakava ühisele </w:t>
      </w:r>
      <w:r w:rsidRPr="00790DEE">
        <w:rPr>
          <w:lang w:val="et-EE"/>
        </w:rPr>
        <w:t>seirekomisjonile</w:t>
      </w:r>
      <w:r w:rsidR="00A24054">
        <w:rPr>
          <w:lang w:val="et-EE"/>
        </w:rPr>
        <w:t>.</w:t>
      </w:r>
    </w:p>
    <w:sectPr w:rsidR="00DB3BCF" w:rsidSect="0053609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CCA9" w14:textId="77777777" w:rsidR="00C04D05" w:rsidRDefault="00C04D05" w:rsidP="00E369B9">
      <w:r>
        <w:separator/>
      </w:r>
    </w:p>
  </w:endnote>
  <w:endnote w:type="continuationSeparator" w:id="0">
    <w:p w14:paraId="3B40F0EC" w14:textId="77777777" w:rsidR="00C04D05" w:rsidRDefault="00C04D05" w:rsidP="00E3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771928"/>
      <w:docPartObj>
        <w:docPartGallery w:val="Page Numbers (Bottom of Page)"/>
        <w:docPartUnique/>
      </w:docPartObj>
    </w:sdtPr>
    <w:sdtContent>
      <w:p w14:paraId="74117332" w14:textId="256C1EDF" w:rsidR="00DD5C60" w:rsidRDefault="00DD5C60">
        <w:pPr>
          <w:pStyle w:val="Footer"/>
          <w:jc w:val="center"/>
        </w:pPr>
        <w:r>
          <w:fldChar w:fldCharType="begin"/>
        </w:r>
        <w:r>
          <w:instrText>PAGE   \* MERGEFORMAT</w:instrText>
        </w:r>
        <w:r>
          <w:fldChar w:fldCharType="separate"/>
        </w:r>
        <w:r w:rsidR="0043594F" w:rsidRPr="0043594F">
          <w:rPr>
            <w:noProof/>
            <w:lang w:val="et-EE"/>
          </w:rPr>
          <w:t>3</w:t>
        </w:r>
        <w:r>
          <w:fldChar w:fldCharType="end"/>
        </w:r>
      </w:p>
    </w:sdtContent>
  </w:sdt>
  <w:p w14:paraId="5C7D2E23" w14:textId="77777777" w:rsidR="00E369B9" w:rsidRDefault="00E3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C571" w14:textId="77777777" w:rsidR="00C04D05" w:rsidRDefault="00C04D05" w:rsidP="00E369B9">
      <w:r>
        <w:separator/>
      </w:r>
    </w:p>
  </w:footnote>
  <w:footnote w:type="continuationSeparator" w:id="0">
    <w:p w14:paraId="3D61F985" w14:textId="77777777" w:rsidR="00C04D05" w:rsidRDefault="00C04D05" w:rsidP="00E3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49"/>
    <w:rsid w:val="0000424D"/>
    <w:rsid w:val="00006E46"/>
    <w:rsid w:val="00007E8B"/>
    <w:rsid w:val="00013019"/>
    <w:rsid w:val="00020AF4"/>
    <w:rsid w:val="00022B10"/>
    <w:rsid w:val="0005086E"/>
    <w:rsid w:val="00052238"/>
    <w:rsid w:val="00054394"/>
    <w:rsid w:val="000575BD"/>
    <w:rsid w:val="00057761"/>
    <w:rsid w:val="000705C5"/>
    <w:rsid w:val="00077F3A"/>
    <w:rsid w:val="00081DCB"/>
    <w:rsid w:val="00091A6C"/>
    <w:rsid w:val="000947DF"/>
    <w:rsid w:val="000979BF"/>
    <w:rsid w:val="000A051E"/>
    <w:rsid w:val="000A09EA"/>
    <w:rsid w:val="000A18DA"/>
    <w:rsid w:val="000A4F23"/>
    <w:rsid w:val="000A6979"/>
    <w:rsid w:val="000B2088"/>
    <w:rsid w:val="000B4457"/>
    <w:rsid w:val="000B73C7"/>
    <w:rsid w:val="000C2EF6"/>
    <w:rsid w:val="000C7E74"/>
    <w:rsid w:val="000D3AEE"/>
    <w:rsid w:val="000D467D"/>
    <w:rsid w:val="000D5E04"/>
    <w:rsid w:val="000E1EE0"/>
    <w:rsid w:val="000E3359"/>
    <w:rsid w:val="000E76B2"/>
    <w:rsid w:val="000F5155"/>
    <w:rsid w:val="000F70E9"/>
    <w:rsid w:val="000F7B09"/>
    <w:rsid w:val="001066D7"/>
    <w:rsid w:val="00110FC2"/>
    <w:rsid w:val="00115140"/>
    <w:rsid w:val="00115C8A"/>
    <w:rsid w:val="00116FAD"/>
    <w:rsid w:val="00122A91"/>
    <w:rsid w:val="00131B24"/>
    <w:rsid w:val="00134ABE"/>
    <w:rsid w:val="001378D5"/>
    <w:rsid w:val="0014108F"/>
    <w:rsid w:val="00141CA0"/>
    <w:rsid w:val="001437D9"/>
    <w:rsid w:val="001467CC"/>
    <w:rsid w:val="00150FF7"/>
    <w:rsid w:val="00151B9D"/>
    <w:rsid w:val="001544F2"/>
    <w:rsid w:val="001607CF"/>
    <w:rsid w:val="00163285"/>
    <w:rsid w:val="0016513B"/>
    <w:rsid w:val="0017127D"/>
    <w:rsid w:val="001727EF"/>
    <w:rsid w:val="0017395E"/>
    <w:rsid w:val="00174E2D"/>
    <w:rsid w:val="001771C4"/>
    <w:rsid w:val="00180077"/>
    <w:rsid w:val="00180A4D"/>
    <w:rsid w:val="00185A28"/>
    <w:rsid w:val="00186472"/>
    <w:rsid w:val="00190762"/>
    <w:rsid w:val="00190C6C"/>
    <w:rsid w:val="00191050"/>
    <w:rsid w:val="0019295A"/>
    <w:rsid w:val="0019330B"/>
    <w:rsid w:val="00197072"/>
    <w:rsid w:val="001A583E"/>
    <w:rsid w:val="001A60AE"/>
    <w:rsid w:val="001B4845"/>
    <w:rsid w:val="001B7BDA"/>
    <w:rsid w:val="001C1FEF"/>
    <w:rsid w:val="001C606B"/>
    <w:rsid w:val="001D062E"/>
    <w:rsid w:val="001D763A"/>
    <w:rsid w:val="001E3069"/>
    <w:rsid w:val="001E4F05"/>
    <w:rsid w:val="001F3A16"/>
    <w:rsid w:val="001F4739"/>
    <w:rsid w:val="00201354"/>
    <w:rsid w:val="002013F8"/>
    <w:rsid w:val="00202F1E"/>
    <w:rsid w:val="00203FE1"/>
    <w:rsid w:val="002054C1"/>
    <w:rsid w:val="00211419"/>
    <w:rsid w:val="00213893"/>
    <w:rsid w:val="0021413F"/>
    <w:rsid w:val="00216F56"/>
    <w:rsid w:val="0022147E"/>
    <w:rsid w:val="002225C1"/>
    <w:rsid w:val="002244D4"/>
    <w:rsid w:val="0022525A"/>
    <w:rsid w:val="00227A73"/>
    <w:rsid w:val="00233535"/>
    <w:rsid w:val="00233A18"/>
    <w:rsid w:val="00234C92"/>
    <w:rsid w:val="0023566B"/>
    <w:rsid w:val="00240256"/>
    <w:rsid w:val="00246F21"/>
    <w:rsid w:val="002476B8"/>
    <w:rsid w:val="00253854"/>
    <w:rsid w:val="002579A5"/>
    <w:rsid w:val="00263762"/>
    <w:rsid w:val="00263991"/>
    <w:rsid w:val="00267623"/>
    <w:rsid w:val="00267A4C"/>
    <w:rsid w:val="00267EB3"/>
    <w:rsid w:val="002704AB"/>
    <w:rsid w:val="00272658"/>
    <w:rsid w:val="00273E93"/>
    <w:rsid w:val="002749B5"/>
    <w:rsid w:val="00280578"/>
    <w:rsid w:val="0028739C"/>
    <w:rsid w:val="002961D8"/>
    <w:rsid w:val="002A46AC"/>
    <w:rsid w:val="002A4DAD"/>
    <w:rsid w:val="002A73BB"/>
    <w:rsid w:val="002B091E"/>
    <w:rsid w:val="002B3D5D"/>
    <w:rsid w:val="002B6063"/>
    <w:rsid w:val="002C38AB"/>
    <w:rsid w:val="002D5E53"/>
    <w:rsid w:val="002E06F6"/>
    <w:rsid w:val="002E3376"/>
    <w:rsid w:val="002E37ED"/>
    <w:rsid w:val="002E3884"/>
    <w:rsid w:val="002E7249"/>
    <w:rsid w:val="002F22A4"/>
    <w:rsid w:val="002F2628"/>
    <w:rsid w:val="002F3C15"/>
    <w:rsid w:val="002F3CAA"/>
    <w:rsid w:val="002F5F10"/>
    <w:rsid w:val="00306A51"/>
    <w:rsid w:val="003102D6"/>
    <w:rsid w:val="003121BB"/>
    <w:rsid w:val="00313E14"/>
    <w:rsid w:val="003145B2"/>
    <w:rsid w:val="003154A2"/>
    <w:rsid w:val="00330200"/>
    <w:rsid w:val="0034675F"/>
    <w:rsid w:val="00352CED"/>
    <w:rsid w:val="00353BA9"/>
    <w:rsid w:val="0035553F"/>
    <w:rsid w:val="003568A7"/>
    <w:rsid w:val="00357ABC"/>
    <w:rsid w:val="00361EDF"/>
    <w:rsid w:val="00362C1F"/>
    <w:rsid w:val="00370B21"/>
    <w:rsid w:val="00370EBA"/>
    <w:rsid w:val="00371E41"/>
    <w:rsid w:val="00373D9C"/>
    <w:rsid w:val="00380EA3"/>
    <w:rsid w:val="0038120C"/>
    <w:rsid w:val="003859BA"/>
    <w:rsid w:val="00390360"/>
    <w:rsid w:val="003958BC"/>
    <w:rsid w:val="00397FEC"/>
    <w:rsid w:val="003A052D"/>
    <w:rsid w:val="003A5764"/>
    <w:rsid w:val="003B2A5F"/>
    <w:rsid w:val="003B4258"/>
    <w:rsid w:val="003B52D2"/>
    <w:rsid w:val="003B77F9"/>
    <w:rsid w:val="003C0C5F"/>
    <w:rsid w:val="003C1A0A"/>
    <w:rsid w:val="003C30E6"/>
    <w:rsid w:val="003C74F8"/>
    <w:rsid w:val="003C7B87"/>
    <w:rsid w:val="003D1527"/>
    <w:rsid w:val="003D31B0"/>
    <w:rsid w:val="003D3518"/>
    <w:rsid w:val="003D561D"/>
    <w:rsid w:val="003E0153"/>
    <w:rsid w:val="003E4BE6"/>
    <w:rsid w:val="003E4C09"/>
    <w:rsid w:val="0040030F"/>
    <w:rsid w:val="00401379"/>
    <w:rsid w:val="00407F58"/>
    <w:rsid w:val="00425808"/>
    <w:rsid w:val="00425C16"/>
    <w:rsid w:val="0043594F"/>
    <w:rsid w:val="00441BDB"/>
    <w:rsid w:val="004429EF"/>
    <w:rsid w:val="00446960"/>
    <w:rsid w:val="00446AED"/>
    <w:rsid w:val="00451095"/>
    <w:rsid w:val="0045157B"/>
    <w:rsid w:val="00452218"/>
    <w:rsid w:val="00454B83"/>
    <w:rsid w:val="0045791C"/>
    <w:rsid w:val="00457CD3"/>
    <w:rsid w:val="0046172F"/>
    <w:rsid w:val="00462C88"/>
    <w:rsid w:val="0047023A"/>
    <w:rsid w:val="00475940"/>
    <w:rsid w:val="004765C2"/>
    <w:rsid w:val="00476785"/>
    <w:rsid w:val="00477B1C"/>
    <w:rsid w:val="00481F32"/>
    <w:rsid w:val="004826D7"/>
    <w:rsid w:val="00484DD4"/>
    <w:rsid w:val="004861CE"/>
    <w:rsid w:val="00486DB6"/>
    <w:rsid w:val="004927CF"/>
    <w:rsid w:val="004A1663"/>
    <w:rsid w:val="004A2653"/>
    <w:rsid w:val="004A318A"/>
    <w:rsid w:val="004A4CAC"/>
    <w:rsid w:val="004A61B5"/>
    <w:rsid w:val="004B15BA"/>
    <w:rsid w:val="004B399E"/>
    <w:rsid w:val="004C4F05"/>
    <w:rsid w:val="004C51CA"/>
    <w:rsid w:val="004C5835"/>
    <w:rsid w:val="004C745D"/>
    <w:rsid w:val="004D2941"/>
    <w:rsid w:val="004D4039"/>
    <w:rsid w:val="004D66C7"/>
    <w:rsid w:val="004E1174"/>
    <w:rsid w:val="004E21A7"/>
    <w:rsid w:val="004E78DC"/>
    <w:rsid w:val="004F6FDD"/>
    <w:rsid w:val="004F77C5"/>
    <w:rsid w:val="00507ADA"/>
    <w:rsid w:val="00510E48"/>
    <w:rsid w:val="00511E8E"/>
    <w:rsid w:val="0051300D"/>
    <w:rsid w:val="005138CA"/>
    <w:rsid w:val="00514029"/>
    <w:rsid w:val="00515732"/>
    <w:rsid w:val="00517503"/>
    <w:rsid w:val="0051768E"/>
    <w:rsid w:val="0052056D"/>
    <w:rsid w:val="00532A33"/>
    <w:rsid w:val="00533073"/>
    <w:rsid w:val="00535753"/>
    <w:rsid w:val="00536093"/>
    <w:rsid w:val="005365A8"/>
    <w:rsid w:val="00541F60"/>
    <w:rsid w:val="00551549"/>
    <w:rsid w:val="0055224E"/>
    <w:rsid w:val="00563C6E"/>
    <w:rsid w:val="00563FB2"/>
    <w:rsid w:val="00564478"/>
    <w:rsid w:val="00570895"/>
    <w:rsid w:val="005716A3"/>
    <w:rsid w:val="005744B1"/>
    <w:rsid w:val="00574E74"/>
    <w:rsid w:val="005761DC"/>
    <w:rsid w:val="0058124F"/>
    <w:rsid w:val="00583652"/>
    <w:rsid w:val="00586FD1"/>
    <w:rsid w:val="005A29F5"/>
    <w:rsid w:val="005A2CD9"/>
    <w:rsid w:val="005A3F26"/>
    <w:rsid w:val="005A6BC6"/>
    <w:rsid w:val="005B1EA6"/>
    <w:rsid w:val="005B29B2"/>
    <w:rsid w:val="005B574B"/>
    <w:rsid w:val="005C7762"/>
    <w:rsid w:val="005D1B50"/>
    <w:rsid w:val="005D2756"/>
    <w:rsid w:val="005D306D"/>
    <w:rsid w:val="005D58EB"/>
    <w:rsid w:val="005E35AB"/>
    <w:rsid w:val="005E72C4"/>
    <w:rsid w:val="005F3BAA"/>
    <w:rsid w:val="005F7495"/>
    <w:rsid w:val="006048C1"/>
    <w:rsid w:val="0060575A"/>
    <w:rsid w:val="006106D9"/>
    <w:rsid w:val="00612A48"/>
    <w:rsid w:val="00625ACF"/>
    <w:rsid w:val="006279A4"/>
    <w:rsid w:val="00637B53"/>
    <w:rsid w:val="00640031"/>
    <w:rsid w:val="006403A2"/>
    <w:rsid w:val="006403A9"/>
    <w:rsid w:val="00640F71"/>
    <w:rsid w:val="00643B08"/>
    <w:rsid w:val="0064542F"/>
    <w:rsid w:val="00653539"/>
    <w:rsid w:val="00653828"/>
    <w:rsid w:val="0065469B"/>
    <w:rsid w:val="00656AF9"/>
    <w:rsid w:val="00657C29"/>
    <w:rsid w:val="00662C9A"/>
    <w:rsid w:val="00664F22"/>
    <w:rsid w:val="00684F3B"/>
    <w:rsid w:val="00685F46"/>
    <w:rsid w:val="00686914"/>
    <w:rsid w:val="00690F20"/>
    <w:rsid w:val="00692E1B"/>
    <w:rsid w:val="006A1894"/>
    <w:rsid w:val="006A3F18"/>
    <w:rsid w:val="006A619B"/>
    <w:rsid w:val="006B45A1"/>
    <w:rsid w:val="006B69A9"/>
    <w:rsid w:val="006C1F5C"/>
    <w:rsid w:val="006C216F"/>
    <w:rsid w:val="006C23D5"/>
    <w:rsid w:val="006C3CDB"/>
    <w:rsid w:val="006C4556"/>
    <w:rsid w:val="006C5334"/>
    <w:rsid w:val="006D1282"/>
    <w:rsid w:val="006D3463"/>
    <w:rsid w:val="006D3776"/>
    <w:rsid w:val="006E3449"/>
    <w:rsid w:val="006E6567"/>
    <w:rsid w:val="006E660D"/>
    <w:rsid w:val="006E69DE"/>
    <w:rsid w:val="006F0903"/>
    <w:rsid w:val="006F11F4"/>
    <w:rsid w:val="006F30EF"/>
    <w:rsid w:val="006F3137"/>
    <w:rsid w:val="006F4A2A"/>
    <w:rsid w:val="006F4E08"/>
    <w:rsid w:val="007048B0"/>
    <w:rsid w:val="007120D5"/>
    <w:rsid w:val="00713061"/>
    <w:rsid w:val="0071521E"/>
    <w:rsid w:val="00715F86"/>
    <w:rsid w:val="00716F69"/>
    <w:rsid w:val="007251D8"/>
    <w:rsid w:val="00726426"/>
    <w:rsid w:val="00726C67"/>
    <w:rsid w:val="00736A38"/>
    <w:rsid w:val="007411E2"/>
    <w:rsid w:val="00743C75"/>
    <w:rsid w:val="00756362"/>
    <w:rsid w:val="00757979"/>
    <w:rsid w:val="00761B63"/>
    <w:rsid w:val="00766374"/>
    <w:rsid w:val="007674B6"/>
    <w:rsid w:val="007674D6"/>
    <w:rsid w:val="00770931"/>
    <w:rsid w:val="007718A0"/>
    <w:rsid w:val="00774178"/>
    <w:rsid w:val="007763AC"/>
    <w:rsid w:val="00776DCD"/>
    <w:rsid w:val="0078082F"/>
    <w:rsid w:val="00790DEE"/>
    <w:rsid w:val="007923D2"/>
    <w:rsid w:val="007A06FD"/>
    <w:rsid w:val="007A7D69"/>
    <w:rsid w:val="007B1912"/>
    <w:rsid w:val="007B1E1A"/>
    <w:rsid w:val="007B2432"/>
    <w:rsid w:val="007B5F8E"/>
    <w:rsid w:val="007B6BF2"/>
    <w:rsid w:val="007B6EC3"/>
    <w:rsid w:val="007C1CA8"/>
    <w:rsid w:val="007C559D"/>
    <w:rsid w:val="007C55C1"/>
    <w:rsid w:val="007C79D4"/>
    <w:rsid w:val="007E3C6E"/>
    <w:rsid w:val="007E7138"/>
    <w:rsid w:val="007F33F6"/>
    <w:rsid w:val="0080088A"/>
    <w:rsid w:val="00801276"/>
    <w:rsid w:val="00802259"/>
    <w:rsid w:val="008059D3"/>
    <w:rsid w:val="00807700"/>
    <w:rsid w:val="008139C6"/>
    <w:rsid w:val="0081649F"/>
    <w:rsid w:val="0082101B"/>
    <w:rsid w:val="0082280D"/>
    <w:rsid w:val="008231A9"/>
    <w:rsid w:val="0082342A"/>
    <w:rsid w:val="0083176C"/>
    <w:rsid w:val="00832528"/>
    <w:rsid w:val="00833D28"/>
    <w:rsid w:val="00837DEE"/>
    <w:rsid w:val="00840824"/>
    <w:rsid w:val="00841081"/>
    <w:rsid w:val="00845CF3"/>
    <w:rsid w:val="00846DBB"/>
    <w:rsid w:val="008519C9"/>
    <w:rsid w:val="00851BC2"/>
    <w:rsid w:val="00852B34"/>
    <w:rsid w:val="00853F2A"/>
    <w:rsid w:val="0086014F"/>
    <w:rsid w:val="008628E2"/>
    <w:rsid w:val="00864BE0"/>
    <w:rsid w:val="00865377"/>
    <w:rsid w:val="008667A3"/>
    <w:rsid w:val="00871304"/>
    <w:rsid w:val="00872AE6"/>
    <w:rsid w:val="0087453C"/>
    <w:rsid w:val="00880B16"/>
    <w:rsid w:val="0088237A"/>
    <w:rsid w:val="00886A5D"/>
    <w:rsid w:val="00887B95"/>
    <w:rsid w:val="008968B9"/>
    <w:rsid w:val="00896945"/>
    <w:rsid w:val="008979BB"/>
    <w:rsid w:val="008A072A"/>
    <w:rsid w:val="008A1912"/>
    <w:rsid w:val="008B79DD"/>
    <w:rsid w:val="008B7ABD"/>
    <w:rsid w:val="008C1933"/>
    <w:rsid w:val="008C35DD"/>
    <w:rsid w:val="008C5625"/>
    <w:rsid w:val="008C7A52"/>
    <w:rsid w:val="008D2CEB"/>
    <w:rsid w:val="008D6E3B"/>
    <w:rsid w:val="008D7141"/>
    <w:rsid w:val="008D76AC"/>
    <w:rsid w:val="008E0E5C"/>
    <w:rsid w:val="008E23C1"/>
    <w:rsid w:val="008E27FD"/>
    <w:rsid w:val="008E49BC"/>
    <w:rsid w:val="008E666C"/>
    <w:rsid w:val="008F0D6E"/>
    <w:rsid w:val="008F12C0"/>
    <w:rsid w:val="008F138B"/>
    <w:rsid w:val="009100DB"/>
    <w:rsid w:val="00910FA1"/>
    <w:rsid w:val="00921888"/>
    <w:rsid w:val="00924E02"/>
    <w:rsid w:val="00942C36"/>
    <w:rsid w:val="009435B2"/>
    <w:rsid w:val="009443BD"/>
    <w:rsid w:val="00950276"/>
    <w:rsid w:val="00955975"/>
    <w:rsid w:val="00960054"/>
    <w:rsid w:val="00961335"/>
    <w:rsid w:val="0096281B"/>
    <w:rsid w:val="009630DF"/>
    <w:rsid w:val="0096329E"/>
    <w:rsid w:val="00963A41"/>
    <w:rsid w:val="009656CA"/>
    <w:rsid w:val="009659BC"/>
    <w:rsid w:val="00965F5F"/>
    <w:rsid w:val="00967A53"/>
    <w:rsid w:val="009874FC"/>
    <w:rsid w:val="00991952"/>
    <w:rsid w:val="00994D68"/>
    <w:rsid w:val="00997EAA"/>
    <w:rsid w:val="009A06A9"/>
    <w:rsid w:val="009A1E54"/>
    <w:rsid w:val="009A5837"/>
    <w:rsid w:val="009A591A"/>
    <w:rsid w:val="009B0A21"/>
    <w:rsid w:val="009B0CCD"/>
    <w:rsid w:val="009B5CB9"/>
    <w:rsid w:val="009C3D72"/>
    <w:rsid w:val="009C3E9B"/>
    <w:rsid w:val="009D238F"/>
    <w:rsid w:val="009D6DDE"/>
    <w:rsid w:val="009D778C"/>
    <w:rsid w:val="009E62FC"/>
    <w:rsid w:val="009E6C1F"/>
    <w:rsid w:val="009F0A04"/>
    <w:rsid w:val="009F3622"/>
    <w:rsid w:val="009F6987"/>
    <w:rsid w:val="00A12581"/>
    <w:rsid w:val="00A13E3A"/>
    <w:rsid w:val="00A14D12"/>
    <w:rsid w:val="00A20976"/>
    <w:rsid w:val="00A21038"/>
    <w:rsid w:val="00A22C70"/>
    <w:rsid w:val="00A23523"/>
    <w:rsid w:val="00A23D0B"/>
    <w:rsid w:val="00A24054"/>
    <w:rsid w:val="00A24808"/>
    <w:rsid w:val="00A25903"/>
    <w:rsid w:val="00A2775F"/>
    <w:rsid w:val="00A279FE"/>
    <w:rsid w:val="00A30539"/>
    <w:rsid w:val="00A30AD4"/>
    <w:rsid w:val="00A30D24"/>
    <w:rsid w:val="00A33E3D"/>
    <w:rsid w:val="00A344DE"/>
    <w:rsid w:val="00A42222"/>
    <w:rsid w:val="00A42FDA"/>
    <w:rsid w:val="00A472A9"/>
    <w:rsid w:val="00A4781C"/>
    <w:rsid w:val="00A562AF"/>
    <w:rsid w:val="00A575CA"/>
    <w:rsid w:val="00A62C55"/>
    <w:rsid w:val="00A6678A"/>
    <w:rsid w:val="00A70468"/>
    <w:rsid w:val="00A7198B"/>
    <w:rsid w:val="00A7742F"/>
    <w:rsid w:val="00A9578C"/>
    <w:rsid w:val="00A961B9"/>
    <w:rsid w:val="00AB6658"/>
    <w:rsid w:val="00AC172A"/>
    <w:rsid w:val="00AC2891"/>
    <w:rsid w:val="00AC3658"/>
    <w:rsid w:val="00AD0D9E"/>
    <w:rsid w:val="00AD2F76"/>
    <w:rsid w:val="00AD33B6"/>
    <w:rsid w:val="00AE2B5F"/>
    <w:rsid w:val="00AE2D93"/>
    <w:rsid w:val="00AE47AB"/>
    <w:rsid w:val="00AE4D7B"/>
    <w:rsid w:val="00AE67EE"/>
    <w:rsid w:val="00AE702F"/>
    <w:rsid w:val="00AF012B"/>
    <w:rsid w:val="00AF5222"/>
    <w:rsid w:val="00B01029"/>
    <w:rsid w:val="00B0114C"/>
    <w:rsid w:val="00B1595F"/>
    <w:rsid w:val="00B165AD"/>
    <w:rsid w:val="00B22EDB"/>
    <w:rsid w:val="00B252E4"/>
    <w:rsid w:val="00B25567"/>
    <w:rsid w:val="00B25A58"/>
    <w:rsid w:val="00B25B93"/>
    <w:rsid w:val="00B26D7A"/>
    <w:rsid w:val="00B30357"/>
    <w:rsid w:val="00B30519"/>
    <w:rsid w:val="00B36A80"/>
    <w:rsid w:val="00B37E70"/>
    <w:rsid w:val="00B41166"/>
    <w:rsid w:val="00B46818"/>
    <w:rsid w:val="00B621BB"/>
    <w:rsid w:val="00B62C53"/>
    <w:rsid w:val="00B71526"/>
    <w:rsid w:val="00B722AC"/>
    <w:rsid w:val="00B74373"/>
    <w:rsid w:val="00B76319"/>
    <w:rsid w:val="00B80196"/>
    <w:rsid w:val="00B84164"/>
    <w:rsid w:val="00B864D7"/>
    <w:rsid w:val="00B87708"/>
    <w:rsid w:val="00B9297E"/>
    <w:rsid w:val="00B946BE"/>
    <w:rsid w:val="00B95BC3"/>
    <w:rsid w:val="00B96232"/>
    <w:rsid w:val="00B96782"/>
    <w:rsid w:val="00BA0D54"/>
    <w:rsid w:val="00BA23E6"/>
    <w:rsid w:val="00BA30E8"/>
    <w:rsid w:val="00BA343F"/>
    <w:rsid w:val="00BA5AFE"/>
    <w:rsid w:val="00BA7AC3"/>
    <w:rsid w:val="00BB3BFD"/>
    <w:rsid w:val="00BB4FD8"/>
    <w:rsid w:val="00BB51D2"/>
    <w:rsid w:val="00BC060A"/>
    <w:rsid w:val="00BC3DD1"/>
    <w:rsid w:val="00BC58AC"/>
    <w:rsid w:val="00BE58C0"/>
    <w:rsid w:val="00BE59DF"/>
    <w:rsid w:val="00BE6B47"/>
    <w:rsid w:val="00BF1C53"/>
    <w:rsid w:val="00BF53F2"/>
    <w:rsid w:val="00BF605A"/>
    <w:rsid w:val="00BF7214"/>
    <w:rsid w:val="00C01918"/>
    <w:rsid w:val="00C03E57"/>
    <w:rsid w:val="00C04D05"/>
    <w:rsid w:val="00C107F3"/>
    <w:rsid w:val="00C116EC"/>
    <w:rsid w:val="00C11C09"/>
    <w:rsid w:val="00C12AFD"/>
    <w:rsid w:val="00C2007D"/>
    <w:rsid w:val="00C31097"/>
    <w:rsid w:val="00C341D8"/>
    <w:rsid w:val="00C41F2E"/>
    <w:rsid w:val="00C42C30"/>
    <w:rsid w:val="00C439B0"/>
    <w:rsid w:val="00C50F75"/>
    <w:rsid w:val="00C52D20"/>
    <w:rsid w:val="00C56247"/>
    <w:rsid w:val="00C56973"/>
    <w:rsid w:val="00C607E2"/>
    <w:rsid w:val="00C617C9"/>
    <w:rsid w:val="00C629C2"/>
    <w:rsid w:val="00C663E1"/>
    <w:rsid w:val="00C70DA5"/>
    <w:rsid w:val="00C73AA7"/>
    <w:rsid w:val="00C8227A"/>
    <w:rsid w:val="00CA2B22"/>
    <w:rsid w:val="00CA69D3"/>
    <w:rsid w:val="00CB408E"/>
    <w:rsid w:val="00CB5AB8"/>
    <w:rsid w:val="00CC309F"/>
    <w:rsid w:val="00CC4063"/>
    <w:rsid w:val="00CC5A7C"/>
    <w:rsid w:val="00CC6FFF"/>
    <w:rsid w:val="00CD1D98"/>
    <w:rsid w:val="00CD343D"/>
    <w:rsid w:val="00CD3DC5"/>
    <w:rsid w:val="00CD6802"/>
    <w:rsid w:val="00CE0E62"/>
    <w:rsid w:val="00CE1A39"/>
    <w:rsid w:val="00CE5638"/>
    <w:rsid w:val="00CE7DB3"/>
    <w:rsid w:val="00D0177E"/>
    <w:rsid w:val="00D01F8C"/>
    <w:rsid w:val="00D05185"/>
    <w:rsid w:val="00D154F7"/>
    <w:rsid w:val="00D15915"/>
    <w:rsid w:val="00D21C4C"/>
    <w:rsid w:val="00D22AB0"/>
    <w:rsid w:val="00D243FA"/>
    <w:rsid w:val="00D252BA"/>
    <w:rsid w:val="00D271A3"/>
    <w:rsid w:val="00D32E95"/>
    <w:rsid w:val="00D356A8"/>
    <w:rsid w:val="00D37EAE"/>
    <w:rsid w:val="00D425DA"/>
    <w:rsid w:val="00D42CB7"/>
    <w:rsid w:val="00D436B6"/>
    <w:rsid w:val="00D4615B"/>
    <w:rsid w:val="00D54F46"/>
    <w:rsid w:val="00D550C0"/>
    <w:rsid w:val="00D60DF2"/>
    <w:rsid w:val="00D65156"/>
    <w:rsid w:val="00D72107"/>
    <w:rsid w:val="00D72C69"/>
    <w:rsid w:val="00D816C3"/>
    <w:rsid w:val="00D81ACA"/>
    <w:rsid w:val="00D8296F"/>
    <w:rsid w:val="00D83645"/>
    <w:rsid w:val="00D87E7A"/>
    <w:rsid w:val="00D90371"/>
    <w:rsid w:val="00DA4EDB"/>
    <w:rsid w:val="00DA7109"/>
    <w:rsid w:val="00DA753B"/>
    <w:rsid w:val="00DA7D7A"/>
    <w:rsid w:val="00DB0E7D"/>
    <w:rsid w:val="00DB2BA6"/>
    <w:rsid w:val="00DB3BCF"/>
    <w:rsid w:val="00DB6A27"/>
    <w:rsid w:val="00DC1256"/>
    <w:rsid w:val="00DC2F5A"/>
    <w:rsid w:val="00DC4A28"/>
    <w:rsid w:val="00DC4C9D"/>
    <w:rsid w:val="00DC6905"/>
    <w:rsid w:val="00DD0CA4"/>
    <w:rsid w:val="00DD1BA1"/>
    <w:rsid w:val="00DD2014"/>
    <w:rsid w:val="00DD5C17"/>
    <w:rsid w:val="00DD5C2B"/>
    <w:rsid w:val="00DD5C60"/>
    <w:rsid w:val="00DD6DBA"/>
    <w:rsid w:val="00DE0245"/>
    <w:rsid w:val="00DE1B58"/>
    <w:rsid w:val="00DE512D"/>
    <w:rsid w:val="00DE5718"/>
    <w:rsid w:val="00DE6386"/>
    <w:rsid w:val="00DE72FA"/>
    <w:rsid w:val="00DF0092"/>
    <w:rsid w:val="00DF6E2D"/>
    <w:rsid w:val="00E04586"/>
    <w:rsid w:val="00E10CCF"/>
    <w:rsid w:val="00E1180E"/>
    <w:rsid w:val="00E146CA"/>
    <w:rsid w:val="00E15217"/>
    <w:rsid w:val="00E168E1"/>
    <w:rsid w:val="00E30B81"/>
    <w:rsid w:val="00E30D28"/>
    <w:rsid w:val="00E35A3F"/>
    <w:rsid w:val="00E369B9"/>
    <w:rsid w:val="00E4185E"/>
    <w:rsid w:val="00E443A9"/>
    <w:rsid w:val="00E4698B"/>
    <w:rsid w:val="00E50B75"/>
    <w:rsid w:val="00E52D9A"/>
    <w:rsid w:val="00E53CC2"/>
    <w:rsid w:val="00E55C74"/>
    <w:rsid w:val="00E571F3"/>
    <w:rsid w:val="00E66925"/>
    <w:rsid w:val="00E679F6"/>
    <w:rsid w:val="00E740B5"/>
    <w:rsid w:val="00E86665"/>
    <w:rsid w:val="00E87FF4"/>
    <w:rsid w:val="00E91669"/>
    <w:rsid w:val="00E9357E"/>
    <w:rsid w:val="00E93DA1"/>
    <w:rsid w:val="00EA679C"/>
    <w:rsid w:val="00EB224B"/>
    <w:rsid w:val="00EB48B0"/>
    <w:rsid w:val="00EC065E"/>
    <w:rsid w:val="00EC3635"/>
    <w:rsid w:val="00EC3696"/>
    <w:rsid w:val="00EC680E"/>
    <w:rsid w:val="00ED40C1"/>
    <w:rsid w:val="00ED6130"/>
    <w:rsid w:val="00EE4BB0"/>
    <w:rsid w:val="00EF5D37"/>
    <w:rsid w:val="00F00A42"/>
    <w:rsid w:val="00F037C7"/>
    <w:rsid w:val="00F03E7F"/>
    <w:rsid w:val="00F10D24"/>
    <w:rsid w:val="00F1126E"/>
    <w:rsid w:val="00F162BB"/>
    <w:rsid w:val="00F20570"/>
    <w:rsid w:val="00F2252C"/>
    <w:rsid w:val="00F22FAB"/>
    <w:rsid w:val="00F25C4D"/>
    <w:rsid w:val="00F316E8"/>
    <w:rsid w:val="00F340A0"/>
    <w:rsid w:val="00F34BE9"/>
    <w:rsid w:val="00F35A66"/>
    <w:rsid w:val="00F406C2"/>
    <w:rsid w:val="00F42B64"/>
    <w:rsid w:val="00F467D7"/>
    <w:rsid w:val="00F5442E"/>
    <w:rsid w:val="00F6144F"/>
    <w:rsid w:val="00F71DAA"/>
    <w:rsid w:val="00F72816"/>
    <w:rsid w:val="00F73FDB"/>
    <w:rsid w:val="00F81F1F"/>
    <w:rsid w:val="00F81F52"/>
    <w:rsid w:val="00F846D5"/>
    <w:rsid w:val="00F874EE"/>
    <w:rsid w:val="00F87935"/>
    <w:rsid w:val="00F87C44"/>
    <w:rsid w:val="00F94301"/>
    <w:rsid w:val="00F97E52"/>
    <w:rsid w:val="00FA4605"/>
    <w:rsid w:val="00FB48A8"/>
    <w:rsid w:val="00FB6470"/>
    <w:rsid w:val="00FB6D72"/>
    <w:rsid w:val="00FC0F54"/>
    <w:rsid w:val="00FC1CAE"/>
    <w:rsid w:val="00FC69C3"/>
    <w:rsid w:val="00FC7485"/>
    <w:rsid w:val="00FD0E7E"/>
    <w:rsid w:val="00FD2281"/>
    <w:rsid w:val="00FD3138"/>
    <w:rsid w:val="00FD5C20"/>
    <w:rsid w:val="00FD7D4A"/>
    <w:rsid w:val="00FE0818"/>
    <w:rsid w:val="00FE3808"/>
    <w:rsid w:val="00FE3FA0"/>
    <w:rsid w:val="00FE4842"/>
    <w:rsid w:val="00FE4F27"/>
    <w:rsid w:val="00FE6005"/>
    <w:rsid w:val="00FF0938"/>
    <w:rsid w:val="00FF4253"/>
    <w:rsid w:val="00FF7D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A4655"/>
  <w15:docId w15:val="{5C8B41AF-A50F-4D98-AC8F-D46A85C0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49"/>
    <w:pPr>
      <w:spacing w:after="0" w:line="240" w:lineRule="auto"/>
    </w:pPr>
    <w:rPr>
      <w:sz w:val="24"/>
      <w:szCs w:val="24"/>
      <w:lang w:val="en-GB" w:eastAsia="en-US"/>
    </w:rPr>
  </w:style>
  <w:style w:type="paragraph" w:styleId="Heading1">
    <w:name w:val="heading 1"/>
    <w:basedOn w:val="Normal"/>
    <w:next w:val="Normal"/>
    <w:link w:val="Heading1Char"/>
    <w:uiPriority w:val="99"/>
    <w:qFormat/>
    <w:rsid w:val="006E3449"/>
    <w:pPr>
      <w:keepNext/>
      <w:jc w:val="both"/>
      <w:outlineLvl w:val="0"/>
    </w:pPr>
    <w:rPr>
      <w:b/>
      <w:bCs/>
      <w:lang w:val="et-EE"/>
    </w:rPr>
  </w:style>
  <w:style w:type="paragraph" w:styleId="Heading3">
    <w:name w:val="heading 3"/>
    <w:basedOn w:val="Normal"/>
    <w:next w:val="Normal"/>
    <w:link w:val="Heading3Char"/>
    <w:uiPriority w:val="99"/>
    <w:qFormat/>
    <w:rsid w:val="0057089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6E3449"/>
    <w:pPr>
      <w:keepNext/>
      <w:ind w:right="-51"/>
      <w:jc w:val="both"/>
      <w:outlineLvl w:val="4"/>
    </w:pPr>
    <w:rPr>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paragraph" w:styleId="BalloonText">
    <w:name w:val="Balloon Text"/>
    <w:basedOn w:val="Normal"/>
    <w:link w:val="BalloonTextChar"/>
    <w:uiPriority w:val="99"/>
    <w:semiHidden/>
    <w:rsid w:val="006E344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BodyTextIndent2">
    <w:name w:val="Body Text Indent 2"/>
    <w:basedOn w:val="Normal"/>
    <w:link w:val="BodyTextIndent2Char"/>
    <w:uiPriority w:val="99"/>
    <w:rsid w:val="006E3449"/>
    <w:pPr>
      <w:ind w:left="709"/>
      <w:jc w:val="both"/>
    </w:pPr>
    <w:rPr>
      <w:lang w:val="et-EE"/>
    </w:rPr>
  </w:style>
  <w:style w:type="character" w:customStyle="1" w:styleId="BodyTextIndent2Char">
    <w:name w:val="Body Text Indent 2 Char"/>
    <w:basedOn w:val="DefaultParagraphFont"/>
    <w:link w:val="BodyTextIndent2"/>
    <w:uiPriority w:val="99"/>
    <w:semiHidden/>
    <w:rPr>
      <w:sz w:val="24"/>
      <w:szCs w:val="24"/>
      <w:lang w:val="en-GB" w:eastAsia="en-US"/>
    </w:rPr>
  </w:style>
  <w:style w:type="paragraph" w:styleId="BodyText2">
    <w:name w:val="Body Text 2"/>
    <w:basedOn w:val="Normal"/>
    <w:link w:val="BodyText2Char"/>
    <w:uiPriority w:val="99"/>
    <w:rsid w:val="006E3449"/>
    <w:pPr>
      <w:jc w:val="both"/>
    </w:pPr>
    <w:rPr>
      <w:lang w:val="et-EE"/>
    </w:rPr>
  </w:style>
  <w:style w:type="character" w:customStyle="1" w:styleId="BodyText2Char">
    <w:name w:val="Body Text 2 Char"/>
    <w:basedOn w:val="DefaultParagraphFont"/>
    <w:link w:val="BodyText2"/>
    <w:uiPriority w:val="99"/>
    <w:semiHidden/>
    <w:rPr>
      <w:sz w:val="24"/>
      <w:szCs w:val="24"/>
      <w:lang w:val="en-GB" w:eastAsia="en-US"/>
    </w:rPr>
  </w:style>
  <w:style w:type="paragraph" w:styleId="BodyText3">
    <w:name w:val="Body Text 3"/>
    <w:basedOn w:val="Normal"/>
    <w:link w:val="BodyText3Char"/>
    <w:uiPriority w:val="99"/>
    <w:rsid w:val="006E3449"/>
    <w:pPr>
      <w:ind w:right="-51"/>
      <w:jc w:val="both"/>
    </w:pPr>
    <w:rPr>
      <w:lang w:val="et-EE"/>
    </w:rPr>
  </w:style>
  <w:style w:type="character" w:customStyle="1" w:styleId="BodyText3Char">
    <w:name w:val="Body Text 3 Char"/>
    <w:basedOn w:val="DefaultParagraphFont"/>
    <w:link w:val="BodyText3"/>
    <w:uiPriority w:val="99"/>
    <w:semiHidden/>
    <w:rPr>
      <w:sz w:val="16"/>
      <w:szCs w:val="16"/>
      <w:lang w:val="en-GB" w:eastAsia="en-US"/>
    </w:rPr>
  </w:style>
  <w:style w:type="paragraph" w:styleId="Caption">
    <w:name w:val="caption"/>
    <w:basedOn w:val="Normal"/>
    <w:next w:val="Normal"/>
    <w:uiPriority w:val="99"/>
    <w:qFormat/>
    <w:rsid w:val="006E3449"/>
    <w:pPr>
      <w:autoSpaceDE w:val="0"/>
      <w:autoSpaceDN w:val="0"/>
      <w:jc w:val="center"/>
    </w:pPr>
    <w:rPr>
      <w:b/>
      <w:bCs/>
      <w:sz w:val="20"/>
      <w:szCs w:val="20"/>
      <w:lang w:val="et-EE"/>
    </w:rPr>
  </w:style>
  <w:style w:type="paragraph" w:styleId="BodyText">
    <w:name w:val="Body Text"/>
    <w:aliases w:val="Body,by"/>
    <w:basedOn w:val="Normal"/>
    <w:link w:val="BodyTextChar"/>
    <w:uiPriority w:val="99"/>
    <w:rsid w:val="006E3449"/>
    <w:pPr>
      <w:jc w:val="center"/>
    </w:pPr>
    <w:rPr>
      <w:b/>
      <w:bCs/>
      <w:lang w:val="et-EE"/>
    </w:rPr>
  </w:style>
  <w:style w:type="character" w:customStyle="1" w:styleId="BodyTextChar">
    <w:name w:val="Body Text Char"/>
    <w:aliases w:val="Body Char,by Char"/>
    <w:basedOn w:val="DefaultParagraphFont"/>
    <w:link w:val="BodyText"/>
    <w:uiPriority w:val="99"/>
    <w:semiHidden/>
    <w:rPr>
      <w:sz w:val="24"/>
      <w:szCs w:val="24"/>
      <w:lang w:val="en-GB" w:eastAsia="en-US"/>
    </w:rPr>
  </w:style>
  <w:style w:type="paragraph" w:customStyle="1" w:styleId="xl31">
    <w:name w:val="xl31"/>
    <w:basedOn w:val="Normal"/>
    <w:uiPriority w:val="99"/>
    <w:rsid w:val="006E3449"/>
    <w:pPr>
      <w:pBdr>
        <w:bottom w:val="single" w:sz="4" w:space="0" w:color="auto"/>
        <w:right w:val="single" w:sz="4" w:space="0" w:color="auto"/>
      </w:pBdr>
      <w:spacing w:before="100" w:beforeAutospacing="1" w:after="100" w:afterAutospacing="1"/>
    </w:pPr>
  </w:style>
  <w:style w:type="character" w:styleId="Hyperlink">
    <w:name w:val="Hyperlink"/>
    <w:basedOn w:val="DefaultParagraphFont"/>
    <w:uiPriority w:val="99"/>
    <w:rsid w:val="006E3449"/>
    <w:rPr>
      <w:rFonts w:cs="Times New Roman"/>
      <w:color w:val="0000FF"/>
      <w:u w:val="single"/>
    </w:rPr>
  </w:style>
  <w:style w:type="character" w:customStyle="1" w:styleId="tekst4">
    <w:name w:val="tekst4"/>
    <w:basedOn w:val="DefaultParagraphFont"/>
    <w:uiPriority w:val="99"/>
    <w:rsid w:val="006E3449"/>
    <w:rPr>
      <w:rFonts w:cs="Times New Roman"/>
    </w:rPr>
  </w:style>
  <w:style w:type="paragraph" w:styleId="CommentText">
    <w:name w:val="annotation text"/>
    <w:basedOn w:val="Normal"/>
    <w:link w:val="CommentTextChar"/>
    <w:uiPriority w:val="99"/>
    <w:semiHidden/>
    <w:rsid w:val="00150FF7"/>
    <w:rPr>
      <w:sz w:val="20"/>
      <w:szCs w:val="20"/>
      <w:lang w:val="et-EE"/>
    </w:rPr>
  </w:style>
  <w:style w:type="character" w:customStyle="1" w:styleId="CommentTextChar">
    <w:name w:val="Comment Text Char"/>
    <w:basedOn w:val="DefaultParagraphFont"/>
    <w:link w:val="CommentText"/>
    <w:uiPriority w:val="99"/>
    <w:semiHidden/>
    <w:locked/>
    <w:rsid w:val="00A20976"/>
    <w:rPr>
      <w:rFonts w:cs="Times New Roman"/>
      <w:lang w:val="et-EE" w:eastAsia="en-US" w:bidi="ar-SA"/>
    </w:rPr>
  </w:style>
  <w:style w:type="character" w:styleId="CommentReference">
    <w:name w:val="annotation reference"/>
    <w:basedOn w:val="DefaultParagraphFont"/>
    <w:uiPriority w:val="99"/>
    <w:semiHidden/>
    <w:rsid w:val="00150FF7"/>
    <w:rPr>
      <w:rFonts w:cs="Times New Roman"/>
      <w:sz w:val="16"/>
      <w:szCs w:val="16"/>
    </w:rPr>
  </w:style>
  <w:style w:type="paragraph" w:styleId="CommentSubject">
    <w:name w:val="annotation subject"/>
    <w:basedOn w:val="CommentText"/>
    <w:next w:val="CommentText"/>
    <w:link w:val="CommentSubjectChar"/>
    <w:uiPriority w:val="99"/>
    <w:semiHidden/>
    <w:rsid w:val="007B1E1A"/>
    <w:rPr>
      <w:b/>
      <w:bCs/>
      <w:lang w:val="en-GB"/>
    </w:rPr>
  </w:style>
  <w:style w:type="character" w:customStyle="1" w:styleId="CommentSubjectChar">
    <w:name w:val="Comment Subject Char"/>
    <w:basedOn w:val="CommentTextChar"/>
    <w:link w:val="CommentSubject"/>
    <w:uiPriority w:val="99"/>
    <w:semiHidden/>
    <w:rPr>
      <w:rFonts w:cs="Times New Roman"/>
      <w:b/>
      <w:bCs/>
      <w:sz w:val="20"/>
      <w:szCs w:val="20"/>
      <w:lang w:val="en-GB" w:eastAsia="en-US" w:bidi="ar-SA"/>
    </w:rPr>
  </w:style>
  <w:style w:type="paragraph" w:styleId="NormalWeb">
    <w:name w:val="Normal (Web)"/>
    <w:aliases w:val="webb"/>
    <w:basedOn w:val="Normal"/>
    <w:uiPriority w:val="99"/>
    <w:rsid w:val="00CE5638"/>
    <w:pPr>
      <w:spacing w:before="100" w:beforeAutospacing="1" w:after="100" w:afterAutospacing="1"/>
    </w:pPr>
  </w:style>
  <w:style w:type="paragraph" w:customStyle="1" w:styleId="Car">
    <w:name w:val="Car"/>
    <w:basedOn w:val="Normal"/>
    <w:uiPriority w:val="99"/>
    <w:rsid w:val="008B7ABD"/>
    <w:pPr>
      <w:spacing w:after="160" w:line="240" w:lineRule="exact"/>
    </w:pPr>
    <w:rPr>
      <w:rFonts w:ascii="Tahoma" w:hAnsi="Tahoma" w:cs="Tahoma"/>
      <w:sz w:val="20"/>
      <w:szCs w:val="20"/>
      <w:lang w:val="en-US"/>
    </w:rPr>
  </w:style>
  <w:style w:type="paragraph" w:styleId="ListParagraph">
    <w:name w:val="List Paragraph"/>
    <w:basedOn w:val="Normal"/>
    <w:uiPriority w:val="34"/>
    <w:qFormat/>
    <w:rsid w:val="00AE67EE"/>
    <w:pPr>
      <w:ind w:left="720"/>
      <w:contextualSpacing/>
    </w:pPr>
  </w:style>
  <w:style w:type="paragraph" w:styleId="Header">
    <w:name w:val="header"/>
    <w:basedOn w:val="Normal"/>
    <w:link w:val="HeaderChar"/>
    <w:uiPriority w:val="99"/>
    <w:unhideWhenUsed/>
    <w:rsid w:val="00E369B9"/>
    <w:pPr>
      <w:tabs>
        <w:tab w:val="center" w:pos="4536"/>
        <w:tab w:val="right" w:pos="9072"/>
      </w:tabs>
    </w:pPr>
  </w:style>
  <w:style w:type="character" w:customStyle="1" w:styleId="HeaderChar">
    <w:name w:val="Header Char"/>
    <w:basedOn w:val="DefaultParagraphFont"/>
    <w:link w:val="Header"/>
    <w:uiPriority w:val="99"/>
    <w:rsid w:val="00E369B9"/>
    <w:rPr>
      <w:sz w:val="24"/>
      <w:szCs w:val="24"/>
      <w:lang w:val="en-GB" w:eastAsia="en-US"/>
    </w:rPr>
  </w:style>
  <w:style w:type="paragraph" w:styleId="Footer">
    <w:name w:val="footer"/>
    <w:basedOn w:val="Normal"/>
    <w:link w:val="FooterChar"/>
    <w:uiPriority w:val="99"/>
    <w:unhideWhenUsed/>
    <w:rsid w:val="00E369B9"/>
    <w:pPr>
      <w:tabs>
        <w:tab w:val="center" w:pos="4536"/>
        <w:tab w:val="right" w:pos="9072"/>
      </w:tabs>
    </w:pPr>
  </w:style>
  <w:style w:type="character" w:customStyle="1" w:styleId="FooterChar">
    <w:name w:val="Footer Char"/>
    <w:basedOn w:val="DefaultParagraphFont"/>
    <w:link w:val="Footer"/>
    <w:uiPriority w:val="99"/>
    <w:rsid w:val="00E369B9"/>
    <w:rPr>
      <w:sz w:val="24"/>
      <w:szCs w:val="24"/>
      <w:lang w:val="en-GB" w:eastAsia="en-US"/>
    </w:rPr>
  </w:style>
  <w:style w:type="table" w:styleId="TableGrid">
    <w:name w:val="Table Grid"/>
    <w:basedOn w:val="TableNormal"/>
    <w:uiPriority w:val="59"/>
    <w:rsid w:val="00E6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0C5F"/>
    <w:rPr>
      <w:color w:val="800080" w:themeColor="followedHyperlink"/>
      <w:u w:val="single"/>
    </w:rPr>
  </w:style>
  <w:style w:type="paragraph" w:styleId="Revision">
    <w:name w:val="Revision"/>
    <w:hidden/>
    <w:uiPriority w:val="99"/>
    <w:semiHidden/>
    <w:rsid w:val="00C116EC"/>
    <w:pPr>
      <w:spacing w:after="0" w:line="240" w:lineRule="auto"/>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1151">
      <w:bodyDiv w:val="1"/>
      <w:marLeft w:val="0"/>
      <w:marRight w:val="0"/>
      <w:marTop w:val="0"/>
      <w:marBottom w:val="0"/>
      <w:divBdr>
        <w:top w:val="none" w:sz="0" w:space="0" w:color="auto"/>
        <w:left w:val="none" w:sz="0" w:space="0" w:color="auto"/>
        <w:bottom w:val="none" w:sz="0" w:space="0" w:color="auto"/>
        <w:right w:val="none" w:sz="0" w:space="0" w:color="auto"/>
      </w:divBdr>
    </w:div>
    <w:div w:id="102577443">
      <w:bodyDiv w:val="1"/>
      <w:marLeft w:val="0"/>
      <w:marRight w:val="0"/>
      <w:marTop w:val="0"/>
      <w:marBottom w:val="0"/>
      <w:divBdr>
        <w:top w:val="none" w:sz="0" w:space="0" w:color="auto"/>
        <w:left w:val="none" w:sz="0" w:space="0" w:color="auto"/>
        <w:bottom w:val="none" w:sz="0" w:space="0" w:color="auto"/>
        <w:right w:val="none" w:sz="0" w:space="0" w:color="auto"/>
      </w:divBdr>
      <w:divsChild>
        <w:div w:id="1921720719">
          <w:marLeft w:val="0"/>
          <w:marRight w:val="0"/>
          <w:marTop w:val="0"/>
          <w:marBottom w:val="0"/>
          <w:divBdr>
            <w:top w:val="none" w:sz="0" w:space="0" w:color="auto"/>
            <w:left w:val="none" w:sz="0" w:space="0" w:color="auto"/>
            <w:bottom w:val="none" w:sz="0" w:space="0" w:color="auto"/>
            <w:right w:val="none" w:sz="0" w:space="0" w:color="auto"/>
          </w:divBdr>
          <w:divsChild>
            <w:div w:id="1921064888">
              <w:marLeft w:val="0"/>
              <w:marRight w:val="0"/>
              <w:marTop w:val="0"/>
              <w:marBottom w:val="0"/>
              <w:divBdr>
                <w:top w:val="none" w:sz="0" w:space="0" w:color="auto"/>
                <w:left w:val="none" w:sz="0" w:space="0" w:color="auto"/>
                <w:bottom w:val="none" w:sz="0" w:space="0" w:color="auto"/>
                <w:right w:val="none" w:sz="0" w:space="0" w:color="auto"/>
              </w:divBdr>
              <w:divsChild>
                <w:div w:id="15844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426">
      <w:bodyDiv w:val="1"/>
      <w:marLeft w:val="0"/>
      <w:marRight w:val="0"/>
      <w:marTop w:val="0"/>
      <w:marBottom w:val="0"/>
      <w:divBdr>
        <w:top w:val="none" w:sz="0" w:space="0" w:color="auto"/>
        <w:left w:val="none" w:sz="0" w:space="0" w:color="auto"/>
        <w:bottom w:val="none" w:sz="0" w:space="0" w:color="auto"/>
        <w:right w:val="none" w:sz="0" w:space="0" w:color="auto"/>
      </w:divBdr>
    </w:div>
    <w:div w:id="618610279">
      <w:bodyDiv w:val="1"/>
      <w:marLeft w:val="0"/>
      <w:marRight w:val="0"/>
      <w:marTop w:val="0"/>
      <w:marBottom w:val="0"/>
      <w:divBdr>
        <w:top w:val="none" w:sz="0" w:space="0" w:color="auto"/>
        <w:left w:val="none" w:sz="0" w:space="0" w:color="auto"/>
        <w:bottom w:val="none" w:sz="0" w:space="0" w:color="auto"/>
        <w:right w:val="none" w:sz="0" w:space="0" w:color="auto"/>
      </w:divBdr>
    </w:div>
    <w:div w:id="1140029714">
      <w:marLeft w:val="0"/>
      <w:marRight w:val="0"/>
      <w:marTop w:val="0"/>
      <w:marBottom w:val="0"/>
      <w:divBdr>
        <w:top w:val="none" w:sz="0" w:space="0" w:color="auto"/>
        <w:left w:val="none" w:sz="0" w:space="0" w:color="auto"/>
        <w:bottom w:val="none" w:sz="0" w:space="0" w:color="auto"/>
        <w:right w:val="none" w:sz="0" w:space="0" w:color="auto"/>
      </w:divBdr>
    </w:div>
    <w:div w:id="1140029715">
      <w:marLeft w:val="0"/>
      <w:marRight w:val="0"/>
      <w:marTop w:val="0"/>
      <w:marBottom w:val="0"/>
      <w:divBdr>
        <w:top w:val="none" w:sz="0" w:space="0" w:color="auto"/>
        <w:left w:val="none" w:sz="0" w:space="0" w:color="auto"/>
        <w:bottom w:val="none" w:sz="0" w:space="0" w:color="auto"/>
        <w:right w:val="none" w:sz="0" w:space="0" w:color="auto"/>
      </w:divBdr>
    </w:div>
    <w:div w:id="1140029716">
      <w:marLeft w:val="0"/>
      <w:marRight w:val="0"/>
      <w:marTop w:val="0"/>
      <w:marBottom w:val="0"/>
      <w:divBdr>
        <w:top w:val="none" w:sz="0" w:space="0" w:color="auto"/>
        <w:left w:val="none" w:sz="0" w:space="0" w:color="auto"/>
        <w:bottom w:val="none" w:sz="0" w:space="0" w:color="auto"/>
        <w:right w:val="none" w:sz="0" w:space="0" w:color="auto"/>
      </w:divBdr>
    </w:div>
    <w:div w:id="1140029717">
      <w:marLeft w:val="0"/>
      <w:marRight w:val="0"/>
      <w:marTop w:val="0"/>
      <w:marBottom w:val="0"/>
      <w:divBdr>
        <w:top w:val="none" w:sz="0" w:space="0" w:color="auto"/>
        <w:left w:val="none" w:sz="0" w:space="0" w:color="auto"/>
        <w:bottom w:val="none" w:sz="0" w:space="0" w:color="auto"/>
        <w:right w:val="none" w:sz="0" w:space="0" w:color="auto"/>
      </w:divBdr>
    </w:div>
    <w:div w:id="1140029718">
      <w:marLeft w:val="0"/>
      <w:marRight w:val="0"/>
      <w:marTop w:val="0"/>
      <w:marBottom w:val="0"/>
      <w:divBdr>
        <w:top w:val="none" w:sz="0" w:space="0" w:color="auto"/>
        <w:left w:val="none" w:sz="0" w:space="0" w:color="auto"/>
        <w:bottom w:val="none" w:sz="0" w:space="0" w:color="auto"/>
        <w:right w:val="none" w:sz="0" w:space="0" w:color="auto"/>
      </w:divBdr>
    </w:div>
    <w:div w:id="1140029719">
      <w:marLeft w:val="0"/>
      <w:marRight w:val="0"/>
      <w:marTop w:val="0"/>
      <w:marBottom w:val="0"/>
      <w:divBdr>
        <w:top w:val="none" w:sz="0" w:space="0" w:color="auto"/>
        <w:left w:val="none" w:sz="0" w:space="0" w:color="auto"/>
        <w:bottom w:val="none" w:sz="0" w:space="0" w:color="auto"/>
        <w:right w:val="none" w:sz="0" w:space="0" w:color="auto"/>
      </w:divBdr>
    </w:div>
    <w:div w:id="1140029720">
      <w:marLeft w:val="0"/>
      <w:marRight w:val="0"/>
      <w:marTop w:val="0"/>
      <w:marBottom w:val="0"/>
      <w:divBdr>
        <w:top w:val="none" w:sz="0" w:space="0" w:color="auto"/>
        <w:left w:val="none" w:sz="0" w:space="0" w:color="auto"/>
        <w:bottom w:val="none" w:sz="0" w:space="0" w:color="auto"/>
        <w:right w:val="none" w:sz="0" w:space="0" w:color="auto"/>
      </w:divBdr>
    </w:div>
    <w:div w:id="1140029721">
      <w:marLeft w:val="0"/>
      <w:marRight w:val="0"/>
      <w:marTop w:val="0"/>
      <w:marBottom w:val="0"/>
      <w:divBdr>
        <w:top w:val="none" w:sz="0" w:space="0" w:color="auto"/>
        <w:left w:val="none" w:sz="0" w:space="0" w:color="auto"/>
        <w:bottom w:val="none" w:sz="0" w:space="0" w:color="auto"/>
        <w:right w:val="none" w:sz="0" w:space="0" w:color="auto"/>
      </w:divBdr>
      <w:divsChild>
        <w:div w:id="1140029723">
          <w:marLeft w:val="0"/>
          <w:marRight w:val="0"/>
          <w:marTop w:val="0"/>
          <w:marBottom w:val="0"/>
          <w:divBdr>
            <w:top w:val="none" w:sz="0" w:space="0" w:color="auto"/>
            <w:left w:val="none" w:sz="0" w:space="0" w:color="auto"/>
            <w:bottom w:val="none" w:sz="0" w:space="0" w:color="auto"/>
            <w:right w:val="none" w:sz="0" w:space="0" w:color="auto"/>
          </w:divBdr>
          <w:divsChild>
            <w:div w:id="1140029724">
              <w:marLeft w:val="0"/>
              <w:marRight w:val="0"/>
              <w:marTop w:val="0"/>
              <w:marBottom w:val="0"/>
              <w:divBdr>
                <w:top w:val="none" w:sz="0" w:space="0" w:color="auto"/>
                <w:left w:val="none" w:sz="0" w:space="0" w:color="auto"/>
                <w:bottom w:val="none" w:sz="0" w:space="0" w:color="auto"/>
                <w:right w:val="none" w:sz="0" w:space="0" w:color="auto"/>
              </w:divBdr>
              <w:divsChild>
                <w:div w:id="1140029722">
                  <w:marLeft w:val="0"/>
                  <w:marRight w:val="0"/>
                  <w:marTop w:val="0"/>
                  <w:marBottom w:val="0"/>
                  <w:divBdr>
                    <w:top w:val="none" w:sz="0" w:space="0" w:color="auto"/>
                    <w:left w:val="none" w:sz="0" w:space="0" w:color="auto"/>
                    <w:bottom w:val="none" w:sz="0" w:space="0" w:color="auto"/>
                    <w:right w:val="none" w:sz="0" w:space="0" w:color="auto"/>
                  </w:divBdr>
                  <w:divsChild>
                    <w:div w:id="11400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5674">
      <w:bodyDiv w:val="1"/>
      <w:marLeft w:val="0"/>
      <w:marRight w:val="0"/>
      <w:marTop w:val="0"/>
      <w:marBottom w:val="0"/>
      <w:divBdr>
        <w:top w:val="none" w:sz="0" w:space="0" w:color="auto"/>
        <w:left w:val="none" w:sz="0" w:space="0" w:color="auto"/>
        <w:bottom w:val="none" w:sz="0" w:space="0" w:color="auto"/>
        <w:right w:val="none" w:sz="0" w:space="0" w:color="auto"/>
      </w:divBdr>
    </w:div>
    <w:div w:id="17022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ee/eesti-maaelu-arengukava-2014-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ri.ee/eesti-maaelu-arengukava-2014-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gri.ee/euroopa-liidu-uhise-pollumajanduspoliitika-strateegiakava-2023-2027" TargetMode="External"/><Relationship Id="rId4" Type="http://schemas.openxmlformats.org/officeDocument/2006/relationships/webSettings" Target="webSettings.xml"/><Relationship Id="rId9" Type="http://schemas.openxmlformats.org/officeDocument/2006/relationships/hyperlink" Target="https://www.agri.ee/euroopa-liidu-uhise-pollumajanduspoliitika-strateegiakava-2023-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DC978-7104-4FAA-BE4E-3726832A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1548</Words>
  <Characters>8985</Characters>
  <Application>Microsoft Office Word</Application>
  <DocSecurity>0</DocSecurity>
  <Lines>74</Lines>
  <Paragraphs>21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SELETUSKIRI</vt:lpstr>
      <vt:lpstr>SELETUSKIRI</vt:lpstr>
    </vt:vector>
  </TitlesOfParts>
  <Company>Põllumajandusministeerium</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creator>Madli Karjatse</dc:creator>
  <cp:lastModifiedBy>Christel Ilves</cp:lastModifiedBy>
  <cp:revision>6</cp:revision>
  <cp:lastPrinted>2017-01-03T14:57:00Z</cp:lastPrinted>
  <dcterms:created xsi:type="dcterms:W3CDTF">2024-01-09T11:03:00Z</dcterms:created>
  <dcterms:modified xsi:type="dcterms:W3CDTF">2024-01-11T13:55:00Z</dcterms:modified>
</cp:coreProperties>
</file>