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Hr.  Jürgen Ligi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rahandusminister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ab/>
        <w:tab/>
        <w:tab/>
        <w:tab/>
        <w:t xml:space="preserve">16. september  2024</w:t>
        <w:tab/>
        <w:tab/>
        <w:tab/>
        <w:tab/>
        <w:tab/>
        <w:tab/>
        <w:tab/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Maksutõusude mõju riigieelarvele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Lugupeetud rahandusminister</w:t>
      </w:r>
    </w:p>
    <w:p w:rsidR="00000000" w:rsidDel="00000000" w:rsidP="00000000" w:rsidRDefault="00000000" w:rsidRPr="00000000" w14:paraId="0000000A">
      <w:pPr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Kodanik Siim Kiisler uuris 22. augustil Rahandusministeeriumilt, kuidas mõjutavad maksutõusud riigieelarvet. Ministeerium keeldus andmeid esitamast, öeldes, et tegemist on asutusesiseseks kasutamiseks mõeldud teabega. Taotlus ja sellele vastamine salastati 75 aastaks. </w:t>
        <w:br w:type="textWrapping"/>
        <w:br w:type="textWrapping"/>
        <w:t xml:space="preserve">Palun Teil vastata järgmistele küsimustele: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Mille alusel varjab ministeerium avalikuse eest maksupoliitika mõju riigieelarvele?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Mis tingis otsuse salastada kirjavahetus kodanik Kiisleriga 75 aastaks?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Kas Riigikogu liige saab teavet selle kohta, kuidas valitsuse maksupoliitika mõjutab riigieelarvet? Kui jah, siis esitage see teave.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Lugupidamisega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/allkirjastatud digitaalselt/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Aleksandr Tšaplõgin</w:t>
      </w:r>
    </w:p>
    <w:p w:rsidR="00000000" w:rsidDel="00000000" w:rsidP="00000000" w:rsidRDefault="00000000" w:rsidRPr="00000000" w14:paraId="00000016">
      <w:pPr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Riigikogu liige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aramond"/>
  <w:font w:name="Play"/>
  <w:font w:name="Apto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Garamond" w:cs="Garamond" w:eastAsia="Garamond" w:hAnsi="Garamond"/>
        <w:sz w:val="22"/>
        <w:szCs w:val="22"/>
        <w:lang w:val="et-E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Aptos" w:cs="Aptos" w:eastAsia="Aptos" w:hAnsi="Aptos"/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rFonts w:ascii="Aptos" w:cs="Aptos" w:eastAsia="Aptos" w:hAnsi="Aptos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