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55657AD9"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600D2A">
        <w:rPr>
          <w:rFonts w:asciiTheme="minorHAnsi" w:hAnsiTheme="minorHAnsi" w:cstheme="minorHAnsi"/>
          <w:b/>
          <w:bCs/>
        </w:rPr>
        <w:t xml:space="preserve"> 4</w:t>
      </w:r>
    </w:p>
    <w:p w14:paraId="5B97C6DE" w14:textId="5C692221" w:rsidR="00EA4074" w:rsidRPr="00A457E7" w:rsidRDefault="00600D2A"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0D24CB3-9BF9-42BB-9CE1-412AC627A866}"/>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0D24CB3-9BF9-42BB-9CE1-412AC627A866}"/>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esimesel võimalusel RKIK</w:t>
      </w:r>
      <w:r w:rsidR="00BC79E5" w:rsidRPr="0045645A">
        <w:rPr>
          <w:rFonts w:cstheme="minorHAnsi"/>
        </w:rPr>
        <w:t>-i</w:t>
      </w:r>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RKIKi,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lastRenderedPageBreak/>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lastRenderedPageBreak/>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Header"/>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0E537429" w14:textId="77777777" w:rsidR="0028789B" w:rsidRPr="00826680" w:rsidRDefault="0028789B" w:rsidP="001125A8">
      <w:pPr>
        <w:pStyle w:val="FootnoteText"/>
        <w:rPr>
          <w:rFonts w:cstheme="minorHAnsi"/>
        </w:rPr>
      </w:pPr>
      <w:r w:rsidRPr="00826680">
        <w:rPr>
          <w:rStyle w:val="FootnoteReferenc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FootnoteText"/>
        <w:rPr>
          <w:rFonts w:cstheme="minorHAnsi"/>
        </w:rPr>
      </w:pPr>
      <w:r w:rsidRPr="00DF773F">
        <w:rPr>
          <w:rStyle w:val="FootnoteReferenc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6E97"/>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A3588"/>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0D2A"/>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036E97"/>
    <w:rsid w:val="00230A2D"/>
    <w:rsid w:val="00291D30"/>
    <w:rsid w:val="003F60AD"/>
    <w:rsid w:val="005A003E"/>
    <w:rsid w:val="005E55FE"/>
    <w:rsid w:val="00616C47"/>
    <w:rsid w:val="0070081D"/>
    <w:rsid w:val="007516C2"/>
    <w:rsid w:val="008008E5"/>
    <w:rsid w:val="008027AB"/>
    <w:rsid w:val="00954194"/>
    <w:rsid w:val="00BE11D7"/>
    <w:rsid w:val="00EA0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0"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c82a0878-5d46-4028-a908-39cd4b531487">41b7cfd1-42de-4bfc-a2e5-413b9f24521c</RMUniqueID>
    <RMTitle xmlns="c82a0878-5d46-4028-a908-39cd4b531487"/>
    <RMRegistrationDate xmlns="c82a0878-5d46-4028-a908-39cd4b531487" xsi:nil="true"/>
    <RMReferenceCode xmlns="c82a0878-5d46-4028-a908-39cd4b531487" xsi:nil="true"/>
    <ADR_x0020_pealkiri xmlns="c82a0878-5d46-4028-a908-39cd4b531487">Lisa 4</ADR_x0020_pealkiri>
    <Dokregkpv xmlns="c82a0878-5d46-4028-a908-39cd4b531487">2026-02-04T00:00:00</Dokregkpv>
    <Dokregnr xmlns="c82a0878-5d46-4028-a908-39cd4b531487">2-2/26/110</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20260202_A_RKIK_lisa_4_julgeolekutingimused</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2.xml><?xml version="1.0" encoding="utf-8"?>
<ds:datastoreItem xmlns:ds="http://schemas.openxmlformats.org/officeDocument/2006/customXml" ds:itemID="{9974AA95-9CFF-4A2D-A138-30E8780332DA}">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C0D24CB3-9BF9-42BB-9CE1-412AC627A866}">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c82a0878-5d46-4028-a908-39cd4b531487"/>
    <ds:schemaRef ds:uri="http://www.w3.org/XML/1998/namespace"/>
  </ds:schemaRefs>
</ds:datastoreItem>
</file>

<file path=customXml/itemProps4.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5.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2905</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 Julgeolekutingimused</dc:title>
  <dc:subject/>
  <dc:creator>Umar, Peep</dc:creator>
  <cp:keywords>taustakontroll</cp:keywords>
  <dc:description/>
  <cp:lastModifiedBy>Anu Vasar</cp:lastModifiedBy>
  <cp:revision>4</cp:revision>
  <cp:lastPrinted>2025-10-27T08:45:00Z</cp:lastPrinted>
  <dcterms:created xsi:type="dcterms:W3CDTF">2026-01-21T10:18:00Z</dcterms:created>
  <dcterms:modified xsi:type="dcterms:W3CDTF">2026-02-02T08:53:00Z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