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317F3A" w14:paraId="787F4309" w14:textId="77777777" w:rsidTr="00E47AFA">
        <w:trPr>
          <w:trHeight w:val="2353"/>
        </w:trPr>
        <w:tc>
          <w:tcPr>
            <w:tcW w:w="5387" w:type="dxa"/>
            <w:shd w:val="clear" w:color="auto" w:fill="auto"/>
          </w:tcPr>
          <w:p w14:paraId="2999B57C" w14:textId="77777777" w:rsidR="00317F3A" w:rsidRPr="00A10E66" w:rsidRDefault="00317F3A" w:rsidP="00E47AFA">
            <w:pPr>
              <w:pStyle w:val="TableContents"/>
              <w:rPr>
                <w:b/>
              </w:rPr>
            </w:pPr>
            <w:r>
              <w:rPr>
                <w:b/>
                <w:noProof/>
                <w:lang w:eastAsia="et-EE" w:bidi="ar-SA"/>
              </w:rPr>
              <w:drawing>
                <wp:anchor distT="0" distB="0" distL="114300" distR="114300" simplePos="0" relativeHeight="251659264" behindDoc="0" locked="0" layoutInCell="1" allowOverlap="1" wp14:anchorId="5A4F3EA3" wp14:editId="2D22D838">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08D40C4C" w14:textId="77777777" w:rsidR="00317F3A" w:rsidRPr="00BC1A62" w:rsidRDefault="00317F3A" w:rsidP="00E47AFA">
            <w:pPr>
              <w:pStyle w:val="AK"/>
              <w:jc w:val="right"/>
            </w:pPr>
          </w:p>
          <w:p w14:paraId="49E88691" w14:textId="77777777" w:rsidR="00317F3A" w:rsidRPr="00BC1A62" w:rsidRDefault="00317F3A" w:rsidP="00E47AFA">
            <w:pPr>
              <w:jc w:val="right"/>
            </w:pPr>
          </w:p>
        </w:tc>
      </w:tr>
      <w:tr w:rsidR="00317F3A" w:rsidRPr="001D4CFB" w14:paraId="17D59DC2" w14:textId="77777777" w:rsidTr="00E47AFA">
        <w:trPr>
          <w:trHeight w:val="1531"/>
        </w:trPr>
        <w:tc>
          <w:tcPr>
            <w:tcW w:w="5387" w:type="dxa"/>
            <w:shd w:val="clear" w:color="auto" w:fill="auto"/>
          </w:tcPr>
          <w:p w14:paraId="453BB2B8" w14:textId="77777777" w:rsidR="00E41702" w:rsidRDefault="00E41702" w:rsidP="00E41702">
            <w:pPr>
              <w:pStyle w:val="Liik"/>
            </w:pPr>
            <w:r>
              <w:t>Määrus</w:t>
            </w:r>
          </w:p>
          <w:p w14:paraId="1E441FD4" w14:textId="77777777" w:rsidR="00E41702" w:rsidRPr="006B118C" w:rsidRDefault="00E41702" w:rsidP="00E41702"/>
          <w:p w14:paraId="3685B978" w14:textId="77777777" w:rsidR="00317F3A" w:rsidRPr="006B118C" w:rsidRDefault="00317F3A" w:rsidP="00317F3A"/>
        </w:tc>
        <w:tc>
          <w:tcPr>
            <w:tcW w:w="3685" w:type="dxa"/>
            <w:shd w:val="clear" w:color="auto" w:fill="auto"/>
          </w:tcPr>
          <w:p w14:paraId="432905F0" w14:textId="2C13283F" w:rsidR="00317F3A" w:rsidRPr="0076054B" w:rsidRDefault="00B647F1" w:rsidP="00E47AFA">
            <w:pPr>
              <w:pStyle w:val="Kuupev1"/>
              <w:rPr>
                <w:i/>
                <w:iCs/>
              </w:rPr>
            </w:pPr>
            <w:r>
              <w:fldChar w:fldCharType="begin"/>
            </w:r>
            <w:r w:rsidR="000F64C0">
              <w:instrText xml:space="preserve"> delta_regDateTime  \* MERGEFORMAT</w:instrText>
            </w:r>
            <w:r>
              <w:fldChar w:fldCharType="separate"/>
            </w:r>
            <w:r w:rsidR="000F64C0">
              <w:t>20.06.2024</w:t>
            </w:r>
            <w:r>
              <w:fldChar w:fldCharType="end"/>
            </w:r>
            <w:r w:rsidR="00317F3A">
              <w:t xml:space="preserve">  nr </w:t>
            </w:r>
            <w:r w:rsidR="00A02530">
              <w:fldChar w:fldCharType="begin"/>
            </w:r>
            <w:r w:rsidR="000F64C0">
              <w:instrText xml:space="preserve"> delta_regNumber  \* MERGEFORMAT</w:instrText>
            </w:r>
            <w:r w:rsidR="00A02530">
              <w:fldChar w:fldCharType="separate"/>
            </w:r>
            <w:r w:rsidR="000F64C0">
              <w:t>17</w:t>
            </w:r>
            <w:r w:rsidR="00A02530">
              <w:fldChar w:fldCharType="end"/>
            </w:r>
          </w:p>
        </w:tc>
      </w:tr>
      <w:tr w:rsidR="00317F3A" w:rsidRPr="001D4CFB" w14:paraId="57B6022E" w14:textId="77777777" w:rsidTr="00E47AFA">
        <w:trPr>
          <w:trHeight w:val="624"/>
        </w:trPr>
        <w:tc>
          <w:tcPr>
            <w:tcW w:w="5387" w:type="dxa"/>
            <w:shd w:val="clear" w:color="auto" w:fill="auto"/>
          </w:tcPr>
          <w:p w14:paraId="7911DF95" w14:textId="553DE45E" w:rsidR="00317F3A" w:rsidRDefault="00A02530" w:rsidP="00E47AFA">
            <w:pPr>
              <w:pStyle w:val="Pealkiri1"/>
            </w:pPr>
            <w:r>
              <w:fldChar w:fldCharType="begin"/>
            </w:r>
            <w:r w:rsidR="000F64C0">
              <w:instrText xml:space="preserve"> delta_docName  \* MERGEFORMAT</w:instrText>
            </w:r>
            <w:r>
              <w:fldChar w:fldCharType="separate"/>
            </w:r>
            <w:r w:rsidR="000F64C0">
              <w:t>Ettevõtlus- ja infotehnoloogiaministri 21. märtsi 2022. a määruse nr 23 „Ettevõtja rakendusuuringute määrus“ muutmine</w:t>
            </w:r>
            <w:r>
              <w:fldChar w:fldCharType="end"/>
            </w:r>
          </w:p>
        </w:tc>
        <w:tc>
          <w:tcPr>
            <w:tcW w:w="3685" w:type="dxa"/>
            <w:shd w:val="clear" w:color="auto" w:fill="auto"/>
          </w:tcPr>
          <w:p w14:paraId="457C371D" w14:textId="77777777" w:rsidR="00317F3A" w:rsidRDefault="00317F3A" w:rsidP="00E47AFA"/>
          <w:p w14:paraId="4BE83687" w14:textId="77777777" w:rsidR="00C22960" w:rsidRPr="00C22960" w:rsidRDefault="00C22960" w:rsidP="00C22960"/>
          <w:p w14:paraId="3197E292" w14:textId="77777777" w:rsidR="00C22960" w:rsidRPr="00C22960" w:rsidRDefault="00C22960" w:rsidP="00C22960"/>
          <w:p w14:paraId="4A71FC3A" w14:textId="77777777" w:rsidR="00C22960" w:rsidRDefault="00C22960" w:rsidP="00C22960"/>
          <w:p w14:paraId="3DBB5B9A" w14:textId="77777777" w:rsidR="00C22960" w:rsidRPr="00C22960" w:rsidRDefault="00C22960" w:rsidP="00C22960"/>
        </w:tc>
      </w:tr>
    </w:tbl>
    <w:p w14:paraId="138A9448" w14:textId="479A45FC" w:rsidR="00D820B3" w:rsidRDefault="00D820B3" w:rsidP="00511BC4">
      <w:pPr>
        <w:pStyle w:val="Tekst"/>
      </w:pPr>
      <w:r w:rsidRPr="00220212">
        <w:t>Määrus kehtestatakse atmosfääriõhu kaitse seaduse § 161 lõike 3 ja riigieelarve seaduse § 53</w:t>
      </w:r>
      <w:r w:rsidR="001A577C" w:rsidRPr="00023322">
        <w:rPr>
          <w:vertAlign w:val="superscript"/>
        </w:rPr>
        <w:t>1</w:t>
      </w:r>
      <w:r w:rsidRPr="00220212">
        <w:t xml:space="preserve"> lõike 1 alusel.</w:t>
      </w:r>
    </w:p>
    <w:p w14:paraId="67E6C120" w14:textId="77777777" w:rsidR="00D820B3" w:rsidRDefault="00D820B3" w:rsidP="00511BC4">
      <w:pPr>
        <w:pStyle w:val="Tekst"/>
      </w:pPr>
    </w:p>
    <w:p w14:paraId="3262AE67" w14:textId="5FCD6859" w:rsidR="00D820B3" w:rsidRDefault="00D820B3" w:rsidP="00511BC4">
      <w:pPr>
        <w:pStyle w:val="Tekst"/>
      </w:pPr>
      <w:r w:rsidRPr="00220212">
        <w:t>Ettevõtlus- ja infotehnoloogiaministri 21. märtsi 2022. a määruses nr 23 „Ettevõtja rakendusuuringute määrus“ tehakse järgmised muudatused:</w:t>
      </w:r>
    </w:p>
    <w:p w14:paraId="0EC97D2A" w14:textId="77777777" w:rsidR="00D820B3" w:rsidRDefault="00D820B3" w:rsidP="00511BC4">
      <w:pPr>
        <w:pStyle w:val="Tekst"/>
      </w:pPr>
    </w:p>
    <w:p w14:paraId="62D35C45" w14:textId="77777777" w:rsidR="00D820B3" w:rsidRDefault="00D820B3" w:rsidP="00511BC4">
      <w:pPr>
        <w:pStyle w:val="Tekst"/>
      </w:pPr>
      <w:r w:rsidRPr="00220212">
        <w:rPr>
          <w:b/>
          <w:bCs/>
        </w:rPr>
        <w:t>1)</w:t>
      </w:r>
      <w:r w:rsidRPr="00220212">
        <w:t xml:space="preserve"> paragrahvi 1 lõike 2 punktis 2 asendatakse tekstiosa „nr 1407/2013, milles käsitletakse Euroopa Liidu toimimise lepingu artiklite 107 ja 108 kohaldamist vähese tähtsusega abi suhtes (ELT L 352, 24.12.2013, lk 1–8)“ tekstiosaga „2023/2831, milles käsitletakse Euroopa Liidu toimimise lepingu artiklite 107 ja 108 kohaldamist vähese tähtsusega abi suhtes (ELT L, 2023/2831, 15.12.2023)“;</w:t>
      </w:r>
    </w:p>
    <w:p w14:paraId="61879CC1" w14:textId="77777777" w:rsidR="00D820B3" w:rsidRDefault="00D820B3" w:rsidP="00511BC4">
      <w:pPr>
        <w:pStyle w:val="Tekst"/>
      </w:pPr>
    </w:p>
    <w:p w14:paraId="2A958237" w14:textId="77777777" w:rsidR="00D820B3" w:rsidRDefault="00D820B3" w:rsidP="00511BC4">
      <w:pPr>
        <w:pStyle w:val="Tekst"/>
      </w:pPr>
      <w:r w:rsidRPr="00220212">
        <w:rPr>
          <w:b/>
          <w:bCs/>
        </w:rPr>
        <w:t>2)</w:t>
      </w:r>
      <w:r w:rsidRPr="00220212">
        <w:t xml:space="preserve"> paragrahvi 2 lõike 2 punktist 2 jäetakse välja sõnad „väike- ja keskmise suurusega ettevõtjatele (edaspidi </w:t>
      </w:r>
      <w:r w:rsidRPr="00B647F1">
        <w:rPr>
          <w:i/>
          <w:iCs/>
        </w:rPr>
        <w:t>VKE</w:t>
      </w:r>
      <w:r w:rsidRPr="00220212">
        <w:t xml:space="preserve">) antav“; </w:t>
      </w:r>
    </w:p>
    <w:p w14:paraId="44B13340" w14:textId="77777777" w:rsidR="00D820B3" w:rsidRDefault="00D820B3" w:rsidP="00511BC4">
      <w:pPr>
        <w:pStyle w:val="Tekst"/>
      </w:pPr>
    </w:p>
    <w:p w14:paraId="5D07EBB9" w14:textId="4C942B60" w:rsidR="00D820B3" w:rsidRDefault="00D820B3" w:rsidP="00511BC4">
      <w:pPr>
        <w:pStyle w:val="Tekst"/>
      </w:pPr>
      <w:r w:rsidRPr="00220212">
        <w:rPr>
          <w:b/>
          <w:bCs/>
        </w:rPr>
        <w:t>3)</w:t>
      </w:r>
      <w:r>
        <w:t xml:space="preserve"> </w:t>
      </w:r>
      <w:r w:rsidRPr="00220212">
        <w:t xml:space="preserve">paragrahvi 4 punkti 7 täiendatakse pärast </w:t>
      </w:r>
      <w:r w:rsidR="00852DDC">
        <w:t>tekstiosa</w:t>
      </w:r>
      <w:r w:rsidRPr="00220212">
        <w:t xml:space="preserve"> „tegevusplaani,“ tekstiosaga „intellektuaalomandi strateegia kirjeldust ja selle kaitsmise planeerimist,“;</w:t>
      </w:r>
    </w:p>
    <w:p w14:paraId="13EB115E" w14:textId="77777777" w:rsidR="00D820B3" w:rsidRDefault="00D820B3" w:rsidP="00511BC4">
      <w:pPr>
        <w:pStyle w:val="Tekst"/>
      </w:pPr>
    </w:p>
    <w:p w14:paraId="3C0611F9" w14:textId="1BB73188" w:rsidR="00D820B3" w:rsidRDefault="00D820B3" w:rsidP="00511BC4">
      <w:pPr>
        <w:pStyle w:val="Tekst"/>
      </w:pPr>
      <w:r w:rsidRPr="00220212">
        <w:rPr>
          <w:b/>
          <w:bCs/>
        </w:rPr>
        <w:t>4)</w:t>
      </w:r>
      <w:r w:rsidRPr="00220212">
        <w:t xml:space="preserve"> paragrahvi 8 lõike 3 punktis 1 asendatakse sõna „VKE“ tekstiosaga „väike- ja keskmise suurusega ettevõtja“;</w:t>
      </w:r>
    </w:p>
    <w:p w14:paraId="4FEC5A98" w14:textId="77777777" w:rsidR="00D820B3" w:rsidRDefault="00D820B3" w:rsidP="00511BC4">
      <w:pPr>
        <w:pStyle w:val="Tekst"/>
      </w:pPr>
    </w:p>
    <w:p w14:paraId="395C4A97" w14:textId="5063D65C" w:rsidR="00D820B3" w:rsidRDefault="00D820B3" w:rsidP="00511BC4">
      <w:pPr>
        <w:pStyle w:val="Tekst"/>
      </w:pPr>
      <w:r>
        <w:rPr>
          <w:b/>
          <w:bCs/>
        </w:rPr>
        <w:t xml:space="preserve">5) </w:t>
      </w:r>
      <w:r>
        <w:t>paragrahvi 10 täiendatakse lõike</w:t>
      </w:r>
      <w:r w:rsidR="006F6345">
        <w:t>ga</w:t>
      </w:r>
      <w:r>
        <w:t xml:space="preserve"> 3</w:t>
      </w:r>
      <w:r>
        <w:rPr>
          <w:vertAlign w:val="superscript"/>
        </w:rPr>
        <w:t>2</w:t>
      </w:r>
      <w:r>
        <w:t xml:space="preserve"> järgmises sõnastuses:</w:t>
      </w:r>
    </w:p>
    <w:p w14:paraId="24A666BD" w14:textId="77777777" w:rsidR="00D820B3" w:rsidRDefault="00D820B3" w:rsidP="00511BC4">
      <w:pPr>
        <w:pStyle w:val="Tekst"/>
      </w:pPr>
    </w:p>
    <w:p w14:paraId="1EC01902" w14:textId="3296B94F" w:rsidR="00D820B3" w:rsidRPr="00E16992" w:rsidRDefault="00D820B3" w:rsidP="00511BC4">
      <w:pPr>
        <w:pStyle w:val="Tekst"/>
      </w:pPr>
      <w:r>
        <w:t>„</w:t>
      </w:r>
      <w:r w:rsidRPr="0093091B">
        <w:t>(3</w:t>
      </w:r>
      <w:r w:rsidRPr="00CD1428">
        <w:rPr>
          <w:vertAlign w:val="superscript"/>
        </w:rPr>
        <w:t>2</w:t>
      </w:r>
      <w:r w:rsidRPr="0093091B">
        <w:t>)</w:t>
      </w:r>
      <w:r>
        <w:t xml:space="preserve"> </w:t>
      </w:r>
      <w:r w:rsidRPr="008F5631">
        <w:t>Atmosfääriõhu kaitse seaduse alusel IPCEI projekti elluviimiseks taotletava toetuse maksimaalne summa ühe projekti kohta on Euroopa Komisjoni IPCEI teatise alusel tehtud lubavas otsuses määratud riigiabi maksimaalne summa, millest mahaarvamisi käesoleva määruse alusel riigieelarve seaduse alusel eraldatud toetuse osas ei tehta juhul, kui enne Euroopa Komisjoni lubava otsuse tegemist on IPCEI eelteatises toodud toetuse summast lähtuvalt vastav mahaarvamine tehtud, kuid arvatakse maha teistest toetusmeetmetest eraldatud toetus.</w:t>
      </w:r>
      <w:r>
        <w:t>“;</w:t>
      </w:r>
    </w:p>
    <w:p w14:paraId="4A8C2BFB" w14:textId="77777777" w:rsidR="00D820B3" w:rsidRDefault="00D820B3" w:rsidP="00511BC4">
      <w:pPr>
        <w:pStyle w:val="Tekst"/>
      </w:pPr>
    </w:p>
    <w:p w14:paraId="7E80163E" w14:textId="77777777" w:rsidR="00D820B3" w:rsidRDefault="00D820B3" w:rsidP="00511BC4">
      <w:pPr>
        <w:pStyle w:val="Tekst"/>
      </w:pPr>
      <w:r>
        <w:rPr>
          <w:b/>
          <w:bCs/>
        </w:rPr>
        <w:t>6</w:t>
      </w:r>
      <w:r w:rsidRPr="00220212">
        <w:rPr>
          <w:b/>
          <w:bCs/>
        </w:rPr>
        <w:t>)</w:t>
      </w:r>
      <w:r w:rsidRPr="00220212">
        <w:t xml:space="preserve"> paragrahvi 10 lõige 9 sõnastatakse järgmiselt:</w:t>
      </w:r>
    </w:p>
    <w:p w14:paraId="12E25577" w14:textId="77777777" w:rsidR="00D820B3" w:rsidRDefault="00D820B3" w:rsidP="00511BC4">
      <w:pPr>
        <w:pStyle w:val="Tekst"/>
      </w:pPr>
    </w:p>
    <w:p w14:paraId="0FF58356" w14:textId="77777777" w:rsidR="00D820B3" w:rsidRDefault="00D820B3" w:rsidP="00511BC4">
      <w:pPr>
        <w:pStyle w:val="Tekst"/>
      </w:pPr>
      <w:r w:rsidRPr="00220212">
        <w:t>„(9) Toetuse maksimaalne osakaal § 8 lõike 1 punktis 4 nimetatud intellektuaalomandi esmakaitse taotlemisel on:</w:t>
      </w:r>
    </w:p>
    <w:p w14:paraId="58BC2A32" w14:textId="77777777" w:rsidR="00D820B3" w:rsidRDefault="00D820B3" w:rsidP="00511BC4">
      <w:pPr>
        <w:pStyle w:val="Tekst"/>
      </w:pPr>
      <w:r w:rsidRPr="00220212">
        <w:lastRenderedPageBreak/>
        <w:t>1) 50 protsenti abikõlblikest kuludest, kui toetust antakse kooskõlas üldise grupierandi määruse artikliga 28;</w:t>
      </w:r>
    </w:p>
    <w:p w14:paraId="45ABA398" w14:textId="77777777" w:rsidR="00D820B3" w:rsidRDefault="00D820B3" w:rsidP="00511BC4">
      <w:pPr>
        <w:pStyle w:val="Tekst"/>
      </w:pPr>
      <w:r w:rsidRPr="00220212">
        <w:t>2) 80 protsenti abikõlblikest kuludest, kui toetust antakse kooskõlas vähese tähtsusega abi määrusega.“;</w:t>
      </w:r>
    </w:p>
    <w:p w14:paraId="64AFD97B" w14:textId="77777777" w:rsidR="00D820B3" w:rsidRDefault="00D820B3" w:rsidP="00511BC4">
      <w:pPr>
        <w:pStyle w:val="Tekst"/>
      </w:pPr>
    </w:p>
    <w:p w14:paraId="493726AA" w14:textId="77777777" w:rsidR="00D820B3" w:rsidRDefault="00D820B3" w:rsidP="00511BC4">
      <w:pPr>
        <w:pStyle w:val="Tekst"/>
      </w:pPr>
      <w:r w:rsidRPr="00CD1428">
        <w:rPr>
          <w:b/>
          <w:bCs/>
        </w:rPr>
        <w:t>7)</w:t>
      </w:r>
      <w:r>
        <w:t xml:space="preserve"> paragrahvi 10 lõige 11 sõnastatakse järgmiselt:</w:t>
      </w:r>
    </w:p>
    <w:p w14:paraId="63D31F92" w14:textId="77777777" w:rsidR="00D820B3" w:rsidRDefault="00D820B3" w:rsidP="00511BC4">
      <w:pPr>
        <w:pStyle w:val="Tekst"/>
      </w:pPr>
    </w:p>
    <w:p w14:paraId="356F1FBF" w14:textId="77777777" w:rsidR="00D820B3" w:rsidRDefault="00D820B3" w:rsidP="00511BC4">
      <w:pPr>
        <w:pStyle w:val="Tekst"/>
        <w:rPr>
          <w:shd w:val="clear" w:color="auto" w:fill="FFFFFF"/>
        </w:rPr>
      </w:pPr>
      <w:r>
        <w:t xml:space="preserve">„(11) </w:t>
      </w:r>
      <w:r>
        <w:rPr>
          <w:shd w:val="clear" w:color="auto" w:fill="FFFFFF"/>
        </w:rPr>
        <w:t xml:space="preserve">Toetuse maksimaalne osakaal IPCEI projekti elluviimiseks IPCEI teatise alusel antava toetuse taotlemisel on: </w:t>
      </w:r>
    </w:p>
    <w:p w14:paraId="0321B7F5" w14:textId="77777777" w:rsidR="00D820B3" w:rsidRPr="00CD1428" w:rsidRDefault="00D820B3" w:rsidP="00511BC4">
      <w:pPr>
        <w:pStyle w:val="Tekst"/>
        <w:rPr>
          <w:rFonts w:cs="Times New Roman"/>
        </w:rPr>
      </w:pPr>
      <w:r>
        <w:rPr>
          <w:shd w:val="clear" w:color="auto" w:fill="FFFFFF"/>
        </w:rPr>
        <w:t>1) IPCEI projekti abikõlbliku kogueelarve osana esitatud riigiabi maksimaalse summa osakaal, mis ei ole rohkem kui 2/3 projekti abikõlblikust kogueelarvest ja mille Euroopa Komisjon on heaks kiitnud</w:t>
      </w:r>
      <w:r w:rsidRPr="00CD1428">
        <w:rPr>
          <w:shd w:val="clear" w:color="auto" w:fill="FFFFFF"/>
        </w:rPr>
        <w:t xml:space="preserve">, </w:t>
      </w:r>
      <w:r w:rsidRPr="00CD1428">
        <w:rPr>
          <w:rFonts w:cs="Times New Roman"/>
        </w:rPr>
        <w:t>kui IPCEI projekti elluviimiseks taotletava toetuse maksimaalne summa ühe projekti kohta on atmosfääriõhu kaitse seaduse alusel kujunenud vastavalt lõikele 3</w:t>
      </w:r>
      <w:r w:rsidRPr="00CD1428">
        <w:rPr>
          <w:rFonts w:cs="Times New Roman"/>
          <w:vertAlign w:val="superscript"/>
        </w:rPr>
        <w:t>1</w:t>
      </w:r>
      <w:r w:rsidRPr="00CD1428">
        <w:rPr>
          <w:rFonts w:cs="Times New Roman"/>
        </w:rPr>
        <w:t>;</w:t>
      </w:r>
    </w:p>
    <w:p w14:paraId="3F9AF61D" w14:textId="77777777" w:rsidR="00D820B3" w:rsidRPr="00CD1428" w:rsidRDefault="00D820B3" w:rsidP="00511BC4">
      <w:pPr>
        <w:pStyle w:val="Tekst"/>
      </w:pPr>
      <w:r w:rsidRPr="00CD1428">
        <w:rPr>
          <w:shd w:val="clear" w:color="auto" w:fill="FFFFFF"/>
        </w:rPr>
        <w:t xml:space="preserve">2) </w:t>
      </w:r>
      <w:r w:rsidRPr="00CD1428">
        <w:t>IPCEI projekti abikõlbliku kogueelarve osana esitatud riigiabi maksimaalse summa osakaal, mis ei ole rohkem kui 2/3 projekti IPCEI eelteatise kogueelarvest, kui IPCEI projekti elluviimiseks taotletava toetuse maksimaalne summa ühe projekti kohta on atmosfääriõhu kaitse seaduse alusel kujunenud vastavalt lõikele 3</w:t>
      </w:r>
      <w:r w:rsidRPr="00CD1428">
        <w:rPr>
          <w:vertAlign w:val="superscript"/>
        </w:rPr>
        <w:t>2</w:t>
      </w:r>
      <w:r w:rsidRPr="00CD1428">
        <w:t>.“;</w:t>
      </w:r>
    </w:p>
    <w:p w14:paraId="52E9E577" w14:textId="77777777" w:rsidR="00D820B3" w:rsidRDefault="00D820B3" w:rsidP="00511BC4">
      <w:pPr>
        <w:pStyle w:val="Tekst"/>
      </w:pPr>
    </w:p>
    <w:p w14:paraId="7214EF5A" w14:textId="144CBC24" w:rsidR="00D820B3" w:rsidRDefault="008373BD" w:rsidP="00511BC4">
      <w:pPr>
        <w:pStyle w:val="Tekst"/>
      </w:pPr>
      <w:r>
        <w:rPr>
          <w:b/>
          <w:bCs/>
        </w:rPr>
        <w:t>8</w:t>
      </w:r>
      <w:r w:rsidR="00D820B3" w:rsidRPr="00220212">
        <w:rPr>
          <w:b/>
          <w:bCs/>
        </w:rPr>
        <w:t>)</w:t>
      </w:r>
      <w:r w:rsidR="00D820B3" w:rsidRPr="00220212">
        <w:t xml:space="preserve"> paragrahvi 11 lõige</w:t>
      </w:r>
      <w:r w:rsidR="00FA4623">
        <w:t>t</w:t>
      </w:r>
      <w:r w:rsidR="00D820B3" w:rsidRPr="00220212">
        <w:t xml:space="preserve"> 2 </w:t>
      </w:r>
      <w:r w:rsidR="00FA4623">
        <w:t>täiendatakse pärast sõnu „hilisemast kuupäevast“ tekstiosaga „, kuid mitte hiljem kui neli kuud taotluse rahuldamise otsuse tegemise kuupäevast</w:t>
      </w:r>
      <w:r w:rsidR="006E53DA">
        <w:t>,</w:t>
      </w:r>
      <w:r w:rsidR="00FA4623">
        <w:t>“;</w:t>
      </w:r>
    </w:p>
    <w:p w14:paraId="074F5510" w14:textId="77777777" w:rsidR="00D820B3" w:rsidRDefault="00D820B3" w:rsidP="00511BC4">
      <w:pPr>
        <w:pStyle w:val="Tekst"/>
      </w:pPr>
    </w:p>
    <w:p w14:paraId="097EEE74" w14:textId="4A604623" w:rsidR="00D820B3" w:rsidRDefault="008373BD" w:rsidP="00511BC4">
      <w:pPr>
        <w:pStyle w:val="Tekst"/>
      </w:pPr>
      <w:r>
        <w:rPr>
          <w:b/>
          <w:bCs/>
        </w:rPr>
        <w:t>9</w:t>
      </w:r>
      <w:r w:rsidR="00D820B3" w:rsidRPr="00220212">
        <w:rPr>
          <w:b/>
          <w:bCs/>
        </w:rPr>
        <w:t>)</w:t>
      </w:r>
      <w:r w:rsidR="00D820B3" w:rsidRPr="00220212">
        <w:t xml:space="preserve"> paragrahvi 14 lõike 6 </w:t>
      </w:r>
      <w:r w:rsidR="00D820B3">
        <w:t>esimene lause sõnastatakse järgmiselt:</w:t>
      </w:r>
    </w:p>
    <w:p w14:paraId="4F82ACC9" w14:textId="77777777" w:rsidR="004654AA" w:rsidRDefault="004654AA" w:rsidP="00511BC4">
      <w:pPr>
        <w:pStyle w:val="Tekst"/>
      </w:pPr>
    </w:p>
    <w:p w14:paraId="658E8EFC" w14:textId="21BEE13D" w:rsidR="00D820B3" w:rsidRDefault="00D820B3" w:rsidP="00511BC4">
      <w:pPr>
        <w:pStyle w:val="Tekst"/>
      </w:pPr>
      <w:r w:rsidRPr="00620E94">
        <w:t>„Taotlejale ja partnerile antud vähese tähtsusega abi koos käesoleva määruse raames taotletava vähese tähtsusega abiga ei tohi ületada vähese tähtsusega abi määruse artikli 3 lõikes 2 sätestatud piirmäära, sealjuures võetakse arvesse vähese tähtsusega abi määruse artiklis 5 sätestatud kumuleerimisreegleid</w:t>
      </w:r>
      <w:r>
        <w:t>.</w:t>
      </w:r>
      <w:r w:rsidRPr="00620E94">
        <w:t>“</w:t>
      </w:r>
      <w:r>
        <w:t>;</w:t>
      </w:r>
    </w:p>
    <w:p w14:paraId="29105841" w14:textId="77777777" w:rsidR="00D820B3" w:rsidRDefault="00D820B3" w:rsidP="00511BC4">
      <w:pPr>
        <w:pStyle w:val="Tekst"/>
      </w:pPr>
    </w:p>
    <w:p w14:paraId="73166F01" w14:textId="548306D2" w:rsidR="00D820B3" w:rsidRDefault="00D820B3" w:rsidP="00511BC4">
      <w:pPr>
        <w:pStyle w:val="Tekst"/>
      </w:pPr>
      <w:r>
        <w:rPr>
          <w:b/>
          <w:bCs/>
        </w:rPr>
        <w:t>1</w:t>
      </w:r>
      <w:r w:rsidR="008373BD">
        <w:rPr>
          <w:b/>
          <w:bCs/>
        </w:rPr>
        <w:t>0</w:t>
      </w:r>
      <w:r w:rsidRPr="00220212">
        <w:rPr>
          <w:b/>
          <w:bCs/>
        </w:rPr>
        <w:t>)</w:t>
      </w:r>
      <w:r w:rsidRPr="00220212">
        <w:t xml:space="preserve"> paragrahvi 14 lõige 7 tunnistatakse kehtetuks; </w:t>
      </w:r>
    </w:p>
    <w:p w14:paraId="3EAD7ED0" w14:textId="77777777" w:rsidR="00D820B3" w:rsidRDefault="00D820B3" w:rsidP="00511BC4">
      <w:pPr>
        <w:pStyle w:val="Tekst"/>
      </w:pPr>
    </w:p>
    <w:p w14:paraId="20E6B85F" w14:textId="594D4C12" w:rsidR="00D820B3" w:rsidRDefault="00D820B3" w:rsidP="00511BC4">
      <w:pPr>
        <w:pStyle w:val="Tekst"/>
      </w:pPr>
      <w:r w:rsidRPr="00220212">
        <w:rPr>
          <w:b/>
          <w:bCs/>
        </w:rPr>
        <w:t>1</w:t>
      </w:r>
      <w:r w:rsidR="008373BD">
        <w:rPr>
          <w:b/>
          <w:bCs/>
        </w:rPr>
        <w:t>1</w:t>
      </w:r>
      <w:r w:rsidRPr="00220212">
        <w:rPr>
          <w:b/>
          <w:bCs/>
        </w:rPr>
        <w:t>)</w:t>
      </w:r>
      <w:r w:rsidRPr="00220212">
        <w:t xml:space="preserve"> paragrahvi 18 lõike 6 punkti 3 täiendatakse pärast </w:t>
      </w:r>
      <w:r w:rsidR="004A45AF">
        <w:t>tekstiosa</w:t>
      </w:r>
      <w:r w:rsidRPr="00220212">
        <w:t xml:space="preserve"> „kogemusi,“ tekstiosaga „intellektuaalomandi strateegia asjakohasust ja läbimõeldust,“; </w:t>
      </w:r>
    </w:p>
    <w:p w14:paraId="4E3BE0F0" w14:textId="77777777" w:rsidR="00D820B3" w:rsidRDefault="00D820B3" w:rsidP="00511BC4">
      <w:pPr>
        <w:pStyle w:val="Tekst"/>
      </w:pPr>
    </w:p>
    <w:p w14:paraId="6A313B84" w14:textId="6F9455B2" w:rsidR="00D820B3" w:rsidRDefault="00D820B3" w:rsidP="00511BC4">
      <w:pPr>
        <w:pStyle w:val="Tekst"/>
      </w:pPr>
      <w:r w:rsidRPr="00220212">
        <w:rPr>
          <w:b/>
          <w:bCs/>
        </w:rPr>
        <w:t>1</w:t>
      </w:r>
      <w:r w:rsidR="008373BD">
        <w:rPr>
          <w:b/>
          <w:bCs/>
        </w:rPr>
        <w:t>2</w:t>
      </w:r>
      <w:r w:rsidRPr="00220212">
        <w:rPr>
          <w:b/>
          <w:bCs/>
        </w:rPr>
        <w:t>)</w:t>
      </w:r>
      <w:r w:rsidRPr="00220212">
        <w:t xml:space="preserve"> paragrahvi 20 lõige 2</w:t>
      </w:r>
      <w:r w:rsidRPr="00CD1428">
        <w:rPr>
          <w:vertAlign w:val="superscript"/>
        </w:rPr>
        <w:t>2</w:t>
      </w:r>
      <w:r w:rsidRPr="00220212">
        <w:t xml:space="preserve"> tunnistatakse kehtetuks;</w:t>
      </w:r>
    </w:p>
    <w:p w14:paraId="7DC5191B" w14:textId="77777777" w:rsidR="00D820B3" w:rsidRDefault="00D820B3" w:rsidP="00511BC4">
      <w:pPr>
        <w:pStyle w:val="Tekst"/>
      </w:pPr>
    </w:p>
    <w:p w14:paraId="0D611F11" w14:textId="1880F996" w:rsidR="00D820B3" w:rsidRDefault="00D820B3" w:rsidP="00511BC4">
      <w:pPr>
        <w:pStyle w:val="Tekst"/>
      </w:pPr>
      <w:r w:rsidRPr="00A43C89">
        <w:rPr>
          <w:b/>
          <w:bCs/>
        </w:rPr>
        <w:t>1</w:t>
      </w:r>
      <w:r w:rsidR="008373BD">
        <w:rPr>
          <w:b/>
          <w:bCs/>
        </w:rPr>
        <w:t>3</w:t>
      </w:r>
      <w:r w:rsidRPr="00A43C89">
        <w:rPr>
          <w:b/>
          <w:bCs/>
        </w:rPr>
        <w:t>)</w:t>
      </w:r>
      <w:r w:rsidRPr="00220212">
        <w:t xml:space="preserve"> paragrahvi 29 täiendatakse lõikega 3 järgmises sõnastuses:</w:t>
      </w:r>
    </w:p>
    <w:p w14:paraId="7F2D98D1" w14:textId="77777777" w:rsidR="004654AA" w:rsidRDefault="004654AA" w:rsidP="00511BC4">
      <w:pPr>
        <w:pStyle w:val="Tekst"/>
      </w:pPr>
    </w:p>
    <w:p w14:paraId="61F18533" w14:textId="3629DDC5" w:rsidR="00D820B3" w:rsidRPr="00220212" w:rsidRDefault="00D820B3" w:rsidP="00511BC4">
      <w:pPr>
        <w:pStyle w:val="Tekst"/>
      </w:pPr>
      <w:r w:rsidRPr="00220212">
        <w:t>„(3) 2024. a juunis vastu võetud § 4 punkti 7, § 11 lõike 2 ja § 18 lõike 6 punkti 3 muudatusi rakendatakse projektidele, mille osas on taotlus esitatud pärast nimetatud muudatuste jõustumist.“.</w:t>
      </w:r>
    </w:p>
    <w:p w14:paraId="07AD5CDD" w14:textId="73CDC4BB" w:rsidR="004211BF" w:rsidRDefault="004211BF" w:rsidP="00D820B3">
      <w:pPr>
        <w:pStyle w:val="allikirjastajanimi"/>
        <w:tabs>
          <w:tab w:val="left" w:pos="5387"/>
        </w:tabs>
        <w:spacing w:before="960"/>
      </w:pPr>
      <w:r>
        <w:t>(allkirjastatud digitaalselt)</w:t>
      </w:r>
      <w:r w:rsidR="00E51B27" w:rsidRPr="00E51B27">
        <w:t xml:space="preserve"> </w:t>
      </w:r>
    </w:p>
    <w:p w14:paraId="20D045A1" w14:textId="2F3C08C1" w:rsidR="004211BF" w:rsidRDefault="004211BF" w:rsidP="004211BF">
      <w:pPr>
        <w:tabs>
          <w:tab w:val="left" w:pos="5387"/>
        </w:tabs>
        <w:spacing w:line="240" w:lineRule="auto"/>
        <w:jc w:val="left"/>
        <w:rPr>
          <w:lang w:eastAsia="en-US" w:bidi="ar-SA"/>
        </w:rPr>
      </w:pPr>
      <w:r>
        <w:rPr>
          <w:lang w:eastAsia="en-US" w:bidi="ar-SA"/>
        </w:rPr>
        <w:fldChar w:fldCharType="begin"/>
      </w:r>
      <w:r w:rsidR="000F64C0">
        <w:rPr>
          <w:lang w:eastAsia="en-US" w:bidi="ar-SA"/>
        </w:rPr>
        <w:instrText xml:space="preserve"> delta_signerName  \* MERGEFORMAT</w:instrText>
      </w:r>
      <w:r>
        <w:rPr>
          <w:lang w:eastAsia="en-US" w:bidi="ar-SA"/>
        </w:rPr>
        <w:fldChar w:fldCharType="separate"/>
      </w:r>
      <w:r w:rsidR="000F64C0">
        <w:rPr>
          <w:lang w:eastAsia="en-US" w:bidi="ar-SA"/>
        </w:rPr>
        <w:t xml:space="preserve">Tiit </w:t>
      </w:r>
      <w:proofErr w:type="spellStart"/>
      <w:r w:rsidR="000F64C0">
        <w:rPr>
          <w:lang w:eastAsia="en-US" w:bidi="ar-SA"/>
        </w:rPr>
        <w:t>Riisalo</w:t>
      </w:r>
      <w:proofErr w:type="spellEnd"/>
      <w:r>
        <w:rPr>
          <w:lang w:eastAsia="en-US" w:bidi="ar-SA"/>
        </w:rPr>
        <w:fldChar w:fldCharType="end"/>
      </w:r>
    </w:p>
    <w:p w14:paraId="1413655C" w14:textId="0BA386F5" w:rsidR="003F35DE" w:rsidRDefault="003F35DE" w:rsidP="004211BF">
      <w:pPr>
        <w:tabs>
          <w:tab w:val="left" w:pos="5387"/>
        </w:tabs>
        <w:spacing w:line="240" w:lineRule="auto"/>
        <w:jc w:val="left"/>
        <w:rPr>
          <w:lang w:eastAsia="en-US" w:bidi="ar-SA"/>
        </w:rPr>
      </w:pPr>
      <w:r>
        <w:rPr>
          <w:lang w:eastAsia="en-US" w:bidi="ar-SA"/>
        </w:rPr>
        <w:fldChar w:fldCharType="begin"/>
      </w:r>
      <w:r w:rsidR="000F64C0">
        <w:rPr>
          <w:lang w:eastAsia="en-US" w:bidi="ar-SA"/>
        </w:rPr>
        <w:instrText xml:space="preserve"> delta_signerJobTitle  \* MERGEFORMAT</w:instrText>
      </w:r>
      <w:r>
        <w:rPr>
          <w:lang w:eastAsia="en-US" w:bidi="ar-SA"/>
        </w:rPr>
        <w:fldChar w:fldCharType="separate"/>
      </w:r>
      <w:r w:rsidR="000F64C0">
        <w:rPr>
          <w:lang w:eastAsia="en-US" w:bidi="ar-SA"/>
        </w:rPr>
        <w:t>majandus- ja infotehnoloogiaminister</w:t>
      </w:r>
      <w:r>
        <w:rPr>
          <w:lang w:eastAsia="en-US" w:bidi="ar-SA"/>
        </w:rPr>
        <w:fldChar w:fldCharType="end"/>
      </w:r>
    </w:p>
    <w:p w14:paraId="2597C04C" w14:textId="77777777" w:rsidR="003F35DE" w:rsidRDefault="003F35DE" w:rsidP="004211BF">
      <w:pPr>
        <w:tabs>
          <w:tab w:val="left" w:pos="5387"/>
        </w:tabs>
        <w:spacing w:line="240" w:lineRule="auto"/>
        <w:jc w:val="left"/>
        <w:rPr>
          <w:lang w:eastAsia="en-US" w:bidi="ar-SA"/>
        </w:rPr>
      </w:pPr>
    </w:p>
    <w:p w14:paraId="722E338F" w14:textId="48A840D3" w:rsidR="003F35DE" w:rsidRDefault="00D820B3" w:rsidP="003F35DE">
      <w:pPr>
        <w:spacing w:line="240" w:lineRule="auto"/>
        <w:jc w:val="left"/>
        <w:rPr>
          <w:lang w:eastAsia="en-US" w:bidi="ar-SA"/>
        </w:rPr>
      </w:pPr>
      <w:r>
        <w:rPr>
          <w:lang w:eastAsia="en-US" w:bidi="ar-SA"/>
        </w:rPr>
        <w:t>(</w:t>
      </w:r>
      <w:r w:rsidR="003F35DE">
        <w:rPr>
          <w:lang w:eastAsia="en-US" w:bidi="ar-SA"/>
        </w:rPr>
        <w:t>allkirjastatud digitaalselt)</w:t>
      </w:r>
    </w:p>
    <w:p w14:paraId="5B9EB380" w14:textId="47A8AA51" w:rsidR="00D3183A" w:rsidRDefault="003F35DE" w:rsidP="00317F3A">
      <w:pPr>
        <w:jc w:val="left"/>
      </w:pPr>
      <w:r>
        <w:rPr>
          <w:lang w:eastAsia="en-US" w:bidi="ar-SA"/>
        </w:rPr>
        <w:fldChar w:fldCharType="begin"/>
      </w:r>
      <w:r w:rsidR="000F64C0">
        <w:rPr>
          <w:lang w:eastAsia="en-US" w:bidi="ar-SA"/>
        </w:rPr>
        <w:instrText xml:space="preserve"> delta_secondsignerName  \* MERGEFORMAT</w:instrText>
      </w:r>
      <w:r>
        <w:rPr>
          <w:lang w:eastAsia="en-US" w:bidi="ar-SA"/>
        </w:rPr>
        <w:fldChar w:fldCharType="separate"/>
      </w:r>
      <w:r w:rsidR="000F64C0">
        <w:rPr>
          <w:lang w:eastAsia="en-US" w:bidi="ar-SA"/>
        </w:rPr>
        <w:t>Ahti Kuningas</w:t>
      </w:r>
      <w:r>
        <w:rPr>
          <w:lang w:eastAsia="en-US" w:bidi="ar-SA"/>
        </w:rPr>
        <w:fldChar w:fldCharType="end"/>
      </w:r>
      <w:r>
        <w:rPr>
          <w:lang w:eastAsia="en-US" w:bidi="ar-SA"/>
        </w:rPr>
        <w:br/>
      </w:r>
      <w:r>
        <w:rPr>
          <w:lang w:eastAsia="en-US" w:bidi="ar-SA"/>
        </w:rPr>
        <w:fldChar w:fldCharType="begin"/>
      </w:r>
      <w:r w:rsidR="000F64C0">
        <w:rPr>
          <w:lang w:eastAsia="en-US" w:bidi="ar-SA"/>
        </w:rPr>
        <w:instrText xml:space="preserve"> delta_secondsignerJobTitle  \* MERGEFORMAT</w:instrText>
      </w:r>
      <w:r>
        <w:rPr>
          <w:lang w:eastAsia="en-US" w:bidi="ar-SA"/>
        </w:rPr>
        <w:fldChar w:fldCharType="separate"/>
      </w:r>
      <w:r w:rsidR="000F64C0">
        <w:rPr>
          <w:lang w:eastAsia="en-US" w:bidi="ar-SA"/>
        </w:rPr>
        <w:t>kantsler</w:t>
      </w:r>
      <w:r>
        <w:rPr>
          <w:lang w:eastAsia="en-US" w:bidi="ar-SA"/>
        </w:rPr>
        <w:fldChar w:fldCharType="end"/>
      </w:r>
    </w:p>
    <w:sectPr w:rsidR="00D3183A" w:rsidSect="00317F3A">
      <w:pgSz w:w="11906" w:h="16838"/>
      <w:pgMar w:top="907"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F4A17"/>
    <w:multiLevelType w:val="hybridMultilevel"/>
    <w:tmpl w:val="47B41814"/>
    <w:lvl w:ilvl="0" w:tplc="FF200178">
      <w:start w:val="1"/>
      <w:numFmt w:val="decimal"/>
      <w:lvlText w:val="%1)"/>
      <w:lvlJc w:val="left"/>
      <w:pPr>
        <w:ind w:left="1020" w:hanging="360"/>
      </w:pPr>
    </w:lvl>
    <w:lvl w:ilvl="1" w:tplc="CF126858">
      <w:start w:val="1"/>
      <w:numFmt w:val="decimal"/>
      <w:lvlText w:val="%2)"/>
      <w:lvlJc w:val="left"/>
      <w:pPr>
        <w:ind w:left="1020" w:hanging="360"/>
      </w:pPr>
    </w:lvl>
    <w:lvl w:ilvl="2" w:tplc="62B091FE">
      <w:start w:val="1"/>
      <w:numFmt w:val="decimal"/>
      <w:lvlText w:val="%3)"/>
      <w:lvlJc w:val="left"/>
      <w:pPr>
        <w:ind w:left="1020" w:hanging="360"/>
      </w:pPr>
    </w:lvl>
    <w:lvl w:ilvl="3" w:tplc="630EAB8A">
      <w:start w:val="1"/>
      <w:numFmt w:val="decimal"/>
      <w:lvlText w:val="%4)"/>
      <w:lvlJc w:val="left"/>
      <w:pPr>
        <w:ind w:left="1020" w:hanging="360"/>
      </w:pPr>
    </w:lvl>
    <w:lvl w:ilvl="4" w:tplc="7E587942">
      <w:start w:val="1"/>
      <w:numFmt w:val="decimal"/>
      <w:lvlText w:val="%5)"/>
      <w:lvlJc w:val="left"/>
      <w:pPr>
        <w:ind w:left="1020" w:hanging="360"/>
      </w:pPr>
    </w:lvl>
    <w:lvl w:ilvl="5" w:tplc="49F0E85E">
      <w:start w:val="1"/>
      <w:numFmt w:val="decimal"/>
      <w:lvlText w:val="%6)"/>
      <w:lvlJc w:val="left"/>
      <w:pPr>
        <w:ind w:left="1020" w:hanging="360"/>
      </w:pPr>
    </w:lvl>
    <w:lvl w:ilvl="6" w:tplc="10BA09F8">
      <w:start w:val="1"/>
      <w:numFmt w:val="decimal"/>
      <w:lvlText w:val="%7)"/>
      <w:lvlJc w:val="left"/>
      <w:pPr>
        <w:ind w:left="1020" w:hanging="360"/>
      </w:pPr>
    </w:lvl>
    <w:lvl w:ilvl="7" w:tplc="AFD28666">
      <w:start w:val="1"/>
      <w:numFmt w:val="decimal"/>
      <w:lvlText w:val="%8)"/>
      <w:lvlJc w:val="left"/>
      <w:pPr>
        <w:ind w:left="1020" w:hanging="360"/>
      </w:pPr>
    </w:lvl>
    <w:lvl w:ilvl="8" w:tplc="6CF8D2B6">
      <w:start w:val="1"/>
      <w:numFmt w:val="decimal"/>
      <w:lvlText w:val="%9)"/>
      <w:lvlJc w:val="left"/>
      <w:pPr>
        <w:ind w:left="1020" w:hanging="360"/>
      </w:pPr>
    </w:lvl>
  </w:abstractNum>
  <w:num w:numId="1" w16cid:durableId="292104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3A"/>
    <w:rsid w:val="00025155"/>
    <w:rsid w:val="00073815"/>
    <w:rsid w:val="000B0473"/>
    <w:rsid w:val="000C7792"/>
    <w:rsid w:val="000F64C0"/>
    <w:rsid w:val="00194A32"/>
    <w:rsid w:val="001A577C"/>
    <w:rsid w:val="002C4561"/>
    <w:rsid w:val="00317F3A"/>
    <w:rsid w:val="003F35DE"/>
    <w:rsid w:val="004211BF"/>
    <w:rsid w:val="004654AA"/>
    <w:rsid w:val="004A45AF"/>
    <w:rsid w:val="004F12ED"/>
    <w:rsid w:val="00511BC4"/>
    <w:rsid w:val="00564AB0"/>
    <w:rsid w:val="00581E3D"/>
    <w:rsid w:val="005914A4"/>
    <w:rsid w:val="00593BE9"/>
    <w:rsid w:val="00610E9F"/>
    <w:rsid w:val="006146BC"/>
    <w:rsid w:val="00616D34"/>
    <w:rsid w:val="00695E3A"/>
    <w:rsid w:val="006E53DA"/>
    <w:rsid w:val="006F6345"/>
    <w:rsid w:val="0071262C"/>
    <w:rsid w:val="00764924"/>
    <w:rsid w:val="00821714"/>
    <w:rsid w:val="008373BD"/>
    <w:rsid w:val="00852DDC"/>
    <w:rsid w:val="00A02530"/>
    <w:rsid w:val="00A77566"/>
    <w:rsid w:val="00AA73D4"/>
    <w:rsid w:val="00AD3316"/>
    <w:rsid w:val="00AD338E"/>
    <w:rsid w:val="00AF123D"/>
    <w:rsid w:val="00B216FC"/>
    <w:rsid w:val="00B647F1"/>
    <w:rsid w:val="00C22960"/>
    <w:rsid w:val="00C33798"/>
    <w:rsid w:val="00CA0401"/>
    <w:rsid w:val="00CC0694"/>
    <w:rsid w:val="00D072BD"/>
    <w:rsid w:val="00D25F34"/>
    <w:rsid w:val="00D3183A"/>
    <w:rsid w:val="00D55948"/>
    <w:rsid w:val="00D820B3"/>
    <w:rsid w:val="00D83ECA"/>
    <w:rsid w:val="00E01333"/>
    <w:rsid w:val="00E02DB1"/>
    <w:rsid w:val="00E37BBF"/>
    <w:rsid w:val="00E41702"/>
    <w:rsid w:val="00E51B27"/>
    <w:rsid w:val="00E65340"/>
    <w:rsid w:val="00E67E3B"/>
    <w:rsid w:val="00F14460"/>
    <w:rsid w:val="00F41645"/>
    <w:rsid w:val="00FA46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B31B"/>
  <w15:chartTrackingRefBased/>
  <w15:docId w15:val="{C5886262-79A4-41FB-8D73-4D3EEDAE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7F3A"/>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ableContents">
    <w:name w:val="Table Contents"/>
    <w:basedOn w:val="Normaallaad"/>
    <w:rsid w:val="00317F3A"/>
    <w:pPr>
      <w:suppressLineNumbers/>
    </w:pPr>
  </w:style>
  <w:style w:type="paragraph" w:customStyle="1" w:styleId="AK">
    <w:name w:val="AK"/>
    <w:autoRedefine/>
    <w:qFormat/>
    <w:rsid w:val="00317F3A"/>
    <w:pPr>
      <w:keepNext/>
      <w:keepLines/>
      <w:suppressLineNumbers/>
      <w:spacing w:after="0" w:line="240" w:lineRule="auto"/>
    </w:pPr>
    <w:rPr>
      <w:rFonts w:ascii="Times New Roman" w:eastAsia="SimSun" w:hAnsi="Times New Roman" w:cs="Times New Roman"/>
      <w:bCs/>
      <w:kern w:val="1"/>
      <w:sz w:val="20"/>
      <w:szCs w:val="20"/>
      <w:lang w:eastAsia="zh-CN" w:bidi="hi-IN"/>
    </w:rPr>
  </w:style>
  <w:style w:type="paragraph" w:customStyle="1" w:styleId="Pealkiri1">
    <w:name w:val="Pealkiri1"/>
    <w:autoRedefine/>
    <w:qFormat/>
    <w:rsid w:val="00317F3A"/>
    <w:pPr>
      <w:spacing w:after="560" w:line="240" w:lineRule="auto"/>
    </w:pPr>
    <w:rPr>
      <w:rFonts w:ascii="Times New Roman" w:eastAsia="SimSun" w:hAnsi="Times New Roman" w:cs="Times New Roman"/>
      <w:b/>
      <w:bCs/>
      <w:kern w:val="1"/>
      <w:sz w:val="24"/>
      <w:szCs w:val="24"/>
      <w:lang w:eastAsia="zh-CN" w:bidi="hi-IN"/>
    </w:rPr>
  </w:style>
  <w:style w:type="paragraph" w:customStyle="1" w:styleId="Kuupev1">
    <w:name w:val="Kuupäev1"/>
    <w:autoRedefine/>
    <w:qFormat/>
    <w:rsid w:val="00317F3A"/>
    <w:pPr>
      <w:spacing w:before="840" w:after="0" w:line="240" w:lineRule="auto"/>
      <w:jc w:val="right"/>
    </w:pPr>
    <w:rPr>
      <w:rFonts w:ascii="Times New Roman" w:eastAsia="SimSun" w:hAnsi="Times New Roman" w:cs="Times New Roman"/>
      <w:kern w:val="24"/>
      <w:sz w:val="24"/>
      <w:szCs w:val="24"/>
      <w:lang w:eastAsia="zh-CN" w:bidi="hi-IN"/>
    </w:rPr>
  </w:style>
  <w:style w:type="paragraph" w:customStyle="1" w:styleId="Liik">
    <w:name w:val="Liik"/>
    <w:autoRedefine/>
    <w:qFormat/>
    <w:rsid w:val="00317F3A"/>
    <w:pPr>
      <w:spacing w:after="0" w:line="240" w:lineRule="auto"/>
    </w:pPr>
    <w:rPr>
      <w:rFonts w:ascii="Times New Roman" w:eastAsia="SimSun" w:hAnsi="Times New Roman" w:cs="Times New Roman"/>
      <w:caps/>
      <w:kern w:val="24"/>
      <w:sz w:val="24"/>
      <w:szCs w:val="24"/>
      <w:lang w:eastAsia="zh-CN" w:bidi="hi-IN"/>
    </w:rPr>
  </w:style>
  <w:style w:type="paragraph" w:customStyle="1" w:styleId="Tekst">
    <w:name w:val="Tekst"/>
    <w:autoRedefine/>
    <w:qFormat/>
    <w:rsid w:val="00511BC4"/>
    <w:pPr>
      <w:spacing w:after="0" w:line="240" w:lineRule="auto"/>
      <w:jc w:val="both"/>
    </w:pPr>
    <w:rPr>
      <w:rFonts w:ascii="Times New Roman" w:eastAsia="SimSun" w:hAnsi="Times New Roman" w:cs="Mangal"/>
      <w:kern w:val="1"/>
      <w:sz w:val="24"/>
      <w:szCs w:val="24"/>
      <w:lang w:eastAsia="zh-CN" w:bidi="hi-IN"/>
    </w:rPr>
  </w:style>
  <w:style w:type="paragraph" w:customStyle="1" w:styleId="allikirjastajanimi">
    <w:name w:val="allikirjastaja:nimi"/>
    <w:basedOn w:val="Normaallaad"/>
    <w:next w:val="Normaallaad"/>
    <w:rsid w:val="00194A32"/>
    <w:pPr>
      <w:widowControl/>
      <w:suppressAutoHyphens w:val="0"/>
      <w:spacing w:line="240" w:lineRule="auto"/>
      <w:jc w:val="left"/>
    </w:pPr>
    <w:rPr>
      <w:rFonts w:eastAsia="Times New Roman"/>
      <w:kern w:val="0"/>
      <w:lang w:eastAsia="en-US" w:bidi="ar-SA"/>
    </w:rPr>
  </w:style>
  <w:style w:type="character" w:styleId="Kommentaariviide">
    <w:name w:val="annotation reference"/>
    <w:basedOn w:val="Liguvaikefont"/>
    <w:uiPriority w:val="99"/>
    <w:semiHidden/>
    <w:unhideWhenUsed/>
    <w:rsid w:val="000C7792"/>
    <w:rPr>
      <w:sz w:val="16"/>
      <w:szCs w:val="16"/>
    </w:rPr>
  </w:style>
  <w:style w:type="paragraph" w:styleId="Kommentaaritekst">
    <w:name w:val="annotation text"/>
    <w:basedOn w:val="Normaallaad"/>
    <w:link w:val="KommentaaritekstMrk"/>
    <w:uiPriority w:val="99"/>
    <w:unhideWhenUsed/>
    <w:rsid w:val="000C7792"/>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0C7792"/>
    <w:rPr>
      <w:rFonts w:ascii="Times New Roman" w:eastAsia="SimSun" w:hAnsi="Times New Roma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0C7792"/>
    <w:rPr>
      <w:b/>
      <w:bCs/>
    </w:rPr>
  </w:style>
  <w:style w:type="character" w:customStyle="1" w:styleId="KommentaariteemaMrk">
    <w:name w:val="Kommentaari teema Märk"/>
    <w:basedOn w:val="KommentaaritekstMrk"/>
    <w:link w:val="Kommentaariteema"/>
    <w:uiPriority w:val="99"/>
    <w:semiHidden/>
    <w:rsid w:val="000C7792"/>
    <w:rPr>
      <w:rFonts w:ascii="Times New Roman" w:eastAsia="SimSun" w:hAnsi="Times New Roman" w:cs="Mangal"/>
      <w:b/>
      <w:bCs/>
      <w:kern w:val="1"/>
      <w:sz w:val="20"/>
      <w:szCs w:val="18"/>
      <w:lang w:eastAsia="zh-CN" w:bidi="hi-IN"/>
    </w:rPr>
  </w:style>
  <w:style w:type="paragraph" w:styleId="Jutumullitekst">
    <w:name w:val="Balloon Text"/>
    <w:basedOn w:val="Normaallaad"/>
    <w:link w:val="JutumullitekstMrk"/>
    <w:uiPriority w:val="99"/>
    <w:semiHidden/>
    <w:unhideWhenUsed/>
    <w:rsid w:val="000C7792"/>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0C7792"/>
    <w:rPr>
      <w:rFonts w:ascii="Segoe UI" w:eastAsia="SimSun" w:hAnsi="Segoe UI" w:cs="Mangal"/>
      <w:kern w:val="1"/>
      <w:sz w:val="18"/>
      <w:szCs w:val="16"/>
      <w:lang w:eastAsia="zh-CN" w:bidi="hi-IN"/>
    </w:rPr>
  </w:style>
  <w:style w:type="character" w:styleId="Kohatitetekst">
    <w:name w:val="Placeholder Text"/>
    <w:basedOn w:val="Liguvaikefont"/>
    <w:uiPriority w:val="99"/>
    <w:semiHidden/>
    <w:rsid w:val="004211BF"/>
    <w:rPr>
      <w:color w:val="808080"/>
    </w:rPr>
  </w:style>
  <w:style w:type="paragraph" w:styleId="Redaktsioon">
    <w:name w:val="Revision"/>
    <w:hidden/>
    <w:uiPriority w:val="99"/>
    <w:semiHidden/>
    <w:rsid w:val="001A577C"/>
    <w:pPr>
      <w:spacing w:after="0" w:line="240" w:lineRule="auto"/>
    </w:pPr>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21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3846</Characters>
  <Application>Microsoft Office Word</Application>
  <DocSecurity>0</DocSecurity>
  <Lines>32</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Mariko Männa</dc:creator>
  <cp:keywords/>
  <dc:description/>
  <cp:lastModifiedBy>Merle Järve</cp:lastModifiedBy>
  <cp:revision>2</cp:revision>
  <cp:lastPrinted>2024-06-17T06:56:00Z</cp:lastPrinted>
  <dcterms:created xsi:type="dcterms:W3CDTF">2024-06-21T16:21:00Z</dcterms:created>
  <dcterms:modified xsi:type="dcterms:W3CDTF">2024-06-21T16:21:00Z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ga_secondsignerJobTitle">
    <vt:lpwstr>{teise allkirjastaja ametikoht}</vt:lpwstr>
  </property>
  <property fmtid="{D5CDD505-2E9C-101B-9397-08002B2CF9AE}" pid="7" name="delta_secondsignerName">
    <vt:lpwstr>{teine allkirjastaja}</vt:lpwstr>
  </property>
  <property fmtid="{D5CDD505-2E9C-101B-9397-08002B2CF9AE}" pid="8" name="delta_signerJobTitle">
    <vt:lpwstr>{ametikoht}</vt:lpwstr>
  </property>
  <property fmtid="{D5CDD505-2E9C-101B-9397-08002B2CF9AE}" pid="9" name="delta_secondsignerJobTitle">
    <vt:lpwstr>{teise allkirjastaja ametikoht}</vt:lpwstr>
  </property>
  <property fmtid="{D5CDD505-2E9C-101B-9397-08002B2CF9AE}" pid="10" name="MSIP_Label_defa4170-0d19-0005-0004-bc88714345d2_Enabled">
    <vt:lpwstr>true</vt:lpwstr>
  </property>
  <property fmtid="{D5CDD505-2E9C-101B-9397-08002B2CF9AE}" pid="11" name="MSIP_Label_defa4170-0d19-0005-0004-bc88714345d2_SetDate">
    <vt:lpwstr>2024-06-14T10:38:54Z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8fe098d2-428d-4bd4-9803-7195fe96f0e2</vt:lpwstr>
  </property>
  <property fmtid="{D5CDD505-2E9C-101B-9397-08002B2CF9AE}" pid="15" name="MSIP_Label_defa4170-0d19-0005-0004-bc88714345d2_ActionId">
    <vt:lpwstr>c7c17d9b-3461-4814-bf84-7797a38deeca</vt:lpwstr>
  </property>
  <property fmtid="{D5CDD505-2E9C-101B-9397-08002B2CF9AE}" pid="16" name="MSIP_Label_defa4170-0d19-0005-0004-bc88714345d2_ContentBits">
    <vt:lpwstr>0</vt:lpwstr>
  </property>
</Properties>
</file>