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F4D9AC" w14:textId="77777777" w:rsidR="00D65CBF" w:rsidRDefault="00D65CBF">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
        <w:tblW w:w="9071" w:type="dxa"/>
        <w:tblBorders>
          <w:top w:val="nil"/>
          <w:left w:val="nil"/>
          <w:bottom w:val="nil"/>
          <w:right w:val="nil"/>
          <w:insideH w:val="nil"/>
          <w:insideV w:val="nil"/>
        </w:tblBorders>
        <w:tblLayout w:type="fixed"/>
        <w:tblLook w:val="0400" w:firstRow="0" w:lastRow="0" w:firstColumn="0" w:lastColumn="0" w:noHBand="0" w:noVBand="1"/>
      </w:tblPr>
      <w:tblGrid>
        <w:gridCol w:w="4662"/>
        <w:gridCol w:w="4409"/>
      </w:tblGrid>
      <w:tr w:rsidR="00D65CBF" w14:paraId="4CC6492B" w14:textId="77777777">
        <w:tc>
          <w:tcPr>
            <w:tcW w:w="4662" w:type="dxa"/>
          </w:tcPr>
          <w:p w14:paraId="224F85E2" w14:textId="77777777" w:rsidR="00D65CBF" w:rsidRDefault="00250275">
            <w:pPr>
              <w:widowControl/>
              <w:spacing w:line="240" w:lineRule="auto"/>
              <w:jc w:val="left"/>
            </w:pPr>
            <w:r>
              <w:rPr>
                <w:noProof/>
              </w:rPr>
              <w:drawing>
                <wp:inline distT="0" distB="0" distL="0" distR="0" wp14:anchorId="7C005B34" wp14:editId="34B7D4D9">
                  <wp:extent cx="1733550" cy="914400"/>
                  <wp:effectExtent l="0" t="0" r="0" b="0"/>
                  <wp:docPr id="2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733550" cy="914400"/>
                          </a:xfrm>
                          <a:prstGeom prst="rect">
                            <a:avLst/>
                          </a:prstGeom>
                          <a:ln/>
                        </pic:spPr>
                      </pic:pic>
                    </a:graphicData>
                  </a:graphic>
                </wp:inline>
              </w:drawing>
            </w:r>
          </w:p>
        </w:tc>
        <w:tc>
          <w:tcPr>
            <w:tcW w:w="4409" w:type="dxa"/>
          </w:tcPr>
          <w:p w14:paraId="5FD0063E" w14:textId="77777777" w:rsidR="00D65CBF" w:rsidRDefault="00250275">
            <w:pPr>
              <w:widowControl/>
              <w:spacing w:line="240" w:lineRule="auto"/>
              <w:jc w:val="right"/>
              <w:rPr>
                <w:b/>
              </w:rPr>
            </w:pPr>
            <w:r>
              <w:rPr>
                <w:b/>
              </w:rPr>
              <w:t>KINNITATUD</w:t>
            </w:r>
          </w:p>
          <w:p w14:paraId="4A8C5BE1" w14:textId="77777777" w:rsidR="00D65CBF" w:rsidRDefault="00250275">
            <w:pPr>
              <w:widowControl/>
              <w:spacing w:line="240" w:lineRule="auto"/>
              <w:jc w:val="right"/>
            </w:pPr>
            <w:proofErr w:type="spellStart"/>
            <w:r>
              <w:t>Välisvahendite</w:t>
            </w:r>
            <w:proofErr w:type="spellEnd"/>
            <w:r>
              <w:t xml:space="preserve"> osakonna juhataja 13.09.2023 otsusega nr 1-24/136</w:t>
            </w:r>
          </w:p>
          <w:p w14:paraId="05AD9B09" w14:textId="77777777" w:rsidR="00D65CBF" w:rsidRDefault="00250275">
            <w:pPr>
              <w:widowControl/>
              <w:spacing w:line="240" w:lineRule="auto"/>
              <w:jc w:val="right"/>
            </w:pPr>
            <w:r>
              <w:t>„Perioodi 2021–2027 Euroopa Sotsiaalfondi meetme „Kodanikuühiskonna mõju suurendamine ja arengu toetamine“ vormide kinnitamine“</w:t>
            </w:r>
          </w:p>
          <w:p w14:paraId="70216901" w14:textId="77777777" w:rsidR="00D65CBF" w:rsidRDefault="00250275">
            <w:pPr>
              <w:widowControl/>
              <w:spacing w:line="240" w:lineRule="auto"/>
              <w:jc w:val="right"/>
            </w:pPr>
            <w:r>
              <w:t>LISA 1</w:t>
            </w:r>
          </w:p>
        </w:tc>
      </w:tr>
      <w:tr w:rsidR="00D65CBF" w14:paraId="719881AA" w14:textId="77777777">
        <w:tc>
          <w:tcPr>
            <w:tcW w:w="4662" w:type="dxa"/>
            <w:tcMar>
              <w:left w:w="108" w:type="dxa"/>
              <w:right w:w="108" w:type="dxa"/>
            </w:tcMar>
          </w:tcPr>
          <w:p w14:paraId="6DF1CF8F" w14:textId="77777777" w:rsidR="00D65CBF" w:rsidRDefault="00D65CBF">
            <w:pPr>
              <w:spacing w:line="240" w:lineRule="auto"/>
              <w:rPr>
                <w:b/>
              </w:rPr>
            </w:pPr>
          </w:p>
          <w:p w14:paraId="70B49217" w14:textId="77777777" w:rsidR="00D65CBF" w:rsidRDefault="00D65CBF">
            <w:pPr>
              <w:spacing w:line="240" w:lineRule="auto"/>
              <w:rPr>
                <w:b/>
              </w:rPr>
            </w:pPr>
          </w:p>
          <w:p w14:paraId="5A5560FC" w14:textId="77777777" w:rsidR="00D65CBF" w:rsidRDefault="00250275">
            <w:pPr>
              <w:spacing w:line="240" w:lineRule="auto"/>
            </w:pPr>
            <w:r>
              <w:rPr>
                <w:b/>
              </w:rPr>
              <w:t>Toetatavate tegevuste tegevuskava perioodil 01.01.-31.12.2025</w:t>
            </w:r>
            <w:r>
              <w:rPr>
                <w:b/>
                <w:vertAlign w:val="superscript"/>
              </w:rPr>
              <w:footnoteReference w:id="1"/>
            </w:r>
          </w:p>
          <w:p w14:paraId="18767B4A" w14:textId="77777777" w:rsidR="00D65CBF" w:rsidRDefault="00D65CBF">
            <w:pPr>
              <w:widowControl/>
              <w:spacing w:before="240" w:line="240" w:lineRule="auto"/>
              <w:jc w:val="left"/>
              <w:rPr>
                <w:b/>
              </w:rPr>
            </w:pPr>
          </w:p>
        </w:tc>
        <w:tc>
          <w:tcPr>
            <w:tcW w:w="4409" w:type="dxa"/>
            <w:tcMar>
              <w:left w:w="108" w:type="dxa"/>
              <w:right w:w="108" w:type="dxa"/>
            </w:tcMar>
          </w:tcPr>
          <w:p w14:paraId="14649443" w14:textId="77777777" w:rsidR="00D65CBF" w:rsidRDefault="00D65CBF">
            <w:pPr>
              <w:widowControl/>
              <w:spacing w:line="240" w:lineRule="auto"/>
              <w:jc w:val="right"/>
              <w:rPr>
                <w:b/>
              </w:rPr>
            </w:pPr>
          </w:p>
        </w:tc>
      </w:tr>
    </w:tbl>
    <w:p w14:paraId="02B340DC" w14:textId="77777777" w:rsidR="00D65CBF" w:rsidRDefault="00250275">
      <w:pPr>
        <w:pStyle w:val="Heading2"/>
        <w:keepLines w:val="0"/>
        <w:widowControl/>
        <w:numPr>
          <w:ilvl w:val="0"/>
          <w:numId w:val="1"/>
        </w:numPr>
        <w:tabs>
          <w:tab w:val="left" w:pos="426"/>
        </w:tabs>
        <w:spacing w:before="240" w:after="60" w:line="240" w:lineRule="auto"/>
        <w:ind w:left="0" w:firstLine="0"/>
        <w:rPr>
          <w:rFonts w:ascii="Cambria" w:eastAsia="Cambria" w:hAnsi="Cambria" w:cs="Cambria"/>
          <w:b/>
          <w:i/>
          <w:color w:val="000000"/>
          <w:sz w:val="24"/>
          <w:szCs w:val="24"/>
        </w:rPr>
      </w:pPr>
      <w:r>
        <w:rPr>
          <w:rFonts w:ascii="Cambria" w:eastAsia="Cambria" w:hAnsi="Cambria" w:cs="Cambria"/>
          <w:b/>
          <w:color w:val="000000"/>
          <w:sz w:val="24"/>
          <w:szCs w:val="24"/>
        </w:rPr>
        <w:t>Toetatav tegevus 2.1: Süsteemse kogukonnapõhise laste ja noorte kaasamismudeli arendamine</w:t>
      </w:r>
    </w:p>
    <w:p w14:paraId="31CBF331" w14:textId="77777777" w:rsidR="00D65CBF" w:rsidRDefault="00250275">
      <w:pPr>
        <w:pStyle w:val="Heading2"/>
        <w:keepLines w:val="0"/>
        <w:widowControl/>
        <w:numPr>
          <w:ilvl w:val="1"/>
          <w:numId w:val="1"/>
        </w:numPr>
        <w:tabs>
          <w:tab w:val="left" w:pos="426"/>
        </w:tabs>
        <w:spacing w:before="240" w:after="60" w:line="240" w:lineRule="auto"/>
        <w:ind w:left="851" w:hanging="851"/>
        <w:rPr>
          <w:b/>
          <w:i/>
          <w:color w:val="000000"/>
          <w:sz w:val="24"/>
          <w:szCs w:val="24"/>
        </w:rPr>
      </w:pPr>
      <w:r>
        <w:rPr>
          <w:b/>
          <w:color w:val="000000"/>
          <w:sz w:val="24"/>
          <w:szCs w:val="24"/>
        </w:rPr>
        <w:t>Alategevus: Arenguprogrammi välja töötamine ja läbi viimine</w:t>
      </w:r>
    </w:p>
    <w:p w14:paraId="783D6C47" w14:textId="77777777" w:rsidR="00D65CBF" w:rsidRDefault="00250275">
      <w:pPr>
        <w:numPr>
          <w:ilvl w:val="2"/>
          <w:numId w:val="1"/>
        </w:numPr>
        <w:pBdr>
          <w:top w:val="nil"/>
          <w:left w:val="nil"/>
          <w:bottom w:val="nil"/>
          <w:right w:val="nil"/>
          <w:between w:val="nil"/>
        </w:pBdr>
        <w:spacing w:line="240" w:lineRule="auto"/>
        <w:rPr>
          <w:rFonts w:eastAsia="Times New Roman"/>
          <w:b/>
          <w:color w:val="000000"/>
        </w:rPr>
      </w:pPr>
      <w:r>
        <w:rPr>
          <w:rFonts w:eastAsia="Times New Roman"/>
          <w:b/>
          <w:color w:val="000000"/>
        </w:rPr>
        <w:t>Arenguprogrammi välja töötamine</w:t>
      </w:r>
    </w:p>
    <w:p w14:paraId="676FC997" w14:textId="77777777" w:rsidR="00D65CBF" w:rsidRDefault="00D65CBF">
      <w:pPr>
        <w:spacing w:line="240" w:lineRule="auto"/>
        <w:rPr>
          <w:highlight w:val="white"/>
        </w:rPr>
      </w:pPr>
    </w:p>
    <w:p w14:paraId="469591FA" w14:textId="580791D8" w:rsidR="00D65CBF" w:rsidRDefault="6E12ED79" w:rsidP="68482FDB">
      <w:pPr>
        <w:spacing w:line="240" w:lineRule="auto"/>
        <w:rPr>
          <w:highlight w:val="white"/>
        </w:rPr>
      </w:pPr>
      <w:r w:rsidRPr="3320956D">
        <w:rPr>
          <w:highlight w:val="white"/>
        </w:rPr>
        <w:t xml:space="preserve">Arenguprogramm töötati välja </w:t>
      </w:r>
      <w:r w:rsidR="3CA875CB" w:rsidRPr="3320956D">
        <w:rPr>
          <w:highlight w:val="white"/>
        </w:rPr>
        <w:t>2024. aastal</w:t>
      </w:r>
      <w:r w:rsidRPr="3320956D">
        <w:rPr>
          <w:highlight w:val="white"/>
        </w:rPr>
        <w:t xml:space="preserve"> ja see viiakse esimest korda läbi </w:t>
      </w:r>
      <w:r w:rsidR="3CA875CB" w:rsidRPr="3320956D">
        <w:rPr>
          <w:highlight w:val="white"/>
        </w:rPr>
        <w:t>aastal 2025</w:t>
      </w:r>
      <w:r w:rsidRPr="3320956D">
        <w:rPr>
          <w:highlight w:val="white"/>
        </w:rPr>
        <w:t xml:space="preserve">. </w:t>
      </w:r>
      <w:r w:rsidR="76D786FD" w:rsidRPr="3320956D">
        <w:rPr>
          <w:highlight w:val="white"/>
        </w:rPr>
        <w:t>Peale arenguprogrammi esmakordset läbiviimist kutsu</w:t>
      </w:r>
      <w:r w:rsidR="00B353BB" w:rsidRPr="3320956D">
        <w:rPr>
          <w:highlight w:val="white"/>
        </w:rPr>
        <w:t>b elluviija</w:t>
      </w:r>
      <w:r w:rsidR="25AC9B59" w:rsidRPr="3320956D">
        <w:rPr>
          <w:highlight w:val="white"/>
        </w:rPr>
        <w:t xml:space="preserve"> 2025. a</w:t>
      </w:r>
      <w:r w:rsidR="00B353BB" w:rsidRPr="3320956D">
        <w:rPr>
          <w:highlight w:val="white"/>
        </w:rPr>
        <w:t xml:space="preserve"> </w:t>
      </w:r>
      <w:r w:rsidR="413D5C02" w:rsidRPr="3320956D">
        <w:rPr>
          <w:highlight w:val="white"/>
        </w:rPr>
        <w:t xml:space="preserve">taas </w:t>
      </w:r>
      <w:r w:rsidR="76D786FD" w:rsidRPr="3320956D">
        <w:rPr>
          <w:highlight w:val="white"/>
        </w:rPr>
        <w:t xml:space="preserve">kokku </w:t>
      </w:r>
      <w:r w:rsidR="413D5C02" w:rsidRPr="3320956D">
        <w:rPr>
          <w:highlight w:val="white"/>
        </w:rPr>
        <w:t xml:space="preserve">2024. aasta alguses moodustatud </w:t>
      </w:r>
      <w:r w:rsidR="76D786FD" w:rsidRPr="3320956D">
        <w:rPr>
          <w:highlight w:val="white"/>
        </w:rPr>
        <w:t>töögrup</w:t>
      </w:r>
      <w:r w:rsidR="00B353BB" w:rsidRPr="3320956D">
        <w:rPr>
          <w:highlight w:val="white"/>
        </w:rPr>
        <w:t>i</w:t>
      </w:r>
      <w:r w:rsidR="00523505">
        <w:rPr>
          <w:highlight w:val="white"/>
        </w:rPr>
        <w:t xml:space="preserve"> (edaspidi AP töögrupp)</w:t>
      </w:r>
      <w:r w:rsidR="76D786FD" w:rsidRPr="3320956D">
        <w:rPr>
          <w:highlight w:val="white"/>
        </w:rPr>
        <w:t>, kes arenguprogrammi välja töötamiseks esialgse mudeli kokku pani.</w:t>
      </w:r>
      <w:r w:rsidR="3CA875CB" w:rsidRPr="3320956D">
        <w:rPr>
          <w:highlight w:val="white"/>
        </w:rPr>
        <w:t xml:space="preserve"> </w:t>
      </w:r>
      <w:r w:rsidR="00523505">
        <w:rPr>
          <w:highlight w:val="white"/>
        </w:rPr>
        <w:t>AP t</w:t>
      </w:r>
      <w:r w:rsidR="3CA875CB" w:rsidRPr="3320956D">
        <w:rPr>
          <w:highlight w:val="white"/>
        </w:rPr>
        <w:t>öögru</w:t>
      </w:r>
      <w:r w:rsidR="758EFBD4" w:rsidRPr="3320956D">
        <w:rPr>
          <w:highlight w:val="white"/>
        </w:rPr>
        <w:t>p</w:t>
      </w:r>
      <w:r w:rsidR="3CA875CB" w:rsidRPr="3320956D">
        <w:rPr>
          <w:highlight w:val="white"/>
        </w:rPr>
        <w:t xml:space="preserve">pi </w:t>
      </w:r>
      <w:r w:rsidR="413D5C02" w:rsidRPr="3320956D">
        <w:rPr>
          <w:highlight w:val="white"/>
        </w:rPr>
        <w:t xml:space="preserve">on kaasatud </w:t>
      </w:r>
      <w:r w:rsidR="3CA875CB" w:rsidRPr="3320956D">
        <w:rPr>
          <w:highlight w:val="white"/>
        </w:rPr>
        <w:t>erinevaid projekti seisukohast olulisi osapooli.</w:t>
      </w:r>
      <w:r w:rsidR="2E146568" w:rsidRPr="3320956D">
        <w:rPr>
          <w:highlight w:val="white"/>
        </w:rPr>
        <w:t xml:space="preserve"> </w:t>
      </w:r>
      <w:r w:rsidR="00523505">
        <w:rPr>
          <w:highlight w:val="white"/>
        </w:rPr>
        <w:t>AP t</w:t>
      </w:r>
      <w:r w:rsidR="2E146568" w:rsidRPr="3320956D">
        <w:rPr>
          <w:highlight w:val="white"/>
        </w:rPr>
        <w:t xml:space="preserve">öögrupis on esindatud kaasamisekspert, </w:t>
      </w:r>
      <w:r w:rsidR="3CE3F16A" w:rsidRPr="3320956D">
        <w:rPr>
          <w:highlight w:val="white"/>
        </w:rPr>
        <w:t>m</w:t>
      </w:r>
      <w:r w:rsidR="62553DD5" w:rsidRPr="3320956D">
        <w:rPr>
          <w:highlight w:val="white"/>
        </w:rPr>
        <w:t xml:space="preserve">aakondlike arenduskeskuste </w:t>
      </w:r>
      <w:r w:rsidR="1D70DE76" w:rsidRPr="3320956D">
        <w:rPr>
          <w:highlight w:val="white"/>
        </w:rPr>
        <w:t xml:space="preserve">(edaspidi </w:t>
      </w:r>
      <w:r w:rsidR="1D70DE76" w:rsidRPr="3320956D">
        <w:rPr>
          <w:i/>
          <w:iCs/>
          <w:highlight w:val="white"/>
        </w:rPr>
        <w:t>MAK</w:t>
      </w:r>
      <w:r w:rsidR="1D70DE76" w:rsidRPr="3320956D">
        <w:rPr>
          <w:highlight w:val="white"/>
        </w:rPr>
        <w:t xml:space="preserve">) </w:t>
      </w:r>
      <w:r w:rsidR="62553DD5" w:rsidRPr="3320956D">
        <w:rPr>
          <w:highlight w:val="white"/>
        </w:rPr>
        <w:t xml:space="preserve">vabaühenduste </w:t>
      </w:r>
      <w:r w:rsidR="3C7D47E6" w:rsidRPr="3320956D">
        <w:rPr>
          <w:highlight w:val="white"/>
        </w:rPr>
        <w:t xml:space="preserve"> </w:t>
      </w:r>
      <w:r w:rsidR="62553DD5" w:rsidRPr="3320956D">
        <w:rPr>
          <w:highlight w:val="white"/>
        </w:rPr>
        <w:t>konsultant</w:t>
      </w:r>
      <w:r w:rsidR="2E146568" w:rsidRPr="3320956D">
        <w:rPr>
          <w:highlight w:val="white"/>
        </w:rPr>
        <w:t xml:space="preserve">, MAK koordinaator, kaardistusekspert, koolitusekspert ja </w:t>
      </w:r>
      <w:proofErr w:type="spellStart"/>
      <w:r w:rsidR="2E146568" w:rsidRPr="3320956D">
        <w:rPr>
          <w:highlight w:val="white"/>
        </w:rPr>
        <w:t>KÜSKi</w:t>
      </w:r>
      <w:proofErr w:type="spellEnd"/>
      <w:r w:rsidR="2E146568" w:rsidRPr="3320956D">
        <w:rPr>
          <w:highlight w:val="white"/>
        </w:rPr>
        <w:t xml:space="preserve"> esindaja. </w:t>
      </w:r>
      <w:r w:rsidR="00523505">
        <w:rPr>
          <w:highlight w:val="white"/>
        </w:rPr>
        <w:t>AP t</w:t>
      </w:r>
      <w:r w:rsidR="2E146568" w:rsidRPr="3320956D">
        <w:rPr>
          <w:highlight w:val="white"/>
        </w:rPr>
        <w:t xml:space="preserve">öögrupi juures saavad kaasa rääkida ka </w:t>
      </w:r>
      <w:r w:rsidR="6AAE532E" w:rsidRPr="3320956D">
        <w:rPr>
          <w:highlight w:val="white"/>
        </w:rPr>
        <w:t xml:space="preserve">nn </w:t>
      </w:r>
      <w:r w:rsidR="2E146568" w:rsidRPr="3320956D">
        <w:rPr>
          <w:highlight w:val="white"/>
        </w:rPr>
        <w:t xml:space="preserve">vabakuulajad, kellele on antud juurdepääs </w:t>
      </w:r>
      <w:r w:rsidR="00523505">
        <w:rPr>
          <w:highlight w:val="white"/>
        </w:rPr>
        <w:t xml:space="preserve">AP </w:t>
      </w:r>
      <w:r w:rsidR="2E146568" w:rsidRPr="3320956D">
        <w:rPr>
          <w:highlight w:val="white"/>
        </w:rPr>
        <w:t>töögrupi dokumentidele ja võimalus</w:t>
      </w:r>
      <w:r w:rsidR="0E8DD86C" w:rsidRPr="3320956D">
        <w:rPr>
          <w:highlight w:val="white"/>
        </w:rPr>
        <w:t xml:space="preserve"> soovi korral</w:t>
      </w:r>
      <w:r w:rsidR="2E146568" w:rsidRPr="3320956D">
        <w:rPr>
          <w:highlight w:val="white"/>
        </w:rPr>
        <w:t xml:space="preserve"> osaleda </w:t>
      </w:r>
      <w:r w:rsidR="00523505">
        <w:rPr>
          <w:highlight w:val="white"/>
        </w:rPr>
        <w:t xml:space="preserve">AP </w:t>
      </w:r>
      <w:r w:rsidR="2E146568" w:rsidRPr="3320956D">
        <w:rPr>
          <w:highlight w:val="white"/>
        </w:rPr>
        <w:t xml:space="preserve">töögrupi tööprotsessis. Vabakuulajate roll on anda tagasisidet </w:t>
      </w:r>
      <w:r w:rsidR="00523505">
        <w:rPr>
          <w:highlight w:val="white"/>
        </w:rPr>
        <w:t xml:space="preserve">AP </w:t>
      </w:r>
      <w:r w:rsidR="2E146568" w:rsidRPr="3320956D">
        <w:rPr>
          <w:highlight w:val="white"/>
        </w:rPr>
        <w:t>töögrupi tööle ja esindada noorte huve. Vabakuulaja</w:t>
      </w:r>
      <w:r w:rsidR="27046A72" w:rsidRPr="3320956D">
        <w:rPr>
          <w:highlight w:val="white"/>
        </w:rPr>
        <w:t>ks olemise</w:t>
      </w:r>
      <w:r w:rsidR="2E146568" w:rsidRPr="3320956D">
        <w:rPr>
          <w:highlight w:val="white"/>
        </w:rPr>
        <w:t xml:space="preserve"> võimalus on antud üle</w:t>
      </w:r>
      <w:r w:rsidR="4D43F94A" w:rsidRPr="3320956D">
        <w:rPr>
          <w:highlight w:val="white"/>
        </w:rPr>
        <w:t>-</w:t>
      </w:r>
      <w:r w:rsidR="2E146568" w:rsidRPr="3320956D">
        <w:rPr>
          <w:highlight w:val="white"/>
        </w:rPr>
        <w:t>eestilistele noorteorganisatsioonidele ja Siseministeeriumi esindajale.</w:t>
      </w:r>
      <w:r w:rsidR="00523505">
        <w:rPr>
          <w:highlight w:val="white"/>
        </w:rPr>
        <w:t xml:space="preserve"> AP</w:t>
      </w:r>
      <w:r w:rsidR="0416BB4C" w:rsidRPr="3320956D">
        <w:rPr>
          <w:highlight w:val="white"/>
        </w:rPr>
        <w:t xml:space="preserve"> </w:t>
      </w:r>
      <w:r w:rsidR="00523505">
        <w:rPr>
          <w:highlight w:val="white"/>
        </w:rPr>
        <w:t>t</w:t>
      </w:r>
      <w:r w:rsidR="76D786FD" w:rsidRPr="3320956D">
        <w:rPr>
          <w:highlight w:val="white"/>
        </w:rPr>
        <w:t>öögrupp hindab peale arenguprogrammi esmakordset lõppemist</w:t>
      </w:r>
      <w:r w:rsidR="2E146568" w:rsidRPr="3320956D">
        <w:rPr>
          <w:highlight w:val="white"/>
        </w:rPr>
        <w:t xml:space="preserve"> 2024. aastal riigihankega leitud</w:t>
      </w:r>
      <w:r w:rsidR="413D5C02" w:rsidRPr="3320956D">
        <w:rPr>
          <w:highlight w:val="white"/>
        </w:rPr>
        <w:t xml:space="preserve"> arenguprogrammi läbiviija</w:t>
      </w:r>
      <w:r w:rsidR="76D786FD" w:rsidRPr="3320956D">
        <w:rPr>
          <w:highlight w:val="white"/>
        </w:rPr>
        <w:t xml:space="preserve"> </w:t>
      </w:r>
      <w:r w:rsidR="498D1065" w:rsidRPr="3320956D">
        <w:rPr>
          <w:highlight w:val="white"/>
        </w:rPr>
        <w:t>(</w:t>
      </w:r>
      <w:r w:rsidR="3CA875CB" w:rsidRPr="3320956D">
        <w:rPr>
          <w:highlight w:val="white"/>
        </w:rPr>
        <w:t xml:space="preserve">Teaduse ja Kultuuri SA </w:t>
      </w:r>
      <w:proofErr w:type="spellStart"/>
      <w:r w:rsidR="3CA875CB" w:rsidRPr="3320956D">
        <w:rPr>
          <w:highlight w:val="white"/>
        </w:rPr>
        <w:t>Domus</w:t>
      </w:r>
      <w:proofErr w:type="spellEnd"/>
      <w:r w:rsidR="3CA875CB" w:rsidRPr="3320956D">
        <w:rPr>
          <w:highlight w:val="white"/>
        </w:rPr>
        <w:t xml:space="preserve"> </w:t>
      </w:r>
      <w:proofErr w:type="spellStart"/>
      <w:r w:rsidR="3CA875CB" w:rsidRPr="3320956D">
        <w:rPr>
          <w:highlight w:val="white"/>
        </w:rPr>
        <w:t>Dorpatensis</w:t>
      </w:r>
      <w:proofErr w:type="spellEnd"/>
      <w:r w:rsidR="2F1C2457" w:rsidRPr="3320956D">
        <w:rPr>
          <w:highlight w:val="white"/>
        </w:rPr>
        <w:t>)</w:t>
      </w:r>
      <w:r w:rsidR="3CA875CB" w:rsidRPr="3320956D">
        <w:rPr>
          <w:highlight w:val="white"/>
        </w:rPr>
        <w:t xml:space="preserve"> </w:t>
      </w:r>
      <w:r w:rsidR="76D786FD" w:rsidRPr="3320956D">
        <w:rPr>
          <w:highlight w:val="white"/>
        </w:rPr>
        <w:t>ettepanekuid</w:t>
      </w:r>
      <w:r w:rsidR="00B353BB" w:rsidRPr="3320956D">
        <w:rPr>
          <w:highlight w:val="white"/>
        </w:rPr>
        <w:t>, osalejate tagasiside</w:t>
      </w:r>
      <w:r w:rsidR="3CA875CB" w:rsidRPr="3320956D">
        <w:rPr>
          <w:highlight w:val="white"/>
        </w:rPr>
        <w:t>t</w:t>
      </w:r>
      <w:r w:rsidR="76D786FD" w:rsidRPr="3320956D">
        <w:rPr>
          <w:highlight w:val="white"/>
        </w:rPr>
        <w:t xml:space="preserve"> ja teisi võimalikke sisendeid, mis arenguprogrammi läbides tekkisid</w:t>
      </w:r>
      <w:r w:rsidR="3CA875CB" w:rsidRPr="3320956D">
        <w:rPr>
          <w:highlight w:val="white"/>
        </w:rPr>
        <w:t>. Tagasiside kaudu</w:t>
      </w:r>
      <w:r w:rsidR="2E146568" w:rsidRPr="3320956D">
        <w:rPr>
          <w:highlight w:val="white"/>
        </w:rPr>
        <w:t xml:space="preserve"> </w:t>
      </w:r>
      <w:r w:rsidR="5C58AC4D" w:rsidRPr="3320956D">
        <w:rPr>
          <w:highlight w:val="white"/>
        </w:rPr>
        <w:t>teeb</w:t>
      </w:r>
      <w:r w:rsidR="2E146568" w:rsidRPr="3320956D">
        <w:rPr>
          <w:highlight w:val="white"/>
        </w:rPr>
        <w:t xml:space="preserve"> </w:t>
      </w:r>
      <w:r w:rsidR="00523505">
        <w:rPr>
          <w:highlight w:val="white"/>
        </w:rPr>
        <w:t xml:space="preserve">AP </w:t>
      </w:r>
      <w:r w:rsidR="2E146568" w:rsidRPr="3320956D">
        <w:rPr>
          <w:highlight w:val="white"/>
        </w:rPr>
        <w:t>töögrupp</w:t>
      </w:r>
      <w:r w:rsidR="5C58AC4D" w:rsidRPr="3320956D">
        <w:rPr>
          <w:highlight w:val="white"/>
        </w:rPr>
        <w:t xml:space="preserve"> </w:t>
      </w:r>
      <w:r w:rsidR="76D786FD" w:rsidRPr="3320956D">
        <w:rPr>
          <w:highlight w:val="white"/>
        </w:rPr>
        <w:t>muudatuse</w:t>
      </w:r>
      <w:r w:rsidR="00B353BB" w:rsidRPr="3320956D">
        <w:rPr>
          <w:highlight w:val="white"/>
        </w:rPr>
        <w:t>ettepaneku</w:t>
      </w:r>
      <w:r w:rsidR="3FE49B14" w:rsidRPr="3320956D">
        <w:rPr>
          <w:highlight w:val="white"/>
        </w:rPr>
        <w:t>i</w:t>
      </w:r>
      <w:r w:rsidR="76D786FD" w:rsidRPr="3320956D">
        <w:rPr>
          <w:highlight w:val="white"/>
        </w:rPr>
        <w:t>d hanke tehnilisse kirjeldusse, et valmistada ette järgmi</w:t>
      </w:r>
      <w:r w:rsidR="2E146568" w:rsidRPr="3320956D">
        <w:rPr>
          <w:highlight w:val="white"/>
        </w:rPr>
        <w:t>n</w:t>
      </w:r>
      <w:r w:rsidR="76D786FD" w:rsidRPr="3320956D">
        <w:rPr>
          <w:highlight w:val="white"/>
        </w:rPr>
        <w:t>e</w:t>
      </w:r>
      <w:r w:rsidR="3CA875CB" w:rsidRPr="3320956D">
        <w:rPr>
          <w:highlight w:val="white"/>
        </w:rPr>
        <w:t xml:space="preserve">, </w:t>
      </w:r>
      <w:r w:rsidR="5DD38999" w:rsidRPr="3320956D">
        <w:rPr>
          <w:highlight w:val="white"/>
        </w:rPr>
        <w:t xml:space="preserve">ajakohastatud </w:t>
      </w:r>
      <w:r w:rsidR="76D786FD" w:rsidRPr="3320956D">
        <w:rPr>
          <w:highlight w:val="white"/>
        </w:rPr>
        <w:t>arenguprogramm</w:t>
      </w:r>
      <w:r w:rsidR="413D5C02" w:rsidRPr="3320956D">
        <w:rPr>
          <w:highlight w:val="white"/>
        </w:rPr>
        <w:t>, mida läbivad järgmised vabaühenduste nõustamisega tegelevad isikud.</w:t>
      </w:r>
      <w:r w:rsidR="76D786FD" w:rsidRPr="3320956D">
        <w:rPr>
          <w:highlight w:val="white"/>
        </w:rPr>
        <w:t xml:space="preserve"> </w:t>
      </w:r>
      <w:r w:rsidR="796D6787" w:rsidRPr="3320956D">
        <w:rPr>
          <w:highlight w:val="white"/>
        </w:rPr>
        <w:t xml:space="preserve"> </w:t>
      </w:r>
      <w:r w:rsidR="76D786FD" w:rsidRPr="3320956D">
        <w:rPr>
          <w:highlight w:val="white"/>
        </w:rPr>
        <w:t xml:space="preserve"> </w:t>
      </w:r>
    </w:p>
    <w:p w14:paraId="730E01C7" w14:textId="42E75D41" w:rsidR="00D65CBF" w:rsidRDefault="00D65CBF">
      <w:pPr>
        <w:spacing w:line="240" w:lineRule="auto"/>
        <w:rPr>
          <w:highlight w:val="white"/>
        </w:rPr>
      </w:pPr>
    </w:p>
    <w:p w14:paraId="7B6726F3" w14:textId="5EF5C034" w:rsidR="00D65CBF" w:rsidRDefault="00523505">
      <w:pPr>
        <w:spacing w:line="240" w:lineRule="auto"/>
        <w:rPr>
          <w:highlight w:val="white"/>
        </w:rPr>
      </w:pPr>
      <w:r>
        <w:rPr>
          <w:highlight w:val="white"/>
        </w:rPr>
        <w:t>AP t</w:t>
      </w:r>
      <w:r w:rsidR="796D6787" w:rsidRPr="3C7F867A">
        <w:rPr>
          <w:highlight w:val="white"/>
        </w:rPr>
        <w:t>öögrupi k</w:t>
      </w:r>
      <w:r w:rsidR="76D786FD" w:rsidRPr="3C7F867A">
        <w:rPr>
          <w:highlight w:val="white"/>
        </w:rPr>
        <w:t xml:space="preserve">aardistuseksperdil on  arenguprogrammi lähteülesande koostaja roll. </w:t>
      </w:r>
      <w:r>
        <w:rPr>
          <w:highlight w:val="white"/>
        </w:rPr>
        <w:t>AP t</w:t>
      </w:r>
      <w:r w:rsidR="76D786FD" w:rsidRPr="3C7F867A">
        <w:rPr>
          <w:highlight w:val="white"/>
        </w:rPr>
        <w:t>öögrupiga koostöös</w:t>
      </w:r>
      <w:r w:rsidR="69C08528" w:rsidRPr="3C7F867A">
        <w:rPr>
          <w:highlight w:val="white"/>
        </w:rPr>
        <w:t xml:space="preserve"> ajakohastab</w:t>
      </w:r>
      <w:r w:rsidR="76D786FD" w:rsidRPr="3C7F867A">
        <w:rPr>
          <w:highlight w:val="white"/>
        </w:rPr>
        <w:t xml:space="preserve">  kaardistusekspert juba olemasolevat lähteülesannet esmase läb</w:t>
      </w:r>
      <w:r w:rsidR="14618A2D" w:rsidRPr="3C7F867A">
        <w:rPr>
          <w:highlight w:val="white"/>
        </w:rPr>
        <w:t>i</w:t>
      </w:r>
      <w:r w:rsidR="76D786FD" w:rsidRPr="3C7F867A">
        <w:rPr>
          <w:highlight w:val="white"/>
        </w:rPr>
        <w:t xml:space="preserve">viimise järgselt nii teenusepakkujalt kui ka programmis osalejatelt </w:t>
      </w:r>
      <w:r w:rsidR="14618A2D" w:rsidRPr="3C7F867A">
        <w:rPr>
          <w:highlight w:val="white"/>
        </w:rPr>
        <w:t xml:space="preserve">saadud </w:t>
      </w:r>
      <w:r w:rsidR="76D786FD" w:rsidRPr="3C7F867A">
        <w:rPr>
          <w:highlight w:val="white"/>
        </w:rPr>
        <w:t xml:space="preserve">sisendi ja </w:t>
      </w:r>
      <w:r>
        <w:rPr>
          <w:highlight w:val="white"/>
        </w:rPr>
        <w:t xml:space="preserve">AP </w:t>
      </w:r>
      <w:r w:rsidR="76D786FD" w:rsidRPr="3C7F867A">
        <w:rPr>
          <w:highlight w:val="white"/>
        </w:rPr>
        <w:t xml:space="preserve">töögrupi arvamuse </w:t>
      </w:r>
      <w:r w:rsidR="14618A2D" w:rsidRPr="3C7F867A">
        <w:rPr>
          <w:highlight w:val="white"/>
        </w:rPr>
        <w:t>alusel</w:t>
      </w:r>
      <w:r w:rsidR="76D786FD" w:rsidRPr="3C7F867A">
        <w:rPr>
          <w:highlight w:val="white"/>
        </w:rPr>
        <w:t xml:space="preserve">. Vajadusel viib kaardistusekspert läbi täiendavaid kohtumisi ja arutelusid </w:t>
      </w:r>
      <w:r w:rsidR="4E255AFC" w:rsidRPr="3C7F867A">
        <w:rPr>
          <w:highlight w:val="white"/>
        </w:rPr>
        <w:t>MAK</w:t>
      </w:r>
      <w:r w:rsidR="76D786FD" w:rsidRPr="3C7F867A">
        <w:rPr>
          <w:highlight w:val="white"/>
        </w:rPr>
        <w:t xml:space="preserve"> konsultantide ja maakondliku kodanikuühiskonna nõustamisteenusega seotud isikutega eesmärgiga selgitada välja arenguvajadused nõustamisteenuse kvaliteetseks osutamiseks ja noorte kogukonnapõhiseks kaasamiseks. </w:t>
      </w:r>
      <w:r w:rsidR="796D6787" w:rsidRPr="3C7F867A">
        <w:rPr>
          <w:highlight w:val="white"/>
        </w:rPr>
        <w:t>Riigihanke l</w:t>
      </w:r>
      <w:r w:rsidR="76D786FD" w:rsidRPr="3C7F867A">
        <w:rPr>
          <w:highlight w:val="white"/>
        </w:rPr>
        <w:t xml:space="preserve">ähteülesande </w:t>
      </w:r>
      <w:r w:rsidR="00BD959C" w:rsidRPr="3C7F867A">
        <w:rPr>
          <w:highlight w:val="white"/>
        </w:rPr>
        <w:t xml:space="preserve">alusel koostab elluviija  riigihanke alusdokumentide tehnilise kirjelduse. Riigihanke </w:t>
      </w:r>
      <w:r w:rsidR="76D786FD" w:rsidRPr="3C7F867A">
        <w:rPr>
          <w:highlight w:val="white"/>
        </w:rPr>
        <w:t xml:space="preserve">eesmärk on </w:t>
      </w:r>
      <w:r w:rsidR="0E5EE747" w:rsidRPr="3C7F867A">
        <w:rPr>
          <w:highlight w:val="white"/>
        </w:rPr>
        <w:t xml:space="preserve">sarnaselt </w:t>
      </w:r>
      <w:r w:rsidR="796D6787" w:rsidRPr="3C7F867A">
        <w:rPr>
          <w:highlight w:val="white"/>
        </w:rPr>
        <w:t xml:space="preserve">2024. aastal korraldatud </w:t>
      </w:r>
      <w:r w:rsidR="0E5EE747" w:rsidRPr="3C7F867A">
        <w:rPr>
          <w:highlight w:val="white"/>
        </w:rPr>
        <w:t xml:space="preserve">hankega </w:t>
      </w:r>
      <w:r w:rsidR="76D786FD" w:rsidRPr="3C7F867A">
        <w:rPr>
          <w:highlight w:val="white"/>
        </w:rPr>
        <w:t>maakondlike kodanikuühiskonna konsultantide kompetentsid</w:t>
      </w:r>
      <w:r w:rsidR="5DD38999" w:rsidRPr="3C7F867A">
        <w:rPr>
          <w:highlight w:val="white"/>
        </w:rPr>
        <w:t xml:space="preserve">e arendamine </w:t>
      </w:r>
      <w:r w:rsidR="76D786FD" w:rsidRPr="3C7F867A">
        <w:rPr>
          <w:highlight w:val="white"/>
        </w:rPr>
        <w:t xml:space="preserve">nõustamisteenuse kvaliteetseks osutamiseks, et edendada </w:t>
      </w:r>
      <w:r w:rsidR="796D6787" w:rsidRPr="3C7F867A">
        <w:rPr>
          <w:highlight w:val="white"/>
        </w:rPr>
        <w:t xml:space="preserve">laste ja </w:t>
      </w:r>
      <w:r w:rsidR="76D786FD" w:rsidRPr="3C7F867A">
        <w:rPr>
          <w:highlight w:val="white"/>
        </w:rPr>
        <w:t xml:space="preserve">noorte kogukonnapõhist kaasamist. Arenguprogrammi </w:t>
      </w:r>
      <w:r w:rsidR="3FE49B14" w:rsidRPr="3C7F867A">
        <w:rPr>
          <w:highlight w:val="white"/>
        </w:rPr>
        <w:t xml:space="preserve">ajakohastatud </w:t>
      </w:r>
      <w:r w:rsidR="76D786FD" w:rsidRPr="3C7F867A">
        <w:rPr>
          <w:highlight w:val="white"/>
        </w:rPr>
        <w:t xml:space="preserve">lähteülesanne valmib </w:t>
      </w:r>
      <w:r w:rsidR="76D786FD" w:rsidRPr="3C7F867A">
        <w:rPr>
          <w:highlight w:val="white"/>
        </w:rPr>
        <w:lastRenderedPageBreak/>
        <w:t>2025. aasta lõpuks</w:t>
      </w:r>
      <w:r w:rsidR="796D6787" w:rsidRPr="3C7F867A">
        <w:rPr>
          <w:highlight w:val="white"/>
        </w:rPr>
        <w:t xml:space="preserve"> ja </w:t>
      </w:r>
      <w:r w:rsidR="52B1D017" w:rsidRPr="3C7F867A">
        <w:rPr>
          <w:highlight w:val="white"/>
        </w:rPr>
        <w:t xml:space="preserve">2026. </w:t>
      </w:r>
      <w:r w:rsidR="157E9E54" w:rsidRPr="3C7F867A">
        <w:rPr>
          <w:highlight w:val="white"/>
        </w:rPr>
        <w:t>a</w:t>
      </w:r>
      <w:r w:rsidR="52B1D017" w:rsidRPr="3C7F867A">
        <w:rPr>
          <w:highlight w:val="white"/>
        </w:rPr>
        <w:t xml:space="preserve">astal </w:t>
      </w:r>
      <w:r w:rsidR="796D6787" w:rsidRPr="3C7F867A">
        <w:rPr>
          <w:highlight w:val="white"/>
        </w:rPr>
        <w:t>kuulutatakse välja hange arenguprogrammi teistkordseks läbiviimiseks.</w:t>
      </w:r>
    </w:p>
    <w:p w14:paraId="3F4E3BA1" w14:textId="55B51DF1" w:rsidR="00D65CBF" w:rsidRDefault="3FE49B14">
      <w:pPr>
        <w:pStyle w:val="Heading2"/>
        <w:keepLines w:val="0"/>
        <w:widowControl/>
        <w:tabs>
          <w:tab w:val="left" w:pos="426"/>
        </w:tabs>
        <w:spacing w:before="240" w:after="60" w:line="240" w:lineRule="auto"/>
        <w:rPr>
          <w:color w:val="000000"/>
          <w:sz w:val="24"/>
          <w:szCs w:val="24"/>
          <w:highlight w:val="white"/>
        </w:rPr>
      </w:pPr>
      <w:r w:rsidRPr="3C7F867A">
        <w:rPr>
          <w:color w:val="000000" w:themeColor="text1"/>
          <w:sz w:val="24"/>
          <w:szCs w:val="24"/>
          <w:highlight w:val="white"/>
        </w:rPr>
        <w:t>Elluviija v</w:t>
      </w:r>
      <w:r w:rsidR="76D786FD" w:rsidRPr="3C7F867A">
        <w:rPr>
          <w:color w:val="000000" w:themeColor="text1"/>
          <w:sz w:val="24"/>
          <w:szCs w:val="24"/>
          <w:highlight w:val="white"/>
        </w:rPr>
        <w:t>almista</w:t>
      </w:r>
      <w:r w:rsidRPr="3C7F867A">
        <w:rPr>
          <w:color w:val="000000" w:themeColor="text1"/>
          <w:sz w:val="24"/>
          <w:szCs w:val="24"/>
          <w:highlight w:val="white"/>
        </w:rPr>
        <w:t>b</w:t>
      </w:r>
      <w:r w:rsidR="76D786FD" w:rsidRPr="3C7F867A">
        <w:rPr>
          <w:color w:val="000000" w:themeColor="text1"/>
          <w:sz w:val="24"/>
          <w:szCs w:val="24"/>
          <w:highlight w:val="white"/>
        </w:rPr>
        <w:t xml:space="preserve"> ette lähteülesan</w:t>
      </w:r>
      <w:r w:rsidRPr="3C7F867A">
        <w:rPr>
          <w:color w:val="000000" w:themeColor="text1"/>
          <w:sz w:val="24"/>
          <w:szCs w:val="24"/>
          <w:highlight w:val="white"/>
        </w:rPr>
        <w:t>d</w:t>
      </w:r>
      <w:r w:rsidR="76D786FD" w:rsidRPr="3C7F867A">
        <w:rPr>
          <w:color w:val="000000" w:themeColor="text1"/>
          <w:sz w:val="24"/>
          <w:szCs w:val="24"/>
          <w:highlight w:val="white"/>
        </w:rPr>
        <w:t>e teenusepakkuja leidmiseks, et korraldada maakondlike arenduskeskuste kodanikuühiskonna konsultantide</w:t>
      </w:r>
      <w:r w:rsidR="62553DD5" w:rsidRPr="3C7F867A">
        <w:rPr>
          <w:color w:val="000000" w:themeColor="text1"/>
          <w:sz w:val="24"/>
          <w:szCs w:val="24"/>
          <w:highlight w:val="white"/>
        </w:rPr>
        <w:t xml:space="preserve">, </w:t>
      </w:r>
      <w:proofErr w:type="spellStart"/>
      <w:r w:rsidR="62553DD5" w:rsidRPr="3C7F867A">
        <w:rPr>
          <w:color w:val="000000" w:themeColor="text1"/>
          <w:sz w:val="24"/>
          <w:szCs w:val="24"/>
          <w:highlight w:val="white"/>
        </w:rPr>
        <w:t>KÜSKi</w:t>
      </w:r>
      <w:proofErr w:type="spellEnd"/>
      <w:r w:rsidR="62553DD5" w:rsidRPr="3C7F867A">
        <w:rPr>
          <w:color w:val="000000" w:themeColor="text1"/>
          <w:sz w:val="24"/>
          <w:szCs w:val="24"/>
          <w:highlight w:val="white"/>
        </w:rPr>
        <w:t xml:space="preserve"> esindaja</w:t>
      </w:r>
      <w:r w:rsidR="2BA47DD7" w:rsidRPr="3C7F867A">
        <w:rPr>
          <w:color w:val="000000" w:themeColor="text1"/>
          <w:sz w:val="24"/>
          <w:szCs w:val="24"/>
          <w:highlight w:val="white"/>
        </w:rPr>
        <w:t>te</w:t>
      </w:r>
      <w:r w:rsidR="62553DD5" w:rsidRPr="3C7F867A">
        <w:rPr>
          <w:color w:val="000000" w:themeColor="text1"/>
          <w:sz w:val="24"/>
          <w:szCs w:val="24"/>
          <w:highlight w:val="white"/>
        </w:rPr>
        <w:t xml:space="preserve">, </w:t>
      </w:r>
      <w:r w:rsidR="55927CB4" w:rsidRPr="3C7F867A">
        <w:rPr>
          <w:color w:val="000000" w:themeColor="text1"/>
          <w:sz w:val="24"/>
          <w:szCs w:val="24"/>
          <w:highlight w:val="white"/>
        </w:rPr>
        <w:t>vabaühenduste esindajate ning</w:t>
      </w:r>
      <w:r w:rsidR="401B5B54" w:rsidRPr="3C7F867A">
        <w:rPr>
          <w:color w:val="000000" w:themeColor="text1"/>
          <w:sz w:val="24"/>
          <w:szCs w:val="24"/>
          <w:highlight w:val="white"/>
        </w:rPr>
        <w:t xml:space="preserve"> </w:t>
      </w:r>
      <w:proofErr w:type="spellStart"/>
      <w:r w:rsidR="743110BD" w:rsidRPr="3C7F867A">
        <w:rPr>
          <w:color w:val="000000" w:themeColor="text1"/>
          <w:sz w:val="24"/>
          <w:szCs w:val="24"/>
          <w:highlight w:val="white"/>
        </w:rPr>
        <w:t>KOVi</w:t>
      </w:r>
      <w:proofErr w:type="spellEnd"/>
      <w:r w:rsidR="743110BD" w:rsidRPr="3C7F867A">
        <w:rPr>
          <w:color w:val="000000" w:themeColor="text1"/>
          <w:sz w:val="24"/>
          <w:szCs w:val="24"/>
          <w:highlight w:val="white"/>
        </w:rPr>
        <w:t xml:space="preserve"> ametnike/spetsialistide ühine</w:t>
      </w:r>
      <w:r w:rsidR="76D786FD" w:rsidRPr="3C7F867A">
        <w:rPr>
          <w:color w:val="000000" w:themeColor="text1"/>
          <w:sz w:val="24"/>
          <w:szCs w:val="24"/>
          <w:highlight w:val="white"/>
        </w:rPr>
        <w:t xml:space="preserve"> õppereis Portugali. Lisaks MAK</w:t>
      </w:r>
      <w:r w:rsidR="0E5EE747" w:rsidRPr="3C7F867A">
        <w:rPr>
          <w:color w:val="000000" w:themeColor="text1"/>
          <w:sz w:val="24"/>
          <w:szCs w:val="24"/>
          <w:highlight w:val="white"/>
        </w:rPr>
        <w:t>-</w:t>
      </w:r>
      <w:r w:rsidR="76D786FD" w:rsidRPr="3C7F867A">
        <w:rPr>
          <w:color w:val="000000" w:themeColor="text1"/>
          <w:sz w:val="24"/>
          <w:szCs w:val="24"/>
          <w:highlight w:val="white"/>
        </w:rPr>
        <w:t>konsulta</w:t>
      </w:r>
      <w:r w:rsidR="0E5EE747" w:rsidRPr="3C7F867A">
        <w:rPr>
          <w:color w:val="000000" w:themeColor="text1"/>
          <w:sz w:val="24"/>
          <w:szCs w:val="24"/>
          <w:highlight w:val="white"/>
        </w:rPr>
        <w:t>n</w:t>
      </w:r>
      <w:r w:rsidR="76D786FD" w:rsidRPr="3C7F867A">
        <w:rPr>
          <w:color w:val="000000" w:themeColor="text1"/>
          <w:sz w:val="24"/>
          <w:szCs w:val="24"/>
          <w:highlight w:val="white"/>
        </w:rPr>
        <w:t>tidele tegelevad üle-eestiliselt vabaühenduste nõustamisega Kodanikuühiskonna Sihtkapitali töötajad</w:t>
      </w:r>
      <w:r w:rsidR="743110BD" w:rsidRPr="3C7F867A">
        <w:rPr>
          <w:color w:val="000000" w:themeColor="text1"/>
          <w:sz w:val="24"/>
          <w:szCs w:val="24"/>
          <w:highlight w:val="white"/>
        </w:rPr>
        <w:t xml:space="preserve"> ja </w:t>
      </w:r>
      <w:r w:rsidR="14906E3E" w:rsidRPr="3C7F867A">
        <w:rPr>
          <w:color w:val="000000" w:themeColor="text1"/>
          <w:sz w:val="24"/>
          <w:szCs w:val="24"/>
          <w:highlight w:val="white"/>
        </w:rPr>
        <w:t>k</w:t>
      </w:r>
      <w:r w:rsidR="743110BD" w:rsidRPr="3C7F867A">
        <w:rPr>
          <w:color w:val="000000" w:themeColor="text1"/>
          <w:sz w:val="24"/>
          <w:szCs w:val="24"/>
          <w:highlight w:val="white"/>
        </w:rPr>
        <w:t>ohaliku omavalitsuse spetsialistid/ametnikud</w:t>
      </w:r>
      <w:r w:rsidR="479D3FE7" w:rsidRPr="3C7F867A">
        <w:rPr>
          <w:color w:val="000000" w:themeColor="text1"/>
          <w:sz w:val="24"/>
          <w:szCs w:val="24"/>
          <w:highlight w:val="white"/>
        </w:rPr>
        <w:t>.</w:t>
      </w:r>
      <w:r w:rsidR="76D786FD" w:rsidRPr="3C7F867A">
        <w:rPr>
          <w:color w:val="000000" w:themeColor="text1"/>
          <w:sz w:val="24"/>
          <w:szCs w:val="24"/>
          <w:highlight w:val="white"/>
        </w:rPr>
        <w:t xml:space="preserve"> Õppereisi raames külastatakse kohalikke omavalitsusi, et saada kogemust</w:t>
      </w:r>
      <w:r w:rsidR="0E5EE747" w:rsidRPr="3C7F867A">
        <w:rPr>
          <w:color w:val="000000" w:themeColor="text1"/>
          <w:sz w:val="24"/>
          <w:szCs w:val="24"/>
          <w:highlight w:val="white"/>
        </w:rPr>
        <w:t>,</w:t>
      </w:r>
      <w:r w:rsidR="76D786FD" w:rsidRPr="3C7F867A">
        <w:rPr>
          <w:color w:val="000000" w:themeColor="text1"/>
          <w:sz w:val="24"/>
          <w:szCs w:val="24"/>
          <w:highlight w:val="white"/>
        </w:rPr>
        <w:t xml:space="preserve"> kuidas on korraldatud </w:t>
      </w:r>
      <w:proofErr w:type="spellStart"/>
      <w:r w:rsidR="76D786FD" w:rsidRPr="3C7F867A">
        <w:rPr>
          <w:color w:val="000000" w:themeColor="text1"/>
          <w:sz w:val="24"/>
          <w:szCs w:val="24"/>
          <w:highlight w:val="white"/>
        </w:rPr>
        <w:t>KOVide</w:t>
      </w:r>
      <w:proofErr w:type="spellEnd"/>
      <w:r w:rsidR="76D786FD" w:rsidRPr="3C7F867A">
        <w:rPr>
          <w:color w:val="000000" w:themeColor="text1"/>
          <w:sz w:val="24"/>
          <w:szCs w:val="24"/>
          <w:highlight w:val="white"/>
        </w:rPr>
        <w:t xml:space="preserve"> ja vabaühenduste koostöö Po</w:t>
      </w:r>
      <w:r w:rsidR="0E5EE747" w:rsidRPr="3C7F867A">
        <w:rPr>
          <w:color w:val="000000" w:themeColor="text1"/>
          <w:sz w:val="24"/>
          <w:szCs w:val="24"/>
          <w:highlight w:val="white"/>
        </w:rPr>
        <w:t>r</w:t>
      </w:r>
      <w:r w:rsidR="76D786FD" w:rsidRPr="3C7F867A">
        <w:rPr>
          <w:color w:val="000000" w:themeColor="text1"/>
          <w:sz w:val="24"/>
          <w:szCs w:val="24"/>
          <w:highlight w:val="white"/>
        </w:rPr>
        <w:t>tugalis. Valik õppereisi sihtriigi osas</w:t>
      </w:r>
      <w:r w:rsidR="55927CB4" w:rsidRPr="3C7F867A">
        <w:rPr>
          <w:color w:val="000000" w:themeColor="text1"/>
          <w:sz w:val="24"/>
          <w:szCs w:val="24"/>
          <w:highlight w:val="white"/>
        </w:rPr>
        <w:t xml:space="preserve"> </w:t>
      </w:r>
      <w:r w:rsidR="03481A83" w:rsidRPr="3C7F867A">
        <w:rPr>
          <w:color w:val="000000" w:themeColor="text1"/>
          <w:sz w:val="24"/>
          <w:szCs w:val="24"/>
          <w:highlight w:val="white"/>
        </w:rPr>
        <w:t>tehti koostöös</w:t>
      </w:r>
      <w:r w:rsidR="55927CB4" w:rsidRPr="3C7F867A">
        <w:rPr>
          <w:color w:val="000000" w:themeColor="text1"/>
          <w:sz w:val="24"/>
          <w:szCs w:val="24"/>
          <w:highlight w:val="white"/>
        </w:rPr>
        <w:t xml:space="preserve"> arenguprogrammiga tegeleva </w:t>
      </w:r>
      <w:r w:rsidR="0020481C">
        <w:rPr>
          <w:color w:val="000000" w:themeColor="text1"/>
          <w:sz w:val="24"/>
          <w:szCs w:val="24"/>
          <w:highlight w:val="white"/>
        </w:rPr>
        <w:t xml:space="preserve">AP </w:t>
      </w:r>
      <w:r w:rsidR="55927CB4" w:rsidRPr="3C7F867A">
        <w:rPr>
          <w:color w:val="000000" w:themeColor="text1"/>
          <w:sz w:val="24"/>
          <w:szCs w:val="24"/>
          <w:highlight w:val="white"/>
        </w:rPr>
        <w:t>töögrupi</w:t>
      </w:r>
      <w:r w:rsidR="6CF889C8" w:rsidRPr="3C7F867A">
        <w:rPr>
          <w:color w:val="000000" w:themeColor="text1"/>
          <w:sz w:val="24"/>
          <w:szCs w:val="24"/>
          <w:highlight w:val="white"/>
        </w:rPr>
        <w:t>ga</w:t>
      </w:r>
      <w:r w:rsidR="76D786FD" w:rsidRPr="3C7F867A">
        <w:rPr>
          <w:color w:val="000000" w:themeColor="text1"/>
          <w:sz w:val="24"/>
          <w:szCs w:val="24"/>
          <w:highlight w:val="white"/>
        </w:rPr>
        <w:t xml:space="preserve">. Portugalis on head näited </w:t>
      </w:r>
      <w:proofErr w:type="spellStart"/>
      <w:r w:rsidR="76D786FD" w:rsidRPr="3C7F867A">
        <w:rPr>
          <w:color w:val="000000" w:themeColor="text1"/>
          <w:sz w:val="24"/>
          <w:szCs w:val="24"/>
          <w:highlight w:val="white"/>
        </w:rPr>
        <w:t>KOVide</w:t>
      </w:r>
      <w:proofErr w:type="spellEnd"/>
      <w:r w:rsidR="76D786FD" w:rsidRPr="3C7F867A">
        <w:rPr>
          <w:color w:val="000000" w:themeColor="text1"/>
          <w:sz w:val="24"/>
          <w:szCs w:val="24"/>
          <w:highlight w:val="white"/>
        </w:rPr>
        <w:t xml:space="preserve"> ja vabaühenduste koostöö osas. Õppereisi raames külastatakse lapsi ja noori kaasavaid vabaühendusi ja kohali</w:t>
      </w:r>
      <w:r w:rsidR="0E5EE747" w:rsidRPr="3C7F867A">
        <w:rPr>
          <w:color w:val="000000" w:themeColor="text1"/>
          <w:sz w:val="24"/>
          <w:szCs w:val="24"/>
          <w:highlight w:val="white"/>
        </w:rPr>
        <w:t>k</w:t>
      </w:r>
      <w:r w:rsidR="76D786FD" w:rsidRPr="3C7F867A">
        <w:rPr>
          <w:color w:val="000000" w:themeColor="text1"/>
          <w:sz w:val="24"/>
          <w:szCs w:val="24"/>
          <w:highlight w:val="white"/>
        </w:rPr>
        <w:t xml:space="preserve">ke omavalitsusi, kes peavad oluliseks koostööd vabaühendustega. Õppereisil kogutakse sisendit </w:t>
      </w:r>
      <w:proofErr w:type="spellStart"/>
      <w:r w:rsidR="76D786FD" w:rsidRPr="3C7F867A">
        <w:rPr>
          <w:color w:val="000000" w:themeColor="text1"/>
          <w:sz w:val="24"/>
          <w:szCs w:val="24"/>
          <w:highlight w:val="white"/>
        </w:rPr>
        <w:t>TATi</w:t>
      </w:r>
      <w:proofErr w:type="spellEnd"/>
      <w:r w:rsidR="76D786FD" w:rsidRPr="3C7F867A">
        <w:rPr>
          <w:color w:val="000000" w:themeColor="text1"/>
          <w:sz w:val="24"/>
          <w:szCs w:val="24"/>
          <w:highlight w:val="white"/>
        </w:rPr>
        <w:t xml:space="preserve"> tegevuste </w:t>
      </w:r>
      <w:r w:rsidR="76D786FD" w:rsidRPr="3C7F867A">
        <w:rPr>
          <w:rFonts w:ascii="Cambria" w:eastAsia="Cambria" w:hAnsi="Cambria" w:cs="Cambria"/>
          <w:color w:val="000000" w:themeColor="text1"/>
          <w:sz w:val="24"/>
          <w:szCs w:val="24"/>
          <w:highlight w:val="white"/>
        </w:rPr>
        <w:t xml:space="preserve">2.1 </w:t>
      </w:r>
      <w:r w:rsidR="22CE841A" w:rsidRPr="3C7F867A">
        <w:rPr>
          <w:rFonts w:ascii="Cambria" w:eastAsia="Cambria" w:hAnsi="Cambria" w:cs="Cambria"/>
          <w:color w:val="000000" w:themeColor="text1"/>
          <w:sz w:val="24"/>
          <w:szCs w:val="24"/>
          <w:highlight w:val="white"/>
        </w:rPr>
        <w:t>(</w:t>
      </w:r>
      <w:r w:rsidR="76D786FD" w:rsidRPr="3C7F867A">
        <w:rPr>
          <w:rFonts w:ascii="Cambria" w:eastAsia="Cambria" w:hAnsi="Cambria" w:cs="Cambria"/>
          <w:color w:val="000000" w:themeColor="text1"/>
          <w:sz w:val="24"/>
          <w:szCs w:val="24"/>
          <w:highlight w:val="white"/>
        </w:rPr>
        <w:t>Süsteemse kogukonnapõhise laste ja noorte kaasamismudeli arendamine</w:t>
      </w:r>
      <w:r w:rsidR="6BA035A3" w:rsidRPr="3C7F867A">
        <w:rPr>
          <w:rFonts w:ascii="Cambria" w:eastAsia="Cambria" w:hAnsi="Cambria" w:cs="Cambria"/>
          <w:color w:val="000000" w:themeColor="text1"/>
          <w:sz w:val="24"/>
          <w:szCs w:val="24"/>
          <w:highlight w:val="white"/>
        </w:rPr>
        <w:t>)</w:t>
      </w:r>
      <w:r w:rsidR="76D786FD" w:rsidRPr="3C7F867A">
        <w:rPr>
          <w:rFonts w:ascii="Cambria" w:eastAsia="Cambria" w:hAnsi="Cambria" w:cs="Cambria"/>
          <w:color w:val="000000" w:themeColor="text1"/>
          <w:sz w:val="24"/>
          <w:szCs w:val="24"/>
          <w:highlight w:val="white"/>
        </w:rPr>
        <w:t xml:space="preserve">, </w:t>
      </w:r>
      <w:r w:rsidR="76D786FD" w:rsidRPr="3C7F867A">
        <w:rPr>
          <w:color w:val="000000" w:themeColor="text1"/>
          <w:sz w:val="24"/>
          <w:szCs w:val="24"/>
          <w:highlight w:val="white"/>
        </w:rPr>
        <w:t xml:space="preserve">2.2.3.1. </w:t>
      </w:r>
      <w:r w:rsidR="398D1633" w:rsidRPr="3C7F867A">
        <w:rPr>
          <w:color w:val="000000" w:themeColor="text1"/>
          <w:sz w:val="24"/>
          <w:szCs w:val="24"/>
          <w:highlight w:val="white"/>
        </w:rPr>
        <w:t>(</w:t>
      </w:r>
      <w:r w:rsidR="76D786FD" w:rsidRPr="3C7F867A">
        <w:rPr>
          <w:color w:val="000000" w:themeColor="text1"/>
          <w:sz w:val="24"/>
          <w:szCs w:val="24"/>
          <w:highlight w:val="white"/>
        </w:rPr>
        <w:t>Maakondlike koolitus- ja arendustegevuste korraldamine ja läbiviimine</w:t>
      </w:r>
      <w:r w:rsidR="0C37EF92" w:rsidRPr="3C7F867A">
        <w:rPr>
          <w:color w:val="000000" w:themeColor="text1"/>
          <w:sz w:val="24"/>
          <w:szCs w:val="24"/>
          <w:highlight w:val="white"/>
        </w:rPr>
        <w:t>)</w:t>
      </w:r>
      <w:r w:rsidR="76D786FD" w:rsidRPr="3C7F867A">
        <w:rPr>
          <w:color w:val="000000" w:themeColor="text1"/>
          <w:sz w:val="24"/>
          <w:szCs w:val="24"/>
          <w:highlight w:val="white"/>
        </w:rPr>
        <w:t xml:space="preserve">, 2.2.3.2. </w:t>
      </w:r>
      <w:r w:rsidR="3474B702" w:rsidRPr="3C7F867A">
        <w:rPr>
          <w:color w:val="000000" w:themeColor="text1"/>
          <w:sz w:val="24"/>
          <w:szCs w:val="24"/>
          <w:highlight w:val="white"/>
        </w:rPr>
        <w:t>(</w:t>
      </w:r>
      <w:r w:rsidR="76D786FD" w:rsidRPr="3C7F867A">
        <w:rPr>
          <w:color w:val="000000" w:themeColor="text1"/>
          <w:sz w:val="24"/>
          <w:szCs w:val="24"/>
          <w:highlight w:val="white"/>
        </w:rPr>
        <w:t>Noortele suunatud teadlikkust tõstvate kohtumiste ja sündmuste korraldamine</w:t>
      </w:r>
      <w:r w:rsidR="5FE66306" w:rsidRPr="3C7F867A">
        <w:rPr>
          <w:color w:val="000000" w:themeColor="text1"/>
          <w:sz w:val="24"/>
          <w:szCs w:val="24"/>
          <w:highlight w:val="white"/>
        </w:rPr>
        <w:t>)</w:t>
      </w:r>
      <w:r w:rsidR="76D786FD" w:rsidRPr="3C7F867A">
        <w:rPr>
          <w:color w:val="000000" w:themeColor="text1"/>
          <w:sz w:val="24"/>
          <w:szCs w:val="24"/>
          <w:highlight w:val="white"/>
        </w:rPr>
        <w:t xml:space="preserve"> ettevalmistamiseks ja ellu viimiseks. Õppereisi eesmärgiks on luua side Portugali kohalike omavalitsustega ja vabaühendustega, vahetada parimaid praktikaid</w:t>
      </w:r>
      <w:r w:rsidR="177D0245" w:rsidRPr="3C7F867A">
        <w:rPr>
          <w:color w:val="000000" w:themeColor="text1"/>
          <w:sz w:val="24"/>
          <w:szCs w:val="24"/>
          <w:highlight w:val="white"/>
        </w:rPr>
        <w:t xml:space="preserve"> ja</w:t>
      </w:r>
      <w:r w:rsidR="76D786FD" w:rsidRPr="3C7F867A">
        <w:rPr>
          <w:color w:val="000000" w:themeColor="text1"/>
          <w:sz w:val="24"/>
          <w:szCs w:val="24"/>
          <w:highlight w:val="white"/>
        </w:rPr>
        <w:t xml:space="preserve"> luua kontakte rahvusvahelisel tasandil. </w:t>
      </w:r>
      <w:r w:rsidR="55927CB4" w:rsidRPr="3C7F867A">
        <w:rPr>
          <w:color w:val="000000" w:themeColor="text1"/>
          <w:sz w:val="24"/>
          <w:szCs w:val="24"/>
          <w:highlight w:val="white"/>
        </w:rPr>
        <w:t xml:space="preserve">Õppereisi jooksul koostab iga osaleja reflektsiooni ja teeb peale õppereisi omapoolse ülevaate. Projektijuht </w:t>
      </w:r>
      <w:r w:rsidR="0A37398C" w:rsidRPr="3C7F867A">
        <w:rPr>
          <w:color w:val="000000" w:themeColor="text1"/>
          <w:sz w:val="24"/>
          <w:szCs w:val="24"/>
          <w:highlight w:val="white"/>
        </w:rPr>
        <w:t>koondab kokkuvõtted ja annab ülevaate järeldustest erinevatele huvigruppidele.</w:t>
      </w:r>
    </w:p>
    <w:p w14:paraId="37525300" w14:textId="77777777" w:rsidR="00D65CBF" w:rsidRDefault="00D65CBF">
      <w:pPr>
        <w:spacing w:line="240" w:lineRule="auto"/>
        <w:rPr>
          <w:b/>
          <w:highlight w:val="white"/>
        </w:rPr>
      </w:pPr>
    </w:p>
    <w:p w14:paraId="6C46F3B9" w14:textId="77777777" w:rsidR="00D65CBF" w:rsidRDefault="00250275">
      <w:pPr>
        <w:numPr>
          <w:ilvl w:val="2"/>
          <w:numId w:val="1"/>
        </w:numPr>
        <w:pBdr>
          <w:top w:val="nil"/>
          <w:left w:val="nil"/>
          <w:bottom w:val="nil"/>
          <w:right w:val="nil"/>
          <w:between w:val="nil"/>
        </w:pBdr>
        <w:spacing w:line="240" w:lineRule="auto"/>
        <w:rPr>
          <w:rFonts w:eastAsia="Times New Roman"/>
          <w:b/>
          <w:color w:val="000000"/>
          <w:highlight w:val="white"/>
        </w:rPr>
      </w:pPr>
      <w:r>
        <w:rPr>
          <w:rFonts w:eastAsia="Times New Roman"/>
          <w:b/>
          <w:color w:val="000000"/>
          <w:highlight w:val="white"/>
        </w:rPr>
        <w:t>Arenguprogrammi läbi viimine</w:t>
      </w:r>
    </w:p>
    <w:p w14:paraId="79010068" w14:textId="77777777" w:rsidR="00D65CBF" w:rsidRDefault="00D65CBF">
      <w:pPr>
        <w:spacing w:line="240" w:lineRule="auto"/>
        <w:rPr>
          <w:b/>
          <w:highlight w:val="white"/>
        </w:rPr>
      </w:pPr>
    </w:p>
    <w:p w14:paraId="36798DE4" w14:textId="77777777" w:rsidR="00D65CBF" w:rsidRDefault="00D65CBF">
      <w:pPr>
        <w:spacing w:line="240" w:lineRule="auto"/>
        <w:rPr>
          <w:highlight w:val="white"/>
        </w:rPr>
      </w:pPr>
    </w:p>
    <w:p w14:paraId="3F49C5AC" w14:textId="3333DF98" w:rsidR="00B6553B" w:rsidRDefault="1A8C7F1B">
      <w:pPr>
        <w:spacing w:line="240" w:lineRule="auto"/>
        <w:rPr>
          <w:highlight w:val="white"/>
        </w:rPr>
      </w:pPr>
      <w:r w:rsidRPr="3C7F867A">
        <w:rPr>
          <w:highlight w:val="white"/>
        </w:rPr>
        <w:t xml:space="preserve">Arenguprogrammi teenusepakkujaks valiti 2024. aastal riigihanke tulemusena Teaduse ja Kultuuri SA </w:t>
      </w:r>
      <w:proofErr w:type="spellStart"/>
      <w:r w:rsidRPr="3C7F867A">
        <w:rPr>
          <w:highlight w:val="white"/>
        </w:rPr>
        <w:t>Domus</w:t>
      </w:r>
      <w:proofErr w:type="spellEnd"/>
      <w:r w:rsidRPr="3C7F867A">
        <w:rPr>
          <w:highlight w:val="white"/>
        </w:rPr>
        <w:t xml:space="preserve"> </w:t>
      </w:r>
      <w:proofErr w:type="spellStart"/>
      <w:r w:rsidRPr="3C7F867A">
        <w:rPr>
          <w:highlight w:val="white"/>
        </w:rPr>
        <w:t>Dorpatensis</w:t>
      </w:r>
      <w:proofErr w:type="spellEnd"/>
      <w:r w:rsidRPr="3C7F867A">
        <w:rPr>
          <w:highlight w:val="white"/>
        </w:rPr>
        <w:t xml:space="preserve">, kes viib läbi tegevused vastavalt töövõtulepingule.  Teenusepakkuja </w:t>
      </w:r>
      <w:r w:rsidR="3583BCBF" w:rsidRPr="3C7F867A">
        <w:rPr>
          <w:highlight w:val="white"/>
        </w:rPr>
        <w:t>viib arenguprogrammi ellu vahemikus</w:t>
      </w:r>
      <w:r w:rsidRPr="3C7F867A">
        <w:rPr>
          <w:highlight w:val="white"/>
        </w:rPr>
        <w:t xml:space="preserve"> </w:t>
      </w:r>
      <w:r w:rsidR="76D786FD" w:rsidRPr="3C7F867A">
        <w:rPr>
          <w:highlight w:val="white"/>
        </w:rPr>
        <w:t>2025. aasta</w:t>
      </w:r>
      <w:r w:rsidR="3583BCBF" w:rsidRPr="3C7F867A">
        <w:rPr>
          <w:highlight w:val="white"/>
        </w:rPr>
        <w:t xml:space="preserve"> </w:t>
      </w:r>
      <w:r w:rsidR="67551ADB" w:rsidRPr="3C7F867A">
        <w:rPr>
          <w:highlight w:val="white"/>
        </w:rPr>
        <w:t xml:space="preserve">I </w:t>
      </w:r>
      <w:r w:rsidR="3583BCBF" w:rsidRPr="3C7F867A">
        <w:rPr>
          <w:highlight w:val="white"/>
        </w:rPr>
        <w:t>kuni II</w:t>
      </w:r>
      <w:r w:rsidR="282BA596" w:rsidRPr="3C7F867A">
        <w:rPr>
          <w:highlight w:val="white"/>
        </w:rPr>
        <w:t>I</w:t>
      </w:r>
      <w:r w:rsidR="3583BCBF" w:rsidRPr="3C7F867A">
        <w:rPr>
          <w:highlight w:val="white"/>
        </w:rPr>
        <w:t xml:space="preserve"> kvartal.</w:t>
      </w:r>
      <w:r w:rsidR="68181C81" w:rsidRPr="3C7F867A">
        <w:rPr>
          <w:highlight w:val="white"/>
        </w:rPr>
        <w:t xml:space="preserve"> </w:t>
      </w:r>
      <w:r w:rsidR="76D786FD" w:rsidRPr="3C7F867A">
        <w:rPr>
          <w:highlight w:val="white"/>
        </w:rPr>
        <w:t xml:space="preserve"> Arenguprogrammis osalevad maakondade kodanikuühiskonna konsultandid ning maakondliku kodanikuühiskonna nõustamisteenusega seotud isikud</w:t>
      </w:r>
      <w:r w:rsidR="0A37398C" w:rsidRPr="3C7F867A">
        <w:rPr>
          <w:highlight w:val="white"/>
        </w:rPr>
        <w:t xml:space="preserve"> </w:t>
      </w:r>
      <w:proofErr w:type="spellStart"/>
      <w:r w:rsidR="0A37398C" w:rsidRPr="3C7F867A">
        <w:rPr>
          <w:highlight w:val="white"/>
        </w:rPr>
        <w:t>KOVidest</w:t>
      </w:r>
      <w:proofErr w:type="spellEnd"/>
      <w:r w:rsidR="0A37398C" w:rsidRPr="3C7F867A">
        <w:rPr>
          <w:highlight w:val="white"/>
        </w:rPr>
        <w:t xml:space="preserve"> ja KÜSK teenistujate hulgast.</w:t>
      </w:r>
      <w:r w:rsidR="76D786FD" w:rsidRPr="3C7F867A">
        <w:rPr>
          <w:highlight w:val="white"/>
        </w:rPr>
        <w:t xml:space="preserve"> </w:t>
      </w:r>
    </w:p>
    <w:p w14:paraId="2CBE2D77" w14:textId="64F59348" w:rsidR="00537AF8" w:rsidRDefault="3583BCBF">
      <w:pPr>
        <w:spacing w:line="240" w:lineRule="auto"/>
        <w:rPr>
          <w:highlight w:val="white"/>
        </w:rPr>
      </w:pPr>
      <w:r w:rsidRPr="3C7F867A">
        <w:rPr>
          <w:highlight w:val="white"/>
        </w:rPr>
        <w:t xml:space="preserve">Arenguprogrammi raames korraldatakse arenguprogrammi läbijatele koolitusi, seminare, kohtumisi. </w:t>
      </w:r>
    </w:p>
    <w:p w14:paraId="6C6616A2" w14:textId="07F828D7" w:rsidR="004736E2" w:rsidRPr="009B3DD9" w:rsidRDefault="0A37398C" w:rsidP="00811367">
      <w:pPr>
        <w:spacing w:line="240" w:lineRule="auto"/>
      </w:pPr>
      <w:r w:rsidRPr="3320956D">
        <w:rPr>
          <w:highlight w:val="white"/>
        </w:rPr>
        <w:t>Arenguprogrammi</w:t>
      </w:r>
      <w:r w:rsidR="443C36C4" w:rsidRPr="3320956D">
        <w:rPr>
          <w:highlight w:val="white"/>
        </w:rPr>
        <w:t>s</w:t>
      </w:r>
      <w:r w:rsidRPr="3320956D">
        <w:rPr>
          <w:highlight w:val="white"/>
        </w:rPr>
        <w:t xml:space="preserve"> </w:t>
      </w:r>
      <w:r w:rsidR="4393B15C" w:rsidRPr="3320956D">
        <w:rPr>
          <w:highlight w:val="white"/>
        </w:rPr>
        <w:t>osaleb</w:t>
      </w:r>
      <w:r w:rsidRPr="3320956D">
        <w:rPr>
          <w:highlight w:val="white"/>
        </w:rPr>
        <w:t xml:space="preserve"> 2025. </w:t>
      </w:r>
      <w:r w:rsidR="573EC1B6" w:rsidRPr="3320956D">
        <w:rPr>
          <w:highlight w:val="white"/>
        </w:rPr>
        <w:t>a</w:t>
      </w:r>
      <w:r w:rsidRPr="3320956D">
        <w:rPr>
          <w:highlight w:val="white"/>
        </w:rPr>
        <w:t xml:space="preserve">astal </w:t>
      </w:r>
      <w:r w:rsidR="3E7862C6" w:rsidRPr="3320956D">
        <w:rPr>
          <w:highlight w:val="white"/>
        </w:rPr>
        <w:t xml:space="preserve"> </w:t>
      </w:r>
      <w:r w:rsidRPr="3320956D">
        <w:rPr>
          <w:highlight w:val="white"/>
        </w:rPr>
        <w:t>20 vabaühenduste nõustamisega tegelevat inimest MAK konsultan</w:t>
      </w:r>
      <w:r w:rsidR="754E5C57" w:rsidRPr="3320956D">
        <w:rPr>
          <w:highlight w:val="white"/>
        </w:rPr>
        <w:t>tide</w:t>
      </w:r>
      <w:r w:rsidRPr="3320956D">
        <w:rPr>
          <w:highlight w:val="white"/>
        </w:rPr>
        <w:t>, KOV</w:t>
      </w:r>
      <w:r w:rsidR="754E5C57" w:rsidRPr="3320956D">
        <w:rPr>
          <w:highlight w:val="white"/>
        </w:rPr>
        <w:t xml:space="preserve"> spetsialistide/ametnike ja KÜSK teenistujate hulgast. Arenguprogramm koosneb ühest koolitusprogrammi sissejuhatavast osast, kolmest kahepäevasest koolitusest ja ühest jätkukohtumisest reflektsiooni ja analüüsi eesmärgil. </w:t>
      </w:r>
      <w:r w:rsidR="754E5C57">
        <w:t>Koolitusprogramm on üles ehitatud nii, et osalejad saaksid võimalikult palju õpiväljundeid saavutada läbi praktiliste ja kaasavate täiskasvanukoolituse aktiivõppe meetodite, mis oleksid toetatud ka tugeva teoreetilise baasi poolt ning lähtuks osalejate erinevatest vajadustest (ja varasematest teadmistest-kogemustest). Programmi väljundid lepitakse kokku osalejatega, mis võivad olla erinevatel osalejatel erinevad. Iga kohtumise lõpus on ka refleksiooniring osalejatel saavutatud õpiväljundite enesehindamiseks ja vahepealse enesearengu planeerimiseks.</w:t>
      </w:r>
    </w:p>
    <w:p w14:paraId="70454442" w14:textId="054C29D8" w:rsidR="00D65CBF" w:rsidRDefault="76D786FD">
      <w:pPr>
        <w:spacing w:line="240" w:lineRule="auto"/>
        <w:rPr>
          <w:highlight w:val="white"/>
        </w:rPr>
      </w:pPr>
      <w:r w:rsidRPr="3C7F867A">
        <w:rPr>
          <w:highlight w:val="white"/>
        </w:rPr>
        <w:t>Teenusepakkuja koostab ja viib läbi programmi</w:t>
      </w:r>
      <w:r w:rsidR="7D2075CA" w:rsidRPr="3C7F867A">
        <w:rPr>
          <w:highlight w:val="white"/>
        </w:rPr>
        <w:t xml:space="preserve"> </w:t>
      </w:r>
      <w:r w:rsidR="0980C3A0" w:rsidRPr="3C7F867A">
        <w:rPr>
          <w:highlight w:val="white"/>
        </w:rPr>
        <w:t>ja</w:t>
      </w:r>
      <w:r w:rsidRPr="3C7F867A">
        <w:rPr>
          <w:highlight w:val="white"/>
        </w:rPr>
        <w:t xml:space="preserve"> esmakordse läbiviimise järgselt esitab teenusepakkuja</w:t>
      </w:r>
      <w:r w:rsidR="754E5C57" w:rsidRPr="3C7F867A">
        <w:rPr>
          <w:highlight w:val="white"/>
        </w:rPr>
        <w:t xml:space="preserve"> kokkuvõtte/analüüsi</w:t>
      </w:r>
      <w:r w:rsidRPr="3C7F867A">
        <w:rPr>
          <w:highlight w:val="white"/>
        </w:rPr>
        <w:t xml:space="preserve"> programmi eesmärgipärasuse ja tulemuslikkuse kohta ning teeb vajadusel esialgsed ettepanekud arenguprogrammi parendamiseks. </w:t>
      </w:r>
    </w:p>
    <w:p w14:paraId="2C588F6A" w14:textId="77777777" w:rsidR="00D65CBF" w:rsidRDefault="00D65CBF">
      <w:pPr>
        <w:spacing w:line="240" w:lineRule="auto"/>
        <w:rPr>
          <w:highlight w:val="white"/>
        </w:rPr>
      </w:pPr>
    </w:p>
    <w:p w14:paraId="5C829DAA" w14:textId="77777777" w:rsidR="00D65CBF" w:rsidRDefault="00D65CBF">
      <w:pPr>
        <w:spacing w:line="240" w:lineRule="auto"/>
        <w:rPr>
          <w:highlight w:val="white"/>
        </w:rPr>
      </w:pPr>
    </w:p>
    <w:p w14:paraId="19E75987" w14:textId="77777777" w:rsidR="00D65CBF" w:rsidRDefault="00D65CBF" w:rsidP="3C7F867A">
      <w:pPr>
        <w:spacing w:line="240" w:lineRule="auto"/>
        <w:rPr>
          <w:b/>
          <w:bCs/>
          <w:highlight w:val="white"/>
        </w:rPr>
      </w:pPr>
    </w:p>
    <w:p w14:paraId="79FA91E3" w14:textId="03531D4A" w:rsidR="3C7F867A" w:rsidRDefault="3C7F867A" w:rsidP="3C7F867A">
      <w:pPr>
        <w:spacing w:line="240" w:lineRule="auto"/>
        <w:rPr>
          <w:b/>
          <w:bCs/>
          <w:highlight w:val="white"/>
        </w:rPr>
      </w:pPr>
    </w:p>
    <w:p w14:paraId="51F928DA" w14:textId="77777777" w:rsidR="00B83FFB" w:rsidRDefault="00B83FFB" w:rsidP="3C7F867A">
      <w:pPr>
        <w:spacing w:line="240" w:lineRule="auto"/>
        <w:rPr>
          <w:b/>
          <w:bCs/>
          <w:highlight w:val="white"/>
        </w:rPr>
      </w:pPr>
    </w:p>
    <w:p w14:paraId="6310A8DB" w14:textId="77777777" w:rsidR="00B83FFB" w:rsidRDefault="00B83FFB" w:rsidP="3C7F867A">
      <w:pPr>
        <w:spacing w:line="240" w:lineRule="auto"/>
        <w:rPr>
          <w:b/>
          <w:bCs/>
          <w:highlight w:val="white"/>
        </w:rPr>
      </w:pPr>
    </w:p>
    <w:p w14:paraId="5B62508E" w14:textId="77777777" w:rsidR="00D65CBF" w:rsidRDefault="76D786FD" w:rsidP="3C7F867A">
      <w:pPr>
        <w:numPr>
          <w:ilvl w:val="2"/>
          <w:numId w:val="1"/>
        </w:numPr>
        <w:pBdr>
          <w:top w:val="nil"/>
          <w:left w:val="nil"/>
          <w:bottom w:val="nil"/>
          <w:right w:val="nil"/>
          <w:between w:val="nil"/>
        </w:pBdr>
        <w:spacing w:line="240" w:lineRule="auto"/>
        <w:rPr>
          <w:rFonts w:eastAsia="Times New Roman"/>
          <w:b/>
          <w:bCs/>
          <w:color w:val="000000"/>
          <w:highlight w:val="white"/>
        </w:rPr>
      </w:pPr>
      <w:r w:rsidRPr="3C7F867A">
        <w:rPr>
          <w:rFonts w:eastAsia="Times New Roman"/>
          <w:b/>
          <w:bCs/>
          <w:color w:val="000000" w:themeColor="text1"/>
          <w:highlight w:val="white"/>
        </w:rPr>
        <w:lastRenderedPageBreak/>
        <w:t>Arenguprogrammi hindamine</w:t>
      </w:r>
    </w:p>
    <w:p w14:paraId="65B9407C" w14:textId="77777777" w:rsidR="00D65CBF" w:rsidRDefault="00D65CBF">
      <w:pPr>
        <w:spacing w:line="240" w:lineRule="auto"/>
        <w:rPr>
          <w:b/>
          <w:highlight w:val="white"/>
        </w:rPr>
      </w:pPr>
    </w:p>
    <w:p w14:paraId="0EEBBA47" w14:textId="5B92683B" w:rsidR="00D65CBF" w:rsidRDefault="00250275">
      <w:pPr>
        <w:spacing w:line="240" w:lineRule="auto"/>
        <w:rPr>
          <w:highlight w:val="white"/>
        </w:rPr>
      </w:pPr>
      <w:r w:rsidRPr="3C7F867A">
        <w:rPr>
          <w:highlight w:val="white"/>
        </w:rPr>
        <w:t xml:space="preserve">Arenguprogrammi hindamiseks on kokku kutsutud </w:t>
      </w:r>
      <w:r w:rsidR="00B83FFB">
        <w:rPr>
          <w:highlight w:val="white"/>
        </w:rPr>
        <w:t xml:space="preserve">AP </w:t>
      </w:r>
      <w:r w:rsidRPr="3C7F867A">
        <w:rPr>
          <w:highlight w:val="white"/>
        </w:rPr>
        <w:t xml:space="preserve">töögrupp, kes 2026. aasta </w:t>
      </w:r>
      <w:r w:rsidR="00537AF8" w:rsidRPr="3C7F867A">
        <w:rPr>
          <w:highlight w:val="white"/>
        </w:rPr>
        <w:t xml:space="preserve">arenguprogrammi riigihanke </w:t>
      </w:r>
      <w:r w:rsidRPr="3C7F867A">
        <w:rPr>
          <w:highlight w:val="white"/>
        </w:rPr>
        <w:t xml:space="preserve">lähteülesande vormistamisele eelnevalt hindab 2025. aastal läbiviidud arenguprogrammi kokkulepitud hindamismetoodika alusel. Hindamismetoodika töötatakse välja </w:t>
      </w:r>
      <w:r w:rsidR="007A194C">
        <w:rPr>
          <w:highlight w:val="white"/>
        </w:rPr>
        <w:t xml:space="preserve">AP </w:t>
      </w:r>
      <w:r w:rsidRPr="3C7F867A">
        <w:rPr>
          <w:highlight w:val="white"/>
        </w:rPr>
        <w:t>töögrupi poolt</w:t>
      </w:r>
      <w:r w:rsidR="00811367" w:rsidRPr="3C7F867A">
        <w:rPr>
          <w:highlight w:val="white"/>
        </w:rPr>
        <w:t xml:space="preserve"> 2025. </w:t>
      </w:r>
      <w:r w:rsidR="00A60814" w:rsidRPr="3C7F867A">
        <w:rPr>
          <w:highlight w:val="white"/>
        </w:rPr>
        <w:t>aasta esimeses pooles</w:t>
      </w:r>
      <w:r w:rsidRPr="3C7F867A">
        <w:rPr>
          <w:highlight w:val="white"/>
        </w:rPr>
        <w:t>. Hindamismetoodikat kasutatakse arenguprogrammi eesmärgipärasuse ja tulemuslikkuse hindamise</w:t>
      </w:r>
      <w:r w:rsidR="003D3330" w:rsidRPr="3C7F867A">
        <w:rPr>
          <w:highlight w:val="white"/>
        </w:rPr>
        <w:t>ks</w:t>
      </w:r>
      <w:r w:rsidRPr="3C7F867A">
        <w:rPr>
          <w:highlight w:val="white"/>
        </w:rPr>
        <w:t>. Kokkulepitud metoodika järgi hinnatakse ka järgneva</w:t>
      </w:r>
      <w:r w:rsidR="00537AF8" w:rsidRPr="3C7F867A">
        <w:rPr>
          <w:highlight w:val="white"/>
        </w:rPr>
        <w:t>te riigihangete alusel</w:t>
      </w:r>
      <w:r w:rsidRPr="3C7F867A">
        <w:rPr>
          <w:highlight w:val="white"/>
        </w:rPr>
        <w:t xml:space="preserve"> </w:t>
      </w:r>
      <w:r w:rsidR="00537AF8" w:rsidRPr="3C7F867A">
        <w:rPr>
          <w:highlight w:val="white"/>
        </w:rPr>
        <w:t xml:space="preserve">korraldatavaid </w:t>
      </w:r>
      <w:r w:rsidRPr="3C7F867A">
        <w:rPr>
          <w:highlight w:val="white"/>
        </w:rPr>
        <w:t xml:space="preserve">arenguprogrammi versioone. Lisaks </w:t>
      </w:r>
      <w:r w:rsidR="00D261D2">
        <w:rPr>
          <w:highlight w:val="white"/>
        </w:rPr>
        <w:t xml:space="preserve">AP </w:t>
      </w:r>
      <w:r w:rsidRPr="3C7F867A">
        <w:rPr>
          <w:highlight w:val="white"/>
        </w:rPr>
        <w:t xml:space="preserve">töögrupile hindavad arenguprogrammi kõnealuse hindamismetoodika abil </w:t>
      </w:r>
      <w:r w:rsidR="00F3185D" w:rsidRPr="3C7F867A">
        <w:rPr>
          <w:highlight w:val="white"/>
        </w:rPr>
        <w:t xml:space="preserve">ka </w:t>
      </w:r>
      <w:r w:rsidRPr="3C7F867A">
        <w:rPr>
          <w:highlight w:val="white"/>
        </w:rPr>
        <w:t xml:space="preserve">arenguprogrammi teenusepakkuja ja arenguprogrammi </w:t>
      </w:r>
      <w:r w:rsidR="005C3B33">
        <w:rPr>
          <w:highlight w:val="white"/>
        </w:rPr>
        <w:t>osalejad</w:t>
      </w:r>
      <w:r w:rsidRPr="3C7F867A">
        <w:rPr>
          <w:highlight w:val="white"/>
        </w:rPr>
        <w:t xml:space="preserve">. Eelkirjeldatud kolme osapoole hindamisest tehakse </w:t>
      </w:r>
      <w:r w:rsidR="005C3B33">
        <w:rPr>
          <w:highlight w:val="white"/>
        </w:rPr>
        <w:t xml:space="preserve">AP </w:t>
      </w:r>
      <w:r w:rsidRPr="3C7F867A">
        <w:rPr>
          <w:highlight w:val="white"/>
        </w:rPr>
        <w:t>töögrupi kaardistuseksperdi poolt kokkuvõte. Kokkuvõte valmib 2025. aasta I</w:t>
      </w:r>
      <w:r w:rsidR="003D3330" w:rsidRPr="3C7F867A">
        <w:rPr>
          <w:highlight w:val="white"/>
        </w:rPr>
        <w:t>V</w:t>
      </w:r>
      <w:r w:rsidRPr="3C7F867A">
        <w:rPr>
          <w:highlight w:val="white"/>
        </w:rPr>
        <w:t xml:space="preserve"> kvartali lõpuks.</w:t>
      </w:r>
    </w:p>
    <w:p w14:paraId="0455F87C" w14:textId="77777777" w:rsidR="00D65CBF" w:rsidRDefault="00D65CBF">
      <w:pPr>
        <w:spacing w:line="240" w:lineRule="auto"/>
        <w:rPr>
          <w:highlight w:val="white"/>
        </w:rPr>
      </w:pPr>
    </w:p>
    <w:p w14:paraId="712A537B" w14:textId="77777777" w:rsidR="00D65CBF" w:rsidRDefault="00250275">
      <w:pPr>
        <w:spacing w:line="240" w:lineRule="auto"/>
        <w:rPr>
          <w:b/>
          <w:highlight w:val="white"/>
        </w:rPr>
      </w:pPr>
      <w:r>
        <w:rPr>
          <w:b/>
          <w:highlight w:val="white"/>
        </w:rPr>
        <w:t>Tabel 1. Tegevustega seotud näitajad</w:t>
      </w:r>
    </w:p>
    <w:p w14:paraId="7FD19CDA" w14:textId="77777777" w:rsidR="00D65CBF" w:rsidRDefault="00D65CBF">
      <w:pPr>
        <w:spacing w:line="240" w:lineRule="auto"/>
        <w:rPr>
          <w:b/>
          <w:highlight w:val="white"/>
        </w:rPr>
      </w:pPr>
    </w:p>
    <w:tbl>
      <w:tblPr>
        <w:tblStyle w:val="a0"/>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992"/>
        <w:gridCol w:w="993"/>
        <w:gridCol w:w="1559"/>
        <w:gridCol w:w="1559"/>
        <w:gridCol w:w="2693"/>
      </w:tblGrid>
      <w:tr w:rsidR="00D65CBF" w14:paraId="185D1BD2" w14:textId="77777777" w:rsidTr="005C3B33">
        <w:trPr>
          <w:trHeight w:val="670"/>
        </w:trPr>
        <w:tc>
          <w:tcPr>
            <w:tcW w:w="1305" w:type="dxa"/>
          </w:tcPr>
          <w:p w14:paraId="277B4B1C" w14:textId="77777777" w:rsidR="00D65CBF" w:rsidRDefault="00250275">
            <w:pPr>
              <w:spacing w:line="240" w:lineRule="auto"/>
              <w:rPr>
                <w:b/>
                <w:highlight w:val="white"/>
              </w:rPr>
            </w:pPr>
            <w:bookmarkStart w:id="0" w:name="_heading=h.gjdgxs" w:colFirst="0" w:colLast="0"/>
            <w:bookmarkEnd w:id="0"/>
            <w:r>
              <w:rPr>
                <w:b/>
                <w:highlight w:val="white"/>
              </w:rPr>
              <w:t>Toetatava tegevuse näitaja nimetus</w:t>
            </w:r>
            <w:r>
              <w:rPr>
                <w:b/>
                <w:highlight w:val="white"/>
                <w:vertAlign w:val="superscript"/>
              </w:rPr>
              <w:footnoteReference w:id="2"/>
            </w:r>
          </w:p>
        </w:tc>
        <w:tc>
          <w:tcPr>
            <w:tcW w:w="992" w:type="dxa"/>
          </w:tcPr>
          <w:p w14:paraId="3FFD4B03" w14:textId="6896FA67" w:rsidR="00D65CBF" w:rsidRDefault="76D786FD" w:rsidP="68482FDB">
            <w:pPr>
              <w:spacing w:line="240" w:lineRule="auto"/>
              <w:rPr>
                <w:b/>
                <w:bCs/>
                <w:highlight w:val="white"/>
              </w:rPr>
            </w:pPr>
            <w:r w:rsidRPr="3320956D">
              <w:rPr>
                <w:b/>
                <w:bCs/>
                <w:highlight w:val="white"/>
              </w:rPr>
              <w:t>Siht-tase (202</w:t>
            </w:r>
            <w:r w:rsidR="705A00A7" w:rsidRPr="3320956D">
              <w:rPr>
                <w:b/>
                <w:bCs/>
                <w:highlight w:val="white"/>
              </w:rPr>
              <w:t>4</w:t>
            </w:r>
            <w:r w:rsidRPr="3320956D">
              <w:rPr>
                <w:b/>
                <w:bCs/>
                <w:highlight w:val="white"/>
              </w:rPr>
              <w:t>)</w:t>
            </w:r>
          </w:p>
        </w:tc>
        <w:tc>
          <w:tcPr>
            <w:tcW w:w="993" w:type="dxa"/>
          </w:tcPr>
          <w:p w14:paraId="733383C2" w14:textId="77777777" w:rsidR="00D65CBF" w:rsidRDefault="00250275">
            <w:pPr>
              <w:spacing w:line="240" w:lineRule="auto"/>
              <w:rPr>
                <w:b/>
                <w:highlight w:val="white"/>
              </w:rPr>
            </w:pPr>
            <w:r>
              <w:rPr>
                <w:b/>
                <w:highlight w:val="white"/>
              </w:rPr>
              <w:t>Siht-tase</w:t>
            </w:r>
          </w:p>
          <w:p w14:paraId="1A52A93B" w14:textId="77777777" w:rsidR="00D65CBF" w:rsidRDefault="00250275">
            <w:pPr>
              <w:spacing w:line="240" w:lineRule="auto"/>
              <w:rPr>
                <w:b/>
                <w:highlight w:val="white"/>
              </w:rPr>
            </w:pPr>
            <w:r>
              <w:rPr>
                <w:b/>
                <w:highlight w:val="white"/>
              </w:rPr>
              <w:t>(2029)</w:t>
            </w:r>
          </w:p>
        </w:tc>
        <w:tc>
          <w:tcPr>
            <w:tcW w:w="1559" w:type="dxa"/>
          </w:tcPr>
          <w:p w14:paraId="70330ABB" w14:textId="77777777" w:rsidR="00D65CBF" w:rsidRDefault="00250275">
            <w:pPr>
              <w:spacing w:line="240" w:lineRule="auto"/>
              <w:rPr>
                <w:b/>
                <w:highlight w:val="white"/>
              </w:rPr>
            </w:pPr>
            <w:r>
              <w:rPr>
                <w:b/>
                <w:highlight w:val="white"/>
              </w:rPr>
              <w:t>Alategevuse väljundid</w:t>
            </w:r>
            <w:r>
              <w:rPr>
                <w:b/>
                <w:highlight w:val="white"/>
                <w:vertAlign w:val="superscript"/>
              </w:rPr>
              <w:footnoteReference w:id="3"/>
            </w:r>
            <w:r>
              <w:rPr>
                <w:b/>
                <w:highlight w:val="white"/>
              </w:rPr>
              <w:t xml:space="preserve"> tegevuskava perioodil</w:t>
            </w:r>
          </w:p>
        </w:tc>
        <w:tc>
          <w:tcPr>
            <w:tcW w:w="1559" w:type="dxa"/>
          </w:tcPr>
          <w:p w14:paraId="712FA104" w14:textId="77777777" w:rsidR="00D65CBF" w:rsidRDefault="00250275">
            <w:pPr>
              <w:spacing w:line="240" w:lineRule="auto"/>
              <w:rPr>
                <w:b/>
                <w:highlight w:val="white"/>
              </w:rPr>
            </w:pPr>
            <w:r>
              <w:rPr>
                <w:b/>
                <w:highlight w:val="white"/>
              </w:rPr>
              <w:t>Alategevuste väljundite arv tegevuskava perioodil</w:t>
            </w:r>
          </w:p>
        </w:tc>
        <w:tc>
          <w:tcPr>
            <w:tcW w:w="2693" w:type="dxa"/>
          </w:tcPr>
          <w:p w14:paraId="4B4104AC" w14:textId="77777777" w:rsidR="00D65CBF" w:rsidRDefault="00250275">
            <w:pPr>
              <w:spacing w:line="240" w:lineRule="auto"/>
              <w:rPr>
                <w:b/>
                <w:highlight w:val="white"/>
              </w:rPr>
            </w:pPr>
            <w:r>
              <w:rPr>
                <w:b/>
                <w:highlight w:val="white"/>
              </w:rPr>
              <w:t xml:space="preserve">Selgitus </w:t>
            </w:r>
          </w:p>
        </w:tc>
      </w:tr>
      <w:tr w:rsidR="00D65CBF" w14:paraId="6F31686C" w14:textId="77777777" w:rsidTr="005C3B33">
        <w:trPr>
          <w:trHeight w:val="363"/>
        </w:trPr>
        <w:tc>
          <w:tcPr>
            <w:tcW w:w="1305" w:type="dxa"/>
            <w:vMerge w:val="restart"/>
          </w:tcPr>
          <w:p w14:paraId="4700F8E4" w14:textId="77777777" w:rsidR="00D65CBF" w:rsidRDefault="00D65CBF">
            <w:pPr>
              <w:spacing w:line="240" w:lineRule="auto"/>
              <w:jc w:val="center"/>
              <w:rPr>
                <w:highlight w:val="white"/>
              </w:rPr>
            </w:pPr>
          </w:p>
          <w:p w14:paraId="0B59261D" w14:textId="77777777" w:rsidR="00D65CBF" w:rsidRDefault="00250275">
            <w:pPr>
              <w:spacing w:line="240" w:lineRule="auto"/>
              <w:rPr>
                <w:highlight w:val="white"/>
              </w:rPr>
            </w:pPr>
            <w:r>
              <w:rPr>
                <w:highlight w:val="white"/>
              </w:rPr>
              <w:t>Koolitustel osalejate arv</w:t>
            </w:r>
          </w:p>
        </w:tc>
        <w:tc>
          <w:tcPr>
            <w:tcW w:w="992" w:type="dxa"/>
            <w:vMerge w:val="restart"/>
          </w:tcPr>
          <w:p w14:paraId="7617CD7F" w14:textId="77777777" w:rsidR="00D65CBF" w:rsidRDefault="00250275">
            <w:pPr>
              <w:spacing w:line="240" w:lineRule="auto"/>
              <w:jc w:val="center"/>
              <w:rPr>
                <w:highlight w:val="white"/>
              </w:rPr>
            </w:pPr>
            <w:r>
              <w:rPr>
                <w:highlight w:val="white"/>
              </w:rPr>
              <w:t>20</w:t>
            </w:r>
          </w:p>
        </w:tc>
        <w:tc>
          <w:tcPr>
            <w:tcW w:w="993" w:type="dxa"/>
            <w:vMerge w:val="restart"/>
          </w:tcPr>
          <w:p w14:paraId="0A336C5D" w14:textId="77777777" w:rsidR="00D65CBF" w:rsidRDefault="00250275">
            <w:pPr>
              <w:spacing w:line="240" w:lineRule="auto"/>
              <w:jc w:val="center"/>
              <w:rPr>
                <w:highlight w:val="white"/>
              </w:rPr>
            </w:pPr>
            <w:r>
              <w:rPr>
                <w:highlight w:val="white"/>
              </w:rPr>
              <w:t>60</w:t>
            </w:r>
          </w:p>
        </w:tc>
        <w:tc>
          <w:tcPr>
            <w:tcW w:w="1559" w:type="dxa"/>
          </w:tcPr>
          <w:p w14:paraId="71D0DC90" w14:textId="77777777" w:rsidR="00D65CBF" w:rsidRDefault="00250275">
            <w:pPr>
              <w:spacing w:line="240" w:lineRule="auto"/>
              <w:rPr>
                <w:highlight w:val="white"/>
              </w:rPr>
            </w:pPr>
            <w:r>
              <w:rPr>
                <w:highlight w:val="white"/>
              </w:rPr>
              <w:t>Koolitustel osalejate arv</w:t>
            </w:r>
          </w:p>
        </w:tc>
        <w:tc>
          <w:tcPr>
            <w:tcW w:w="1559" w:type="dxa"/>
          </w:tcPr>
          <w:p w14:paraId="74AA63AA" w14:textId="77777777" w:rsidR="00D65CBF" w:rsidRDefault="76D786FD">
            <w:pPr>
              <w:spacing w:line="240" w:lineRule="auto"/>
              <w:rPr>
                <w:highlight w:val="white"/>
              </w:rPr>
            </w:pPr>
            <w:r w:rsidRPr="3C7F867A">
              <w:rPr>
                <w:highlight w:val="white"/>
              </w:rPr>
              <w:t>20</w:t>
            </w:r>
          </w:p>
        </w:tc>
        <w:tc>
          <w:tcPr>
            <w:tcW w:w="2693" w:type="dxa"/>
          </w:tcPr>
          <w:p w14:paraId="47BE6B91" w14:textId="77777777" w:rsidR="00D65CBF" w:rsidRDefault="76D786FD">
            <w:pPr>
              <w:spacing w:line="240" w:lineRule="auto"/>
              <w:jc w:val="left"/>
              <w:rPr>
                <w:highlight w:val="white"/>
              </w:rPr>
            </w:pPr>
            <w:r w:rsidRPr="3320956D">
              <w:rPr>
                <w:highlight w:val="white"/>
              </w:rPr>
              <w:t>Maakondlike kodanikuühiskonna konsultantide osaluskordade arv arenguprogrammis.</w:t>
            </w:r>
          </w:p>
        </w:tc>
      </w:tr>
      <w:tr w:rsidR="00D65CBF" w14:paraId="4D60F06D" w14:textId="77777777" w:rsidTr="005C3B33">
        <w:trPr>
          <w:trHeight w:val="294"/>
        </w:trPr>
        <w:tc>
          <w:tcPr>
            <w:tcW w:w="1305" w:type="dxa"/>
            <w:vMerge/>
          </w:tcPr>
          <w:p w14:paraId="557FF3C4" w14:textId="77777777" w:rsidR="00D65CBF" w:rsidRDefault="00D65CBF">
            <w:pPr>
              <w:pBdr>
                <w:top w:val="nil"/>
                <w:left w:val="nil"/>
                <w:bottom w:val="nil"/>
                <w:right w:val="nil"/>
                <w:between w:val="nil"/>
              </w:pBdr>
              <w:spacing w:line="276" w:lineRule="auto"/>
              <w:jc w:val="left"/>
              <w:rPr>
                <w:highlight w:val="white"/>
              </w:rPr>
            </w:pPr>
          </w:p>
        </w:tc>
        <w:tc>
          <w:tcPr>
            <w:tcW w:w="992" w:type="dxa"/>
            <w:vMerge/>
          </w:tcPr>
          <w:p w14:paraId="28B77BD9" w14:textId="77777777" w:rsidR="00D65CBF" w:rsidRDefault="00D65CBF">
            <w:pPr>
              <w:pBdr>
                <w:top w:val="nil"/>
                <w:left w:val="nil"/>
                <w:bottom w:val="nil"/>
                <w:right w:val="nil"/>
                <w:between w:val="nil"/>
              </w:pBdr>
              <w:spacing w:line="276" w:lineRule="auto"/>
              <w:jc w:val="left"/>
              <w:rPr>
                <w:highlight w:val="white"/>
              </w:rPr>
            </w:pPr>
          </w:p>
        </w:tc>
        <w:tc>
          <w:tcPr>
            <w:tcW w:w="993" w:type="dxa"/>
            <w:vMerge/>
          </w:tcPr>
          <w:p w14:paraId="2216FEEA" w14:textId="77777777" w:rsidR="00D65CBF" w:rsidRDefault="00D65CBF">
            <w:pPr>
              <w:pBdr>
                <w:top w:val="nil"/>
                <w:left w:val="nil"/>
                <w:bottom w:val="nil"/>
                <w:right w:val="nil"/>
                <w:between w:val="nil"/>
              </w:pBdr>
              <w:spacing w:line="276" w:lineRule="auto"/>
              <w:jc w:val="left"/>
              <w:rPr>
                <w:highlight w:val="white"/>
              </w:rPr>
            </w:pPr>
          </w:p>
        </w:tc>
        <w:tc>
          <w:tcPr>
            <w:tcW w:w="1559" w:type="dxa"/>
          </w:tcPr>
          <w:p w14:paraId="673E0AA2" w14:textId="77777777" w:rsidR="00D65CBF" w:rsidRDefault="00250275">
            <w:pPr>
              <w:spacing w:line="240" w:lineRule="auto"/>
              <w:rPr>
                <w:highlight w:val="white"/>
              </w:rPr>
            </w:pPr>
            <w:r>
              <w:rPr>
                <w:highlight w:val="white"/>
              </w:rPr>
              <w:t>Õppereis</w:t>
            </w:r>
          </w:p>
        </w:tc>
        <w:tc>
          <w:tcPr>
            <w:tcW w:w="1559" w:type="dxa"/>
          </w:tcPr>
          <w:p w14:paraId="522AC876" w14:textId="77777777" w:rsidR="00D65CBF" w:rsidRDefault="00250275">
            <w:pPr>
              <w:spacing w:line="240" w:lineRule="auto"/>
              <w:rPr>
                <w:highlight w:val="white"/>
              </w:rPr>
            </w:pPr>
            <w:r>
              <w:rPr>
                <w:highlight w:val="white"/>
              </w:rPr>
              <w:t>1</w:t>
            </w:r>
          </w:p>
        </w:tc>
        <w:tc>
          <w:tcPr>
            <w:tcW w:w="2693" w:type="dxa"/>
          </w:tcPr>
          <w:p w14:paraId="4E592804" w14:textId="032EBF4A" w:rsidR="00D65CBF" w:rsidRDefault="00250275">
            <w:pPr>
              <w:spacing w:line="240" w:lineRule="auto"/>
              <w:rPr>
                <w:highlight w:val="white"/>
              </w:rPr>
            </w:pPr>
            <w:r>
              <w:rPr>
                <w:highlight w:val="white"/>
              </w:rPr>
              <w:t>Kodanikuühiskonna konsultantide ja maakondliku kodanikuühiskonna nõustamisteenusega seotud isikute õppereis</w:t>
            </w:r>
            <w:r w:rsidR="00F3185D">
              <w:rPr>
                <w:highlight w:val="white"/>
              </w:rPr>
              <w:t xml:space="preserve"> Portugali</w:t>
            </w:r>
            <w:r>
              <w:rPr>
                <w:highlight w:val="white"/>
              </w:rPr>
              <w:t>.</w:t>
            </w:r>
          </w:p>
        </w:tc>
      </w:tr>
      <w:tr w:rsidR="00862BD5" w14:paraId="73768D9F" w14:textId="77777777" w:rsidTr="005C3B33">
        <w:trPr>
          <w:trHeight w:val="294"/>
        </w:trPr>
        <w:tc>
          <w:tcPr>
            <w:tcW w:w="1305" w:type="dxa"/>
            <w:vMerge/>
          </w:tcPr>
          <w:p w14:paraId="1CE0D8A8" w14:textId="77777777" w:rsidR="00862BD5" w:rsidRDefault="00862BD5">
            <w:pPr>
              <w:pBdr>
                <w:top w:val="nil"/>
                <w:left w:val="nil"/>
                <w:bottom w:val="nil"/>
                <w:right w:val="nil"/>
                <w:between w:val="nil"/>
              </w:pBdr>
              <w:spacing w:line="276" w:lineRule="auto"/>
              <w:jc w:val="left"/>
              <w:rPr>
                <w:highlight w:val="white"/>
              </w:rPr>
            </w:pPr>
          </w:p>
        </w:tc>
        <w:tc>
          <w:tcPr>
            <w:tcW w:w="992" w:type="dxa"/>
            <w:vMerge/>
          </w:tcPr>
          <w:p w14:paraId="78E47799" w14:textId="77777777" w:rsidR="00862BD5" w:rsidRDefault="00862BD5">
            <w:pPr>
              <w:pBdr>
                <w:top w:val="nil"/>
                <w:left w:val="nil"/>
                <w:bottom w:val="nil"/>
                <w:right w:val="nil"/>
                <w:between w:val="nil"/>
              </w:pBdr>
              <w:spacing w:line="276" w:lineRule="auto"/>
              <w:jc w:val="left"/>
              <w:rPr>
                <w:highlight w:val="white"/>
              </w:rPr>
            </w:pPr>
          </w:p>
        </w:tc>
        <w:tc>
          <w:tcPr>
            <w:tcW w:w="993" w:type="dxa"/>
            <w:vMerge/>
          </w:tcPr>
          <w:p w14:paraId="6FCD2F3A" w14:textId="77777777" w:rsidR="00862BD5" w:rsidRDefault="00862BD5">
            <w:pPr>
              <w:pBdr>
                <w:top w:val="nil"/>
                <w:left w:val="nil"/>
                <w:bottom w:val="nil"/>
                <w:right w:val="nil"/>
                <w:between w:val="nil"/>
              </w:pBdr>
              <w:spacing w:line="276" w:lineRule="auto"/>
              <w:jc w:val="left"/>
              <w:rPr>
                <w:highlight w:val="white"/>
              </w:rPr>
            </w:pPr>
          </w:p>
        </w:tc>
        <w:tc>
          <w:tcPr>
            <w:tcW w:w="1559" w:type="dxa"/>
          </w:tcPr>
          <w:p w14:paraId="2D99ADA5" w14:textId="6C459E25" w:rsidR="00862BD5" w:rsidRDefault="5351F054">
            <w:pPr>
              <w:spacing w:line="240" w:lineRule="auto"/>
              <w:rPr>
                <w:highlight w:val="white"/>
              </w:rPr>
            </w:pPr>
            <w:r w:rsidRPr="3C7F867A">
              <w:rPr>
                <w:highlight w:val="white"/>
              </w:rPr>
              <w:t>Arenguprogramm</w:t>
            </w:r>
            <w:r w:rsidR="29A95FDB" w:rsidRPr="3C7F867A">
              <w:rPr>
                <w:highlight w:val="white"/>
              </w:rPr>
              <w:t>i kavand</w:t>
            </w:r>
          </w:p>
        </w:tc>
        <w:tc>
          <w:tcPr>
            <w:tcW w:w="1559" w:type="dxa"/>
          </w:tcPr>
          <w:p w14:paraId="7BA76A3B" w14:textId="0B8357C4" w:rsidR="00862BD5" w:rsidRDefault="00862BD5">
            <w:pPr>
              <w:spacing w:line="240" w:lineRule="auto"/>
              <w:rPr>
                <w:highlight w:val="white"/>
              </w:rPr>
            </w:pPr>
            <w:r>
              <w:rPr>
                <w:highlight w:val="white"/>
              </w:rPr>
              <w:t>1</w:t>
            </w:r>
          </w:p>
        </w:tc>
        <w:tc>
          <w:tcPr>
            <w:tcW w:w="2693" w:type="dxa"/>
          </w:tcPr>
          <w:p w14:paraId="60A34AB9" w14:textId="50FC6E54" w:rsidR="00862BD5" w:rsidRDefault="00862BD5">
            <w:pPr>
              <w:spacing w:line="240" w:lineRule="auto"/>
              <w:rPr>
                <w:highlight w:val="white"/>
              </w:rPr>
            </w:pPr>
            <w:r>
              <w:rPr>
                <w:highlight w:val="white"/>
              </w:rPr>
              <w:t xml:space="preserve">2025. aastal viiakse maakondlike kodanikuühiskonna konsultantide arenguprogramm läbi esimest korda. </w:t>
            </w:r>
          </w:p>
        </w:tc>
      </w:tr>
      <w:tr w:rsidR="00D65CBF" w14:paraId="450FFDB5" w14:textId="77777777" w:rsidTr="005C3B33">
        <w:trPr>
          <w:trHeight w:val="294"/>
        </w:trPr>
        <w:tc>
          <w:tcPr>
            <w:tcW w:w="1305" w:type="dxa"/>
            <w:vMerge/>
          </w:tcPr>
          <w:p w14:paraId="1AF470AC" w14:textId="77777777" w:rsidR="00D65CBF" w:rsidRDefault="00D65CBF">
            <w:pPr>
              <w:pBdr>
                <w:top w:val="nil"/>
                <w:left w:val="nil"/>
                <w:bottom w:val="nil"/>
                <w:right w:val="nil"/>
                <w:between w:val="nil"/>
              </w:pBdr>
              <w:spacing w:line="276" w:lineRule="auto"/>
              <w:jc w:val="left"/>
              <w:rPr>
                <w:highlight w:val="white"/>
              </w:rPr>
            </w:pPr>
          </w:p>
        </w:tc>
        <w:tc>
          <w:tcPr>
            <w:tcW w:w="992" w:type="dxa"/>
            <w:vMerge/>
          </w:tcPr>
          <w:p w14:paraId="2E933F9E" w14:textId="77777777" w:rsidR="00D65CBF" w:rsidRDefault="00D65CBF">
            <w:pPr>
              <w:pBdr>
                <w:top w:val="nil"/>
                <w:left w:val="nil"/>
                <w:bottom w:val="nil"/>
                <w:right w:val="nil"/>
                <w:between w:val="nil"/>
              </w:pBdr>
              <w:spacing w:line="276" w:lineRule="auto"/>
              <w:jc w:val="left"/>
              <w:rPr>
                <w:highlight w:val="white"/>
              </w:rPr>
            </w:pPr>
          </w:p>
        </w:tc>
        <w:tc>
          <w:tcPr>
            <w:tcW w:w="993" w:type="dxa"/>
            <w:vMerge/>
          </w:tcPr>
          <w:p w14:paraId="61FC4EA9" w14:textId="77777777" w:rsidR="00D65CBF" w:rsidRDefault="00D65CBF">
            <w:pPr>
              <w:pBdr>
                <w:top w:val="nil"/>
                <w:left w:val="nil"/>
                <w:bottom w:val="nil"/>
                <w:right w:val="nil"/>
                <w:between w:val="nil"/>
              </w:pBdr>
              <w:spacing w:line="276" w:lineRule="auto"/>
              <w:jc w:val="left"/>
              <w:rPr>
                <w:highlight w:val="white"/>
              </w:rPr>
            </w:pPr>
          </w:p>
        </w:tc>
        <w:tc>
          <w:tcPr>
            <w:tcW w:w="1559" w:type="dxa"/>
          </w:tcPr>
          <w:p w14:paraId="2762A76D" w14:textId="77777777" w:rsidR="00D65CBF" w:rsidRDefault="00250275">
            <w:pPr>
              <w:spacing w:line="240" w:lineRule="auto"/>
              <w:rPr>
                <w:highlight w:val="white"/>
              </w:rPr>
            </w:pPr>
            <w:r>
              <w:rPr>
                <w:highlight w:val="white"/>
              </w:rPr>
              <w:t>Lähteülesanne</w:t>
            </w:r>
          </w:p>
        </w:tc>
        <w:tc>
          <w:tcPr>
            <w:tcW w:w="1559" w:type="dxa"/>
          </w:tcPr>
          <w:p w14:paraId="0EBDC802" w14:textId="77777777" w:rsidR="00D65CBF" w:rsidRDefault="00250275">
            <w:pPr>
              <w:spacing w:line="240" w:lineRule="auto"/>
              <w:rPr>
                <w:highlight w:val="white"/>
              </w:rPr>
            </w:pPr>
            <w:r>
              <w:rPr>
                <w:highlight w:val="white"/>
              </w:rPr>
              <w:t>1</w:t>
            </w:r>
          </w:p>
        </w:tc>
        <w:tc>
          <w:tcPr>
            <w:tcW w:w="2693" w:type="dxa"/>
          </w:tcPr>
          <w:p w14:paraId="21AEAC2D" w14:textId="70CAE847" w:rsidR="00D65CBF" w:rsidRDefault="005C3B33" w:rsidP="005C3B33">
            <w:pPr>
              <w:spacing w:line="240" w:lineRule="auto"/>
              <w:jc w:val="left"/>
              <w:rPr>
                <w:highlight w:val="white"/>
              </w:rPr>
            </w:pPr>
            <w:r>
              <w:rPr>
                <w:highlight w:val="white"/>
              </w:rPr>
              <w:t>AP t</w:t>
            </w:r>
            <w:r w:rsidR="00250275">
              <w:rPr>
                <w:highlight w:val="white"/>
              </w:rPr>
              <w:t xml:space="preserve">öögrupp esitab aasta lõpuks arenguprogrammi järgmiseks läbiviimiseks </w:t>
            </w:r>
            <w:r w:rsidR="00F3185D">
              <w:rPr>
                <w:highlight w:val="white"/>
              </w:rPr>
              <w:t xml:space="preserve">ajakohastatud </w:t>
            </w:r>
            <w:r w:rsidR="00250275">
              <w:rPr>
                <w:highlight w:val="white"/>
              </w:rPr>
              <w:t xml:space="preserve">lähteülesande. </w:t>
            </w:r>
          </w:p>
        </w:tc>
      </w:tr>
      <w:tr w:rsidR="00D65CBF" w14:paraId="4C1E0069" w14:textId="77777777" w:rsidTr="005C3B33">
        <w:trPr>
          <w:trHeight w:val="294"/>
        </w:trPr>
        <w:tc>
          <w:tcPr>
            <w:tcW w:w="1305" w:type="dxa"/>
            <w:vMerge/>
          </w:tcPr>
          <w:p w14:paraId="1184EDE9" w14:textId="77777777" w:rsidR="00D65CBF" w:rsidRDefault="00D65CBF">
            <w:pPr>
              <w:pBdr>
                <w:top w:val="nil"/>
                <w:left w:val="nil"/>
                <w:bottom w:val="nil"/>
                <w:right w:val="nil"/>
                <w:between w:val="nil"/>
              </w:pBdr>
              <w:spacing w:line="276" w:lineRule="auto"/>
              <w:jc w:val="left"/>
              <w:rPr>
                <w:highlight w:val="white"/>
              </w:rPr>
            </w:pPr>
          </w:p>
        </w:tc>
        <w:tc>
          <w:tcPr>
            <w:tcW w:w="992" w:type="dxa"/>
            <w:vMerge/>
          </w:tcPr>
          <w:p w14:paraId="33A7BF5D" w14:textId="77777777" w:rsidR="00D65CBF" w:rsidRDefault="00D65CBF">
            <w:pPr>
              <w:pBdr>
                <w:top w:val="nil"/>
                <w:left w:val="nil"/>
                <w:bottom w:val="nil"/>
                <w:right w:val="nil"/>
                <w:between w:val="nil"/>
              </w:pBdr>
              <w:spacing w:line="276" w:lineRule="auto"/>
              <w:jc w:val="left"/>
              <w:rPr>
                <w:highlight w:val="white"/>
              </w:rPr>
            </w:pPr>
          </w:p>
        </w:tc>
        <w:tc>
          <w:tcPr>
            <w:tcW w:w="993" w:type="dxa"/>
            <w:vMerge/>
          </w:tcPr>
          <w:p w14:paraId="456523B5" w14:textId="77777777" w:rsidR="00D65CBF" w:rsidRDefault="00D65CBF">
            <w:pPr>
              <w:pBdr>
                <w:top w:val="nil"/>
                <w:left w:val="nil"/>
                <w:bottom w:val="nil"/>
                <w:right w:val="nil"/>
                <w:between w:val="nil"/>
              </w:pBdr>
              <w:spacing w:line="276" w:lineRule="auto"/>
              <w:jc w:val="left"/>
              <w:rPr>
                <w:highlight w:val="white"/>
              </w:rPr>
            </w:pPr>
          </w:p>
        </w:tc>
        <w:tc>
          <w:tcPr>
            <w:tcW w:w="1559" w:type="dxa"/>
          </w:tcPr>
          <w:p w14:paraId="5417B730" w14:textId="77777777" w:rsidR="00D65CBF" w:rsidRDefault="00250275">
            <w:pPr>
              <w:spacing w:line="240" w:lineRule="auto"/>
              <w:rPr>
                <w:highlight w:val="white"/>
              </w:rPr>
            </w:pPr>
            <w:r>
              <w:rPr>
                <w:highlight w:val="white"/>
              </w:rPr>
              <w:t>Hindamismetoodika dokument</w:t>
            </w:r>
          </w:p>
        </w:tc>
        <w:tc>
          <w:tcPr>
            <w:tcW w:w="1559" w:type="dxa"/>
          </w:tcPr>
          <w:p w14:paraId="2CDB7D83" w14:textId="77777777" w:rsidR="00D65CBF" w:rsidRDefault="00250275">
            <w:pPr>
              <w:spacing w:line="240" w:lineRule="auto"/>
              <w:rPr>
                <w:highlight w:val="white"/>
              </w:rPr>
            </w:pPr>
            <w:r>
              <w:rPr>
                <w:highlight w:val="white"/>
              </w:rPr>
              <w:t>1</w:t>
            </w:r>
          </w:p>
        </w:tc>
        <w:tc>
          <w:tcPr>
            <w:tcW w:w="2693" w:type="dxa"/>
          </w:tcPr>
          <w:p w14:paraId="7B6AD298" w14:textId="57F750AF" w:rsidR="00D65CBF" w:rsidRDefault="005C3B33" w:rsidP="005C3B33">
            <w:pPr>
              <w:spacing w:line="240" w:lineRule="auto"/>
              <w:jc w:val="left"/>
              <w:rPr>
                <w:highlight w:val="white"/>
              </w:rPr>
            </w:pPr>
            <w:r>
              <w:rPr>
                <w:highlight w:val="white"/>
              </w:rPr>
              <w:t>AP t</w:t>
            </w:r>
            <w:r w:rsidR="00250275">
              <w:rPr>
                <w:highlight w:val="white"/>
              </w:rPr>
              <w:t>öögrupp esitab arenguprogrammi hindamiseks hindamismetoodika dokumendi.</w:t>
            </w:r>
          </w:p>
        </w:tc>
      </w:tr>
    </w:tbl>
    <w:p w14:paraId="3602AB44" w14:textId="77777777" w:rsidR="00D65CBF" w:rsidRDefault="00D65CBF">
      <w:pPr>
        <w:spacing w:line="240" w:lineRule="auto"/>
        <w:rPr>
          <w:highlight w:val="white"/>
        </w:rPr>
      </w:pPr>
    </w:p>
    <w:p w14:paraId="1F71117E" w14:textId="77777777" w:rsidR="00D65CBF" w:rsidRDefault="76D786FD" w:rsidP="3C7F867A">
      <w:pPr>
        <w:pStyle w:val="Heading1"/>
        <w:keepLines w:val="0"/>
        <w:widowControl/>
        <w:numPr>
          <w:ilvl w:val="0"/>
          <w:numId w:val="1"/>
        </w:numPr>
        <w:spacing w:after="60" w:line="240" w:lineRule="auto"/>
        <w:ind w:hanging="720"/>
        <w:jc w:val="left"/>
        <w:rPr>
          <w:b/>
          <w:bCs/>
          <w:color w:val="000000"/>
          <w:sz w:val="24"/>
          <w:szCs w:val="24"/>
          <w:highlight w:val="white"/>
        </w:rPr>
      </w:pPr>
      <w:r w:rsidRPr="3C7F867A">
        <w:rPr>
          <w:b/>
          <w:bCs/>
          <w:color w:val="000000" w:themeColor="text1"/>
          <w:sz w:val="24"/>
          <w:szCs w:val="24"/>
          <w:highlight w:val="white"/>
        </w:rPr>
        <w:t xml:space="preserve">Toetatav tegevus 2.2: Lastega ja noortega tegelevate vabaühenduste kaasamis- ja osalemisoskuste tõstmine. </w:t>
      </w:r>
    </w:p>
    <w:p w14:paraId="4FB8D4AE" w14:textId="77777777" w:rsidR="00D65CBF" w:rsidRDefault="76D786FD" w:rsidP="3C7F867A">
      <w:pPr>
        <w:pStyle w:val="Heading2"/>
        <w:keepLines w:val="0"/>
        <w:widowControl/>
        <w:numPr>
          <w:ilvl w:val="1"/>
          <w:numId w:val="1"/>
        </w:numPr>
        <w:tabs>
          <w:tab w:val="left" w:pos="426"/>
        </w:tabs>
        <w:spacing w:before="240" w:after="60" w:line="240" w:lineRule="auto"/>
        <w:rPr>
          <w:b/>
          <w:bCs/>
          <w:color w:val="000000"/>
          <w:sz w:val="24"/>
          <w:szCs w:val="24"/>
          <w:highlight w:val="white"/>
        </w:rPr>
      </w:pPr>
      <w:r w:rsidRPr="3C7F867A">
        <w:rPr>
          <w:b/>
          <w:bCs/>
          <w:color w:val="000000" w:themeColor="text1"/>
          <w:sz w:val="24"/>
          <w:szCs w:val="24"/>
          <w:highlight w:val="white"/>
        </w:rPr>
        <w:t xml:space="preserve"> Alategevus: Maakondlike koolitus- ja arendustegevuste korraldamine ja läbi viimine</w:t>
      </w:r>
    </w:p>
    <w:p w14:paraId="00C4031D" w14:textId="77777777" w:rsidR="00D65CBF" w:rsidRDefault="00D65CBF">
      <w:pPr>
        <w:spacing w:line="240" w:lineRule="auto"/>
        <w:rPr>
          <w:highlight w:val="white"/>
        </w:rPr>
      </w:pPr>
    </w:p>
    <w:p w14:paraId="7AB81239" w14:textId="77777777" w:rsidR="00D65CBF" w:rsidRDefault="00D65CBF">
      <w:pPr>
        <w:spacing w:line="240" w:lineRule="auto"/>
        <w:rPr>
          <w:highlight w:val="white"/>
        </w:rPr>
      </w:pPr>
    </w:p>
    <w:p w14:paraId="02A018BC" w14:textId="41D28925" w:rsidR="00D65CBF" w:rsidRDefault="3AB1459F">
      <w:pPr>
        <w:spacing w:line="240" w:lineRule="auto"/>
        <w:rPr>
          <w:highlight w:val="white"/>
        </w:rPr>
      </w:pPr>
      <w:r w:rsidRPr="3320956D">
        <w:rPr>
          <w:highlight w:val="white"/>
        </w:rPr>
        <w:t>V</w:t>
      </w:r>
      <w:r w:rsidR="2D310563" w:rsidRPr="3320956D">
        <w:rPr>
          <w:highlight w:val="white"/>
        </w:rPr>
        <w:t xml:space="preserve">abaühenduste laste ja noorte kaasamisoskuste tõstmise kontseptsiooni kokkupanemise teenusepakkujaks valiti 2024. aastal riigihanke tulemusena SA Mõttekoda </w:t>
      </w:r>
      <w:proofErr w:type="spellStart"/>
      <w:r w:rsidR="2D310563" w:rsidRPr="3320956D">
        <w:rPr>
          <w:highlight w:val="white"/>
        </w:rPr>
        <w:t>Praxis</w:t>
      </w:r>
      <w:proofErr w:type="spellEnd"/>
      <w:r w:rsidR="2D310563" w:rsidRPr="3320956D">
        <w:rPr>
          <w:highlight w:val="white"/>
        </w:rPr>
        <w:t xml:space="preserve">, kes viib läbi tegevused vastavalt töövõtulepingule.  </w:t>
      </w:r>
      <w:r w:rsidR="76D786FD" w:rsidRPr="3320956D">
        <w:rPr>
          <w:highlight w:val="white"/>
        </w:rPr>
        <w:t>2025. aastal alustab teenusepakkuja vabaühenduste kaasamisoskuste tõstmise kontseptsiooni koostamisega. Teenusepakkuja viib läbi maakondlikud kohtumised 2025. II kv</w:t>
      </w:r>
      <w:r w:rsidR="78B3EA70" w:rsidRPr="3320956D">
        <w:rPr>
          <w:highlight w:val="white"/>
        </w:rPr>
        <w:t>a</w:t>
      </w:r>
      <w:r w:rsidR="76D786FD" w:rsidRPr="3320956D">
        <w:rPr>
          <w:highlight w:val="white"/>
        </w:rPr>
        <w:t>rtali lõpuks, millele järgneb kogutud materjalide analüüs</w:t>
      </w:r>
      <w:r w:rsidRPr="3320956D">
        <w:rPr>
          <w:highlight w:val="white"/>
        </w:rPr>
        <w:t xml:space="preserve">. </w:t>
      </w:r>
      <w:r w:rsidR="2D310563" w:rsidRPr="3320956D">
        <w:rPr>
          <w:highlight w:val="white"/>
        </w:rPr>
        <w:t>K</w:t>
      </w:r>
      <w:r w:rsidR="76D786FD" w:rsidRPr="3320956D">
        <w:rPr>
          <w:highlight w:val="white"/>
        </w:rPr>
        <w:t xml:space="preserve">ontseptsioon valmib 2025. aasta </w:t>
      </w:r>
      <w:r w:rsidR="462FBFD7" w:rsidRPr="3320956D">
        <w:rPr>
          <w:highlight w:val="white"/>
        </w:rPr>
        <w:t>III kvartali</w:t>
      </w:r>
      <w:r w:rsidR="76D786FD" w:rsidRPr="3320956D">
        <w:rPr>
          <w:highlight w:val="white"/>
        </w:rPr>
        <w:t xml:space="preserve"> lõpuks, misjärel kujundatakse tegevused</w:t>
      </w:r>
      <w:r w:rsidR="2D310563" w:rsidRPr="3320956D">
        <w:rPr>
          <w:highlight w:val="white"/>
        </w:rPr>
        <w:t xml:space="preserve"> kontseptsiooni elluviimiseks</w:t>
      </w:r>
      <w:r w:rsidR="76D786FD" w:rsidRPr="3320956D">
        <w:rPr>
          <w:highlight w:val="white"/>
        </w:rPr>
        <w:t xml:space="preserve"> aastate</w:t>
      </w:r>
      <w:r w:rsidR="2D310563" w:rsidRPr="3320956D">
        <w:rPr>
          <w:highlight w:val="white"/>
        </w:rPr>
        <w:t>l</w:t>
      </w:r>
      <w:r w:rsidR="76D786FD" w:rsidRPr="3320956D">
        <w:rPr>
          <w:highlight w:val="white"/>
        </w:rPr>
        <w:t xml:space="preserve"> 2026-2028. </w:t>
      </w:r>
    </w:p>
    <w:p w14:paraId="52E1A542" w14:textId="77777777" w:rsidR="00D65CBF" w:rsidRDefault="00D65CBF">
      <w:pPr>
        <w:spacing w:line="240" w:lineRule="auto"/>
        <w:rPr>
          <w:highlight w:val="white"/>
        </w:rPr>
      </w:pPr>
    </w:p>
    <w:p w14:paraId="358DC154" w14:textId="0F390DC9" w:rsidR="00D65CBF" w:rsidRDefault="2D310563" w:rsidP="68482FDB">
      <w:pPr>
        <w:spacing w:line="240" w:lineRule="auto"/>
        <w:jc w:val="left"/>
        <w:rPr>
          <w:highlight w:val="white"/>
        </w:rPr>
      </w:pPr>
      <w:r w:rsidRPr="3C7F867A">
        <w:rPr>
          <w:highlight w:val="white"/>
        </w:rPr>
        <w:t>L</w:t>
      </w:r>
      <w:r w:rsidR="76D786FD" w:rsidRPr="3C7F867A">
        <w:rPr>
          <w:highlight w:val="white"/>
        </w:rPr>
        <w:t>oodavale  kontseptsioonile annab omapoolse tagasiside</w:t>
      </w:r>
      <w:r w:rsidR="69262602" w:rsidRPr="3C7F867A">
        <w:rPr>
          <w:highlight w:val="white"/>
        </w:rPr>
        <w:t xml:space="preserve"> elluviija moodustatud</w:t>
      </w:r>
      <w:r w:rsidR="76D786FD" w:rsidRPr="3C7F867A">
        <w:rPr>
          <w:highlight w:val="white"/>
        </w:rPr>
        <w:t xml:space="preserve"> ekspertide töö</w:t>
      </w:r>
      <w:r w:rsidR="0002C553" w:rsidRPr="3C7F867A">
        <w:rPr>
          <w:highlight w:val="white"/>
        </w:rPr>
        <w:t>grupp</w:t>
      </w:r>
      <w:r w:rsidR="005C3B33">
        <w:rPr>
          <w:highlight w:val="white"/>
        </w:rPr>
        <w:t xml:space="preserve"> (edaspidi MK töögrupp)</w:t>
      </w:r>
      <w:r w:rsidR="22F713D8" w:rsidRPr="3C7F867A">
        <w:rPr>
          <w:highlight w:val="white"/>
        </w:rPr>
        <w:t>,</w:t>
      </w:r>
      <w:r w:rsidR="76D786FD" w:rsidRPr="3C7F867A">
        <w:rPr>
          <w:highlight w:val="white"/>
        </w:rPr>
        <w:t xml:space="preserve"> mis võimaldab teenusepakkujal parema kontseptsiooni loomist.</w:t>
      </w:r>
      <w:r w:rsidR="494F603F" w:rsidRPr="3C7F867A">
        <w:rPr>
          <w:highlight w:val="white"/>
        </w:rPr>
        <w:t xml:space="preserve"> </w:t>
      </w:r>
      <w:r w:rsidR="005C3B33">
        <w:rPr>
          <w:highlight w:val="white"/>
        </w:rPr>
        <w:t xml:space="preserve">MK </w:t>
      </w:r>
      <w:r w:rsidR="494F603F" w:rsidRPr="3C7F867A">
        <w:rPr>
          <w:highlight w:val="white"/>
        </w:rPr>
        <w:t xml:space="preserve">töögruppi on kaasatud erinevaid projekti seisukohast olulisi osapooli. </w:t>
      </w:r>
      <w:r w:rsidR="005C3B33">
        <w:rPr>
          <w:highlight w:val="white"/>
        </w:rPr>
        <w:t>MK t</w:t>
      </w:r>
      <w:r w:rsidR="494F603F" w:rsidRPr="3C7F867A">
        <w:rPr>
          <w:highlight w:val="white"/>
        </w:rPr>
        <w:t xml:space="preserve">öögrupis on esindatud kaasamisekspert, maakondlike arenduskeskuste (edaspidi MAK) vabaühenduste  konsultant, MAK koordinaator, kaardistusekspert, koolitusekspert ja </w:t>
      </w:r>
      <w:proofErr w:type="spellStart"/>
      <w:r w:rsidR="494F603F" w:rsidRPr="3C7F867A">
        <w:rPr>
          <w:highlight w:val="white"/>
        </w:rPr>
        <w:t>KÜSKi</w:t>
      </w:r>
      <w:proofErr w:type="spellEnd"/>
      <w:r w:rsidR="494F603F" w:rsidRPr="3C7F867A">
        <w:rPr>
          <w:highlight w:val="white"/>
        </w:rPr>
        <w:t xml:space="preserve"> esindaja. </w:t>
      </w:r>
      <w:r w:rsidR="005C3B33">
        <w:rPr>
          <w:highlight w:val="white"/>
        </w:rPr>
        <w:t>MK t</w:t>
      </w:r>
      <w:r w:rsidR="494F603F" w:rsidRPr="3C7F867A">
        <w:rPr>
          <w:highlight w:val="white"/>
        </w:rPr>
        <w:t xml:space="preserve">öögrupi juures saavad kaasa rääkida ka nn vabakuulajad, kellele on antud juurdepääs </w:t>
      </w:r>
      <w:r w:rsidR="005C3B33">
        <w:rPr>
          <w:highlight w:val="white"/>
        </w:rPr>
        <w:t xml:space="preserve">MK </w:t>
      </w:r>
      <w:r w:rsidR="494F603F" w:rsidRPr="3C7F867A">
        <w:rPr>
          <w:highlight w:val="white"/>
        </w:rPr>
        <w:t>töögrupi dokumentidele ja võimalus soovi korral osaleda</w:t>
      </w:r>
      <w:r w:rsidR="005C3B33">
        <w:rPr>
          <w:highlight w:val="white"/>
        </w:rPr>
        <w:t xml:space="preserve"> MK</w:t>
      </w:r>
      <w:r w:rsidR="494F603F" w:rsidRPr="3C7F867A">
        <w:rPr>
          <w:highlight w:val="white"/>
        </w:rPr>
        <w:t xml:space="preserve"> töögrupi tööprotsessis. Vabakuulajate roll on anda tagasisidet </w:t>
      </w:r>
      <w:r w:rsidR="005C3B33">
        <w:rPr>
          <w:highlight w:val="white"/>
        </w:rPr>
        <w:t xml:space="preserve">MK </w:t>
      </w:r>
      <w:r w:rsidR="494F603F" w:rsidRPr="3C7F867A">
        <w:rPr>
          <w:highlight w:val="white"/>
        </w:rPr>
        <w:t>töögrupi tööle ja esindada noorte huve. Vabakuulajaks olemise võimalus on antud üle-eestilistele noorteorganisatsioonidele ja Siseministeeriumi esindajale.</w:t>
      </w:r>
      <w:r w:rsidR="76D786FD" w:rsidRPr="3C7F867A">
        <w:rPr>
          <w:highlight w:val="white"/>
        </w:rPr>
        <w:t xml:space="preserve"> </w:t>
      </w:r>
      <w:r w:rsidR="5351F054" w:rsidRPr="3C7F867A">
        <w:rPr>
          <w:highlight w:val="white"/>
        </w:rPr>
        <w:t xml:space="preserve">Kui </w:t>
      </w:r>
      <w:r w:rsidR="76D786FD" w:rsidRPr="3C7F867A">
        <w:rPr>
          <w:highlight w:val="white"/>
        </w:rPr>
        <w:t xml:space="preserve">teenusepakkuja </w:t>
      </w:r>
      <w:r w:rsidR="5351F054" w:rsidRPr="3C7F867A">
        <w:rPr>
          <w:highlight w:val="white"/>
        </w:rPr>
        <w:t xml:space="preserve">on </w:t>
      </w:r>
      <w:r w:rsidR="76D786FD" w:rsidRPr="3C7F867A">
        <w:rPr>
          <w:highlight w:val="white"/>
        </w:rPr>
        <w:t xml:space="preserve">kontseptsiooni </w:t>
      </w:r>
      <w:r w:rsidR="5351F054" w:rsidRPr="3C7F867A">
        <w:rPr>
          <w:highlight w:val="white"/>
        </w:rPr>
        <w:t>koostanud</w:t>
      </w:r>
      <w:r w:rsidR="01738A60" w:rsidRPr="3C7F867A">
        <w:rPr>
          <w:highlight w:val="white"/>
        </w:rPr>
        <w:t>,</w:t>
      </w:r>
      <w:r w:rsidR="76D786FD" w:rsidRPr="3C7F867A">
        <w:rPr>
          <w:highlight w:val="white"/>
        </w:rPr>
        <w:t xml:space="preserve"> vormistab </w:t>
      </w:r>
      <w:r w:rsidR="005C3B33">
        <w:rPr>
          <w:highlight w:val="white"/>
        </w:rPr>
        <w:t xml:space="preserve">MK </w:t>
      </w:r>
      <w:r w:rsidR="0002C553" w:rsidRPr="3C7F867A">
        <w:rPr>
          <w:highlight w:val="white"/>
        </w:rPr>
        <w:t xml:space="preserve">töögrupp </w:t>
      </w:r>
      <w:r w:rsidR="76D786FD" w:rsidRPr="3C7F867A">
        <w:rPr>
          <w:highlight w:val="white"/>
        </w:rPr>
        <w:t>lähteülesande</w:t>
      </w:r>
      <w:r w:rsidR="7B754D4F" w:rsidRPr="3C7F867A">
        <w:rPr>
          <w:highlight w:val="white"/>
        </w:rPr>
        <w:t>, et</w:t>
      </w:r>
      <w:r w:rsidR="76D786FD" w:rsidRPr="3C7F867A">
        <w:rPr>
          <w:highlight w:val="white"/>
        </w:rPr>
        <w:t xml:space="preserve"> leid</w:t>
      </w:r>
      <w:r w:rsidR="7B754D4F" w:rsidRPr="3C7F867A">
        <w:rPr>
          <w:highlight w:val="white"/>
        </w:rPr>
        <w:t>a</w:t>
      </w:r>
      <w:r w:rsidR="76D786FD" w:rsidRPr="3C7F867A">
        <w:rPr>
          <w:highlight w:val="white"/>
        </w:rPr>
        <w:t xml:space="preserve"> teenusepakkuja vabaühenduste laste ja noorte kaasamisoskuste tõstmise </w:t>
      </w:r>
      <w:r w:rsidR="0002C553">
        <w:t xml:space="preserve">kontseptsiooni </w:t>
      </w:r>
      <w:r w:rsidR="76D786FD" w:rsidRPr="3C7F867A">
        <w:rPr>
          <w:highlight w:val="white"/>
        </w:rPr>
        <w:t xml:space="preserve">esmakordseks läbiviimiseks. 2026. aastal korraldatakse riigihange leidmaks teenusepakkuja, kes eelmainitud tööriista esmakordselt kasutaks, kaasates </w:t>
      </w:r>
      <w:r w:rsidR="3AB5C7EA" w:rsidRPr="3C7F867A">
        <w:rPr>
          <w:highlight w:val="white"/>
        </w:rPr>
        <w:t>maakondlik</w:t>
      </w:r>
      <w:r w:rsidR="7B754D4F" w:rsidRPr="3C7F867A">
        <w:rPr>
          <w:highlight w:val="white"/>
        </w:rPr>
        <w:t>k</w:t>
      </w:r>
      <w:r w:rsidR="3AB5C7EA" w:rsidRPr="3C7F867A">
        <w:rPr>
          <w:highlight w:val="white"/>
        </w:rPr>
        <w:t>e vabaühendusi</w:t>
      </w:r>
      <w:r w:rsidR="76D786FD" w:rsidRPr="3C7F867A">
        <w:rPr>
          <w:highlight w:val="white"/>
        </w:rPr>
        <w:t xml:space="preserve">.  </w:t>
      </w:r>
    </w:p>
    <w:p w14:paraId="1A3E70A9" w14:textId="77777777" w:rsidR="00D65CBF" w:rsidRDefault="00D65CBF">
      <w:pPr>
        <w:spacing w:line="240" w:lineRule="auto"/>
        <w:rPr>
          <w:highlight w:val="white"/>
        </w:rPr>
      </w:pPr>
    </w:p>
    <w:p w14:paraId="6874BF43" w14:textId="1657EAC4" w:rsidR="00D65CBF" w:rsidRDefault="76D786FD">
      <w:pPr>
        <w:spacing w:before="240" w:after="240" w:line="240" w:lineRule="auto"/>
        <w:rPr>
          <w:highlight w:val="white"/>
        </w:rPr>
      </w:pPr>
      <w:r w:rsidRPr="3320956D">
        <w:rPr>
          <w:highlight w:val="white"/>
        </w:rPr>
        <w:t>Vabaühenduste kompetentsi kasvatamise juures on olulisel kohal praktiline kogemus. Kogukonnapraktika  programm</w:t>
      </w:r>
      <w:r w:rsidR="48194E71" w:rsidRPr="3320956D">
        <w:rPr>
          <w:highlight w:val="white"/>
        </w:rPr>
        <w:t xml:space="preserve"> on </w:t>
      </w:r>
      <w:r w:rsidR="3F0D6088" w:rsidRPr="3320956D">
        <w:rPr>
          <w:highlight w:val="white"/>
        </w:rPr>
        <w:t>selleks üks sobiv võimalus.</w:t>
      </w:r>
      <w:r w:rsidR="66037B17" w:rsidRPr="3320956D">
        <w:rPr>
          <w:highlight w:val="white"/>
        </w:rPr>
        <w:t xml:space="preserve"> See programm</w:t>
      </w:r>
      <w:r w:rsidRPr="3320956D">
        <w:rPr>
          <w:highlight w:val="white"/>
        </w:rPr>
        <w:t xml:space="preserve"> on avatud kõikidele koolidele ja vabaühendustele, andes noortele </w:t>
      </w:r>
      <w:r w:rsidR="37EF7653" w:rsidRPr="3320956D">
        <w:rPr>
          <w:highlight w:val="white"/>
        </w:rPr>
        <w:t xml:space="preserve">nii </w:t>
      </w:r>
      <w:r w:rsidRPr="3320956D">
        <w:rPr>
          <w:highlight w:val="white"/>
        </w:rPr>
        <w:t xml:space="preserve">arusaama kodanikuühiskonnast </w:t>
      </w:r>
      <w:r w:rsidR="53780D65" w:rsidRPr="3320956D">
        <w:rPr>
          <w:highlight w:val="white"/>
        </w:rPr>
        <w:t xml:space="preserve">kui </w:t>
      </w:r>
      <w:r w:rsidRPr="3320956D">
        <w:rPr>
          <w:highlight w:val="white"/>
        </w:rPr>
        <w:t xml:space="preserve">võimaluse mitteformaalsel teel õppida ning panustada ühiskonda. Programm annab õpilasele koostöös vabaühendustega selge arusaama kodanikuühiskonnast, võimaluse laiendada silmaringi, panna oma teadmisi proovile, märgata ja panustada ning muuta meie ühiskonda õiglasemaks ja paremaks. </w:t>
      </w:r>
      <w:r w:rsidR="349D1937" w:rsidRPr="3320956D">
        <w:rPr>
          <w:highlight w:val="white"/>
        </w:rPr>
        <w:t>Elluviija</w:t>
      </w:r>
      <w:r w:rsidR="0002C553" w:rsidRPr="3320956D">
        <w:rPr>
          <w:highlight w:val="white"/>
        </w:rPr>
        <w:t xml:space="preserve"> näeb kogukonnapraktikat kui ühte võimalikku tööriista </w:t>
      </w:r>
      <w:r w:rsidR="630C5289" w:rsidRPr="3320956D">
        <w:rPr>
          <w:highlight w:val="white"/>
        </w:rPr>
        <w:t xml:space="preserve">vabaühenduste kaasamisoskuste </w:t>
      </w:r>
      <w:r w:rsidR="0002C553" w:rsidRPr="3320956D">
        <w:rPr>
          <w:highlight w:val="white"/>
        </w:rPr>
        <w:t>kompetentsi kasvatamise kontseptsioonis</w:t>
      </w:r>
      <w:r w:rsidR="64113D26" w:rsidRPr="3320956D">
        <w:rPr>
          <w:highlight w:val="white"/>
        </w:rPr>
        <w:t>, kuna peab oluliseks praktilise kogemuse võimalus</w:t>
      </w:r>
      <w:r w:rsidR="349D1937" w:rsidRPr="3320956D">
        <w:rPr>
          <w:highlight w:val="white"/>
        </w:rPr>
        <w:t>t</w:t>
      </w:r>
      <w:r w:rsidR="2635FB80" w:rsidRPr="3320956D">
        <w:rPr>
          <w:highlight w:val="white"/>
        </w:rPr>
        <w:t>.</w:t>
      </w:r>
      <w:r w:rsidRPr="3320956D">
        <w:rPr>
          <w:highlight w:val="white"/>
        </w:rPr>
        <w:t xml:space="preserve"> 2025. aasta I kvartalis leitakse kogukonnapraktika mudeli arendamiseks teenusepakkuja ja kaardistatakse kogukonnapraktika mudeli hetkeolukord. II-III kvartal</w:t>
      </w:r>
      <w:r w:rsidR="7B754D4F" w:rsidRPr="3320956D">
        <w:rPr>
          <w:highlight w:val="white"/>
        </w:rPr>
        <w:t>is</w:t>
      </w:r>
      <w:r w:rsidRPr="3320956D">
        <w:rPr>
          <w:highlight w:val="white"/>
        </w:rPr>
        <w:t xml:space="preserve"> toimub kogukonnapraktika mudeli arendus  üle-eestiliste kohtumistega. IV kvartal</w:t>
      </w:r>
      <w:r w:rsidR="7B754D4F" w:rsidRPr="3320956D">
        <w:rPr>
          <w:highlight w:val="white"/>
        </w:rPr>
        <w:t>is</w:t>
      </w:r>
      <w:r w:rsidRPr="3320956D">
        <w:rPr>
          <w:highlight w:val="white"/>
        </w:rPr>
        <w:t xml:space="preserve"> tehakse analüüs kogukonnapraktika mudeli kasutamisest vabaühenduste laste ja noorte kaasamise kompetentsi  kasvatamisel ja lepitakse kokku edasised eesmärgid aastaks 2026.</w:t>
      </w:r>
    </w:p>
    <w:p w14:paraId="61DA4C33" w14:textId="77777777" w:rsidR="00D65CBF" w:rsidRDefault="00D65CBF">
      <w:pPr>
        <w:spacing w:line="240" w:lineRule="auto"/>
        <w:rPr>
          <w:highlight w:val="white"/>
        </w:rPr>
      </w:pPr>
    </w:p>
    <w:p w14:paraId="0EAA18B9" w14:textId="77777777" w:rsidR="00D65CBF" w:rsidRDefault="00D65CBF">
      <w:pPr>
        <w:spacing w:line="240" w:lineRule="auto"/>
        <w:rPr>
          <w:highlight w:val="white"/>
        </w:rPr>
      </w:pPr>
    </w:p>
    <w:p w14:paraId="0C86B220" w14:textId="71F9CD1D" w:rsidR="565FDDFA" w:rsidRDefault="565FDDFA" w:rsidP="565FDDFA">
      <w:pPr>
        <w:spacing w:line="240" w:lineRule="auto"/>
        <w:rPr>
          <w:b/>
          <w:bCs/>
          <w:highlight w:val="white"/>
        </w:rPr>
      </w:pPr>
    </w:p>
    <w:p w14:paraId="167DD010" w14:textId="7CEAE842" w:rsidR="565FDDFA" w:rsidRDefault="565FDDFA" w:rsidP="565FDDFA">
      <w:pPr>
        <w:spacing w:line="240" w:lineRule="auto"/>
        <w:rPr>
          <w:b/>
          <w:bCs/>
          <w:highlight w:val="white"/>
        </w:rPr>
      </w:pPr>
    </w:p>
    <w:p w14:paraId="7C6F565C" w14:textId="70DE7601" w:rsidR="565FDDFA" w:rsidRDefault="565FDDFA" w:rsidP="565FDDFA">
      <w:pPr>
        <w:spacing w:line="240" w:lineRule="auto"/>
        <w:rPr>
          <w:b/>
          <w:bCs/>
          <w:highlight w:val="white"/>
        </w:rPr>
      </w:pPr>
    </w:p>
    <w:p w14:paraId="0EE24CAD" w14:textId="31F35100" w:rsidR="565FDDFA" w:rsidRDefault="565FDDFA" w:rsidP="565FDDFA">
      <w:pPr>
        <w:spacing w:line="240" w:lineRule="auto"/>
        <w:rPr>
          <w:b/>
          <w:bCs/>
          <w:highlight w:val="white"/>
        </w:rPr>
      </w:pPr>
    </w:p>
    <w:p w14:paraId="427A6C5D" w14:textId="1DAFE07D" w:rsidR="565FDDFA" w:rsidRDefault="565FDDFA" w:rsidP="565FDDFA">
      <w:pPr>
        <w:spacing w:line="240" w:lineRule="auto"/>
        <w:rPr>
          <w:b/>
          <w:bCs/>
          <w:highlight w:val="white"/>
        </w:rPr>
      </w:pPr>
    </w:p>
    <w:p w14:paraId="2E831CAB" w14:textId="77777777" w:rsidR="00D65CBF" w:rsidRDefault="00250275">
      <w:pPr>
        <w:spacing w:line="240" w:lineRule="auto"/>
        <w:rPr>
          <w:b/>
          <w:highlight w:val="white"/>
        </w:rPr>
      </w:pPr>
      <w:bookmarkStart w:id="1" w:name="_heading=h.30j0zll" w:colFirst="0" w:colLast="0"/>
      <w:bookmarkEnd w:id="1"/>
      <w:r>
        <w:rPr>
          <w:b/>
          <w:highlight w:val="white"/>
        </w:rPr>
        <w:t>Tabel 2. Tegevustega seotud näitajad</w:t>
      </w:r>
    </w:p>
    <w:p w14:paraId="76EF8D15" w14:textId="77777777" w:rsidR="00D65CBF" w:rsidRDefault="00D65CBF">
      <w:pPr>
        <w:spacing w:line="240" w:lineRule="auto"/>
        <w:rPr>
          <w:b/>
          <w:highlight w:val="white"/>
        </w:rPr>
      </w:pPr>
    </w:p>
    <w:tbl>
      <w:tblPr>
        <w:tblStyle w:val="a1"/>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992"/>
        <w:gridCol w:w="993"/>
        <w:gridCol w:w="1842"/>
        <w:gridCol w:w="1560"/>
        <w:gridCol w:w="2409"/>
      </w:tblGrid>
      <w:tr w:rsidR="00D65CBF" w14:paraId="4C4B7FC4" w14:textId="77777777" w:rsidTr="3C7F867A">
        <w:trPr>
          <w:trHeight w:val="670"/>
        </w:trPr>
        <w:tc>
          <w:tcPr>
            <w:tcW w:w="1305" w:type="dxa"/>
          </w:tcPr>
          <w:p w14:paraId="5F044AF9" w14:textId="77777777" w:rsidR="00D65CBF" w:rsidRDefault="00250275">
            <w:pPr>
              <w:spacing w:line="240" w:lineRule="auto"/>
              <w:rPr>
                <w:b/>
                <w:highlight w:val="white"/>
              </w:rPr>
            </w:pPr>
            <w:r>
              <w:rPr>
                <w:b/>
                <w:highlight w:val="white"/>
              </w:rPr>
              <w:t>Toetatava tegevuse näitaja nimetus</w:t>
            </w:r>
          </w:p>
        </w:tc>
        <w:tc>
          <w:tcPr>
            <w:tcW w:w="992" w:type="dxa"/>
          </w:tcPr>
          <w:p w14:paraId="42BD2579" w14:textId="74D53BE9" w:rsidR="00D65CBF" w:rsidRDefault="00250275">
            <w:pPr>
              <w:spacing w:line="240" w:lineRule="auto"/>
              <w:rPr>
                <w:b/>
                <w:highlight w:val="white"/>
              </w:rPr>
            </w:pPr>
            <w:r>
              <w:rPr>
                <w:b/>
                <w:highlight w:val="white"/>
              </w:rPr>
              <w:t>Siht-tase (202</w:t>
            </w:r>
            <w:r w:rsidR="00164C2A">
              <w:rPr>
                <w:b/>
                <w:highlight w:val="white"/>
              </w:rPr>
              <w:t>4</w:t>
            </w:r>
            <w:r>
              <w:rPr>
                <w:b/>
                <w:highlight w:val="white"/>
              </w:rPr>
              <w:t>)</w:t>
            </w:r>
          </w:p>
        </w:tc>
        <w:tc>
          <w:tcPr>
            <w:tcW w:w="993" w:type="dxa"/>
          </w:tcPr>
          <w:p w14:paraId="6D5365D3" w14:textId="77777777" w:rsidR="00D65CBF" w:rsidRDefault="00250275">
            <w:pPr>
              <w:spacing w:line="240" w:lineRule="auto"/>
              <w:rPr>
                <w:b/>
                <w:highlight w:val="white"/>
              </w:rPr>
            </w:pPr>
            <w:r>
              <w:rPr>
                <w:b/>
                <w:highlight w:val="white"/>
              </w:rPr>
              <w:t>Siht-tase</w:t>
            </w:r>
          </w:p>
          <w:p w14:paraId="33764BCF" w14:textId="77777777" w:rsidR="00D65CBF" w:rsidRDefault="00250275">
            <w:pPr>
              <w:spacing w:line="240" w:lineRule="auto"/>
              <w:rPr>
                <w:b/>
                <w:highlight w:val="white"/>
              </w:rPr>
            </w:pPr>
            <w:r>
              <w:rPr>
                <w:b/>
                <w:highlight w:val="white"/>
              </w:rPr>
              <w:t>(2029)</w:t>
            </w:r>
          </w:p>
        </w:tc>
        <w:tc>
          <w:tcPr>
            <w:tcW w:w="1842" w:type="dxa"/>
          </w:tcPr>
          <w:p w14:paraId="5C471D4A" w14:textId="77777777" w:rsidR="00D65CBF" w:rsidRDefault="00250275">
            <w:pPr>
              <w:spacing w:line="240" w:lineRule="auto"/>
              <w:rPr>
                <w:b/>
                <w:highlight w:val="white"/>
              </w:rPr>
            </w:pPr>
            <w:r>
              <w:rPr>
                <w:b/>
                <w:highlight w:val="white"/>
              </w:rPr>
              <w:t>Alategevuste väljundid tegevuskava perioodil</w:t>
            </w:r>
          </w:p>
        </w:tc>
        <w:tc>
          <w:tcPr>
            <w:tcW w:w="1560" w:type="dxa"/>
          </w:tcPr>
          <w:p w14:paraId="2F3B7899" w14:textId="77777777" w:rsidR="00D65CBF" w:rsidRDefault="00250275">
            <w:pPr>
              <w:spacing w:line="240" w:lineRule="auto"/>
              <w:rPr>
                <w:b/>
                <w:highlight w:val="white"/>
              </w:rPr>
            </w:pPr>
            <w:r>
              <w:rPr>
                <w:b/>
                <w:highlight w:val="white"/>
              </w:rPr>
              <w:t>Alategevuste väljundite arv tegevuskava perioodil</w:t>
            </w:r>
          </w:p>
        </w:tc>
        <w:tc>
          <w:tcPr>
            <w:tcW w:w="2409" w:type="dxa"/>
          </w:tcPr>
          <w:p w14:paraId="178E61D2" w14:textId="77777777" w:rsidR="00D65CBF" w:rsidRDefault="00250275">
            <w:pPr>
              <w:spacing w:line="240" w:lineRule="auto"/>
              <w:rPr>
                <w:b/>
                <w:highlight w:val="white"/>
              </w:rPr>
            </w:pPr>
            <w:r>
              <w:rPr>
                <w:b/>
                <w:highlight w:val="white"/>
              </w:rPr>
              <w:t>Selgitus</w:t>
            </w:r>
          </w:p>
        </w:tc>
      </w:tr>
      <w:tr w:rsidR="00D65CBF" w14:paraId="69689B9F" w14:textId="77777777" w:rsidTr="3C7F867A">
        <w:trPr>
          <w:trHeight w:val="990"/>
        </w:trPr>
        <w:tc>
          <w:tcPr>
            <w:tcW w:w="1305" w:type="dxa"/>
            <w:vMerge w:val="restart"/>
          </w:tcPr>
          <w:p w14:paraId="0771712D" w14:textId="77777777" w:rsidR="00D65CBF" w:rsidRDefault="00D65CBF">
            <w:pPr>
              <w:spacing w:line="240" w:lineRule="auto"/>
              <w:jc w:val="center"/>
              <w:rPr>
                <w:highlight w:val="white"/>
              </w:rPr>
            </w:pPr>
          </w:p>
          <w:p w14:paraId="260F7F33" w14:textId="77777777" w:rsidR="00D65CBF" w:rsidRDefault="00250275">
            <w:pPr>
              <w:spacing w:line="240" w:lineRule="auto"/>
              <w:rPr>
                <w:highlight w:val="white"/>
              </w:rPr>
            </w:pPr>
            <w:r>
              <w:rPr>
                <w:highlight w:val="white"/>
              </w:rPr>
              <w:t xml:space="preserve">Koolitus- ja </w:t>
            </w:r>
            <w:proofErr w:type="spellStart"/>
            <w:r>
              <w:rPr>
                <w:highlight w:val="white"/>
              </w:rPr>
              <w:t>arendus-tegevuste</w:t>
            </w:r>
            <w:proofErr w:type="spellEnd"/>
            <w:r>
              <w:rPr>
                <w:highlight w:val="white"/>
              </w:rPr>
              <w:t xml:space="preserve"> programm vabaühendustele</w:t>
            </w:r>
          </w:p>
        </w:tc>
        <w:tc>
          <w:tcPr>
            <w:tcW w:w="992" w:type="dxa"/>
            <w:vMerge w:val="restart"/>
          </w:tcPr>
          <w:p w14:paraId="3B8F95AE" w14:textId="77777777" w:rsidR="00D65CBF" w:rsidRDefault="00250275">
            <w:pPr>
              <w:spacing w:line="240" w:lineRule="auto"/>
              <w:jc w:val="center"/>
              <w:rPr>
                <w:highlight w:val="white"/>
              </w:rPr>
            </w:pPr>
            <w:r>
              <w:rPr>
                <w:highlight w:val="white"/>
              </w:rPr>
              <w:t>0</w:t>
            </w:r>
          </w:p>
        </w:tc>
        <w:tc>
          <w:tcPr>
            <w:tcW w:w="993" w:type="dxa"/>
            <w:vMerge w:val="restart"/>
          </w:tcPr>
          <w:p w14:paraId="0E6DF900" w14:textId="77777777" w:rsidR="00D65CBF" w:rsidRDefault="00250275">
            <w:pPr>
              <w:spacing w:line="240" w:lineRule="auto"/>
              <w:jc w:val="center"/>
              <w:rPr>
                <w:highlight w:val="white"/>
              </w:rPr>
            </w:pPr>
            <w:r>
              <w:rPr>
                <w:highlight w:val="white"/>
              </w:rPr>
              <w:t>1</w:t>
            </w:r>
          </w:p>
        </w:tc>
        <w:tc>
          <w:tcPr>
            <w:tcW w:w="1842" w:type="dxa"/>
          </w:tcPr>
          <w:p w14:paraId="2BF61EBD" w14:textId="77777777" w:rsidR="00D65CBF" w:rsidRDefault="00250275">
            <w:pPr>
              <w:spacing w:line="240" w:lineRule="auto"/>
              <w:rPr>
                <w:color w:val="1F497D"/>
                <w:highlight w:val="white"/>
              </w:rPr>
            </w:pPr>
            <w:r>
              <w:rPr>
                <w:highlight w:val="white"/>
              </w:rPr>
              <w:t>Kontseptsioon</w:t>
            </w:r>
          </w:p>
        </w:tc>
        <w:tc>
          <w:tcPr>
            <w:tcW w:w="1560" w:type="dxa"/>
          </w:tcPr>
          <w:p w14:paraId="1C05F2CF" w14:textId="13040B6E" w:rsidR="00D65CBF" w:rsidRDefault="76D786FD" w:rsidP="68482FDB">
            <w:pPr>
              <w:spacing w:line="240" w:lineRule="auto"/>
              <w:rPr>
                <w:highlight w:val="white"/>
              </w:rPr>
            </w:pPr>
            <w:r w:rsidRPr="68482FDB">
              <w:rPr>
                <w:highlight w:val="white"/>
              </w:rPr>
              <w:t>1</w:t>
            </w:r>
          </w:p>
        </w:tc>
        <w:tc>
          <w:tcPr>
            <w:tcW w:w="2409" w:type="dxa"/>
          </w:tcPr>
          <w:p w14:paraId="2B40A0E1" w14:textId="69B7E979" w:rsidR="00D65CBF" w:rsidRDefault="16213B15" w:rsidP="68482FDB">
            <w:pPr>
              <w:spacing w:line="240" w:lineRule="auto"/>
              <w:rPr>
                <w:highlight w:val="white"/>
              </w:rPr>
            </w:pPr>
            <w:r w:rsidRPr="3C7F867A">
              <w:rPr>
                <w:highlight w:val="white"/>
              </w:rPr>
              <w:t xml:space="preserve"> Teenusepakkuja esitab elluviijale </w:t>
            </w:r>
            <w:r w:rsidR="2813A6E1" w:rsidRPr="3C7F867A">
              <w:rPr>
                <w:highlight w:val="white"/>
              </w:rPr>
              <w:t xml:space="preserve">vabaühenduste kaasamisoskuste arendamise </w:t>
            </w:r>
            <w:r w:rsidRPr="3C7F867A">
              <w:rPr>
                <w:highlight w:val="white"/>
              </w:rPr>
              <w:t>kontseptsiooni,</w:t>
            </w:r>
          </w:p>
        </w:tc>
      </w:tr>
      <w:tr w:rsidR="00D65CBF" w14:paraId="63628013" w14:textId="77777777" w:rsidTr="3C7F867A">
        <w:trPr>
          <w:trHeight w:val="1253"/>
        </w:trPr>
        <w:tc>
          <w:tcPr>
            <w:tcW w:w="1305" w:type="dxa"/>
            <w:vMerge/>
          </w:tcPr>
          <w:p w14:paraId="6D271254" w14:textId="77777777" w:rsidR="00D65CBF" w:rsidRDefault="00D65CBF">
            <w:pPr>
              <w:pBdr>
                <w:top w:val="nil"/>
                <w:left w:val="nil"/>
                <w:bottom w:val="nil"/>
                <w:right w:val="nil"/>
                <w:between w:val="nil"/>
              </w:pBdr>
              <w:spacing w:line="240" w:lineRule="auto"/>
              <w:jc w:val="left"/>
              <w:rPr>
                <w:highlight w:val="white"/>
              </w:rPr>
            </w:pPr>
          </w:p>
        </w:tc>
        <w:tc>
          <w:tcPr>
            <w:tcW w:w="992" w:type="dxa"/>
            <w:vMerge/>
          </w:tcPr>
          <w:p w14:paraId="0EF70C1E" w14:textId="77777777" w:rsidR="00D65CBF" w:rsidRDefault="00D65CBF">
            <w:pPr>
              <w:pBdr>
                <w:top w:val="nil"/>
                <w:left w:val="nil"/>
                <w:bottom w:val="nil"/>
                <w:right w:val="nil"/>
                <w:between w:val="nil"/>
              </w:pBdr>
              <w:spacing w:line="240" w:lineRule="auto"/>
              <w:jc w:val="left"/>
              <w:rPr>
                <w:highlight w:val="white"/>
              </w:rPr>
            </w:pPr>
          </w:p>
        </w:tc>
        <w:tc>
          <w:tcPr>
            <w:tcW w:w="993" w:type="dxa"/>
            <w:vMerge/>
          </w:tcPr>
          <w:p w14:paraId="36988815" w14:textId="77777777" w:rsidR="00D65CBF" w:rsidRDefault="00D65CBF">
            <w:pPr>
              <w:pBdr>
                <w:top w:val="nil"/>
                <w:left w:val="nil"/>
                <w:bottom w:val="nil"/>
                <w:right w:val="nil"/>
                <w:between w:val="nil"/>
              </w:pBdr>
              <w:spacing w:line="240" w:lineRule="auto"/>
              <w:jc w:val="left"/>
              <w:rPr>
                <w:highlight w:val="white"/>
              </w:rPr>
            </w:pPr>
          </w:p>
        </w:tc>
        <w:tc>
          <w:tcPr>
            <w:tcW w:w="1842" w:type="dxa"/>
          </w:tcPr>
          <w:p w14:paraId="14A9556A" w14:textId="77777777" w:rsidR="00D65CBF" w:rsidRDefault="00250275">
            <w:pPr>
              <w:spacing w:line="240" w:lineRule="auto"/>
              <w:rPr>
                <w:highlight w:val="white"/>
              </w:rPr>
            </w:pPr>
            <w:r>
              <w:rPr>
                <w:highlight w:val="white"/>
              </w:rPr>
              <w:t>Maakondlike vabaühenduste kohtumised ja koolitused</w:t>
            </w:r>
          </w:p>
        </w:tc>
        <w:tc>
          <w:tcPr>
            <w:tcW w:w="1560" w:type="dxa"/>
          </w:tcPr>
          <w:p w14:paraId="3F3E776F" w14:textId="77777777" w:rsidR="00D65CBF" w:rsidRDefault="00250275">
            <w:pPr>
              <w:spacing w:line="240" w:lineRule="auto"/>
              <w:rPr>
                <w:highlight w:val="white"/>
              </w:rPr>
            </w:pPr>
            <w:r>
              <w:rPr>
                <w:highlight w:val="white"/>
              </w:rPr>
              <w:t>15</w:t>
            </w:r>
          </w:p>
        </w:tc>
        <w:tc>
          <w:tcPr>
            <w:tcW w:w="2409" w:type="dxa"/>
          </w:tcPr>
          <w:p w14:paraId="5A78B271" w14:textId="6BF14224" w:rsidR="00D65CBF" w:rsidRDefault="00250275">
            <w:pPr>
              <w:spacing w:line="240" w:lineRule="auto"/>
              <w:jc w:val="left"/>
              <w:rPr>
                <w:highlight w:val="white"/>
              </w:rPr>
            </w:pPr>
            <w:r>
              <w:rPr>
                <w:highlight w:val="white"/>
              </w:rPr>
              <w:t>Korraldatakse kuni 15 kohtumist</w:t>
            </w:r>
            <w:r w:rsidR="00862BD5">
              <w:rPr>
                <w:highlight w:val="white"/>
              </w:rPr>
              <w:t xml:space="preserve"> vabaühendustega</w:t>
            </w:r>
            <w:r>
              <w:rPr>
                <w:highlight w:val="white"/>
              </w:rPr>
              <w:t xml:space="preserve"> 15 maakonnas.</w:t>
            </w:r>
          </w:p>
        </w:tc>
      </w:tr>
      <w:tr w:rsidR="00D65CBF" w14:paraId="733ED8A6" w14:textId="77777777" w:rsidTr="3C7F867A">
        <w:trPr>
          <w:trHeight w:val="305"/>
        </w:trPr>
        <w:tc>
          <w:tcPr>
            <w:tcW w:w="1305" w:type="dxa"/>
            <w:vMerge/>
          </w:tcPr>
          <w:p w14:paraId="54D84FBD" w14:textId="77777777" w:rsidR="00D65CBF" w:rsidRDefault="00D65CBF">
            <w:pPr>
              <w:pBdr>
                <w:top w:val="nil"/>
                <w:left w:val="nil"/>
                <w:bottom w:val="nil"/>
                <w:right w:val="nil"/>
                <w:between w:val="nil"/>
              </w:pBdr>
              <w:spacing w:line="240" w:lineRule="auto"/>
              <w:jc w:val="left"/>
              <w:rPr>
                <w:highlight w:val="white"/>
              </w:rPr>
            </w:pPr>
          </w:p>
        </w:tc>
        <w:tc>
          <w:tcPr>
            <w:tcW w:w="992" w:type="dxa"/>
            <w:vMerge/>
          </w:tcPr>
          <w:p w14:paraId="0977E2A6" w14:textId="77777777" w:rsidR="00D65CBF" w:rsidRDefault="00D65CBF">
            <w:pPr>
              <w:pBdr>
                <w:top w:val="nil"/>
                <w:left w:val="nil"/>
                <w:bottom w:val="nil"/>
                <w:right w:val="nil"/>
                <w:between w:val="nil"/>
              </w:pBdr>
              <w:spacing w:line="240" w:lineRule="auto"/>
              <w:jc w:val="left"/>
              <w:rPr>
                <w:highlight w:val="white"/>
              </w:rPr>
            </w:pPr>
          </w:p>
        </w:tc>
        <w:tc>
          <w:tcPr>
            <w:tcW w:w="993" w:type="dxa"/>
            <w:vMerge/>
          </w:tcPr>
          <w:p w14:paraId="573EBDBD" w14:textId="77777777" w:rsidR="00D65CBF" w:rsidRDefault="00D65CBF">
            <w:pPr>
              <w:pBdr>
                <w:top w:val="nil"/>
                <w:left w:val="nil"/>
                <w:bottom w:val="nil"/>
                <w:right w:val="nil"/>
                <w:between w:val="nil"/>
              </w:pBdr>
              <w:spacing w:line="240" w:lineRule="auto"/>
              <w:jc w:val="left"/>
              <w:rPr>
                <w:highlight w:val="white"/>
              </w:rPr>
            </w:pPr>
          </w:p>
        </w:tc>
        <w:tc>
          <w:tcPr>
            <w:tcW w:w="1842" w:type="dxa"/>
          </w:tcPr>
          <w:p w14:paraId="1D01E7C9" w14:textId="3D405BBB" w:rsidR="00D65CBF" w:rsidRDefault="75065560" w:rsidP="3C7F867A">
            <w:pPr>
              <w:spacing w:line="240" w:lineRule="auto"/>
              <w:rPr>
                <w:highlight w:val="white"/>
              </w:rPr>
            </w:pPr>
            <w:r w:rsidRPr="3C7F867A">
              <w:rPr>
                <w:highlight w:val="white"/>
              </w:rPr>
              <w:t>Kogukonnapraktika</w:t>
            </w:r>
            <w:r w:rsidR="30BCA447" w:rsidRPr="3C7F867A">
              <w:rPr>
                <w:highlight w:val="white"/>
              </w:rPr>
              <w:t xml:space="preserve"> programmi</w:t>
            </w:r>
            <w:r w:rsidRPr="3C7F867A">
              <w:rPr>
                <w:highlight w:val="white"/>
              </w:rPr>
              <w:t xml:space="preserve"> analüüs</w:t>
            </w:r>
          </w:p>
        </w:tc>
        <w:tc>
          <w:tcPr>
            <w:tcW w:w="1560" w:type="dxa"/>
          </w:tcPr>
          <w:p w14:paraId="6D25C19D" w14:textId="388E7AF1" w:rsidR="00D65CBF" w:rsidRDefault="3DD7D4B5" w:rsidP="3C7F867A">
            <w:pPr>
              <w:spacing w:line="240" w:lineRule="auto"/>
              <w:rPr>
                <w:highlight w:val="white"/>
              </w:rPr>
            </w:pPr>
            <w:r w:rsidRPr="3C7F867A">
              <w:rPr>
                <w:highlight w:val="white"/>
              </w:rPr>
              <w:t>1</w:t>
            </w:r>
          </w:p>
        </w:tc>
        <w:tc>
          <w:tcPr>
            <w:tcW w:w="2409" w:type="dxa"/>
          </w:tcPr>
          <w:p w14:paraId="5C819BB2" w14:textId="1E58A9C0" w:rsidR="00D65CBF" w:rsidRDefault="00A72602" w:rsidP="68482FDB">
            <w:pPr>
              <w:spacing w:line="240" w:lineRule="auto"/>
              <w:rPr>
                <w:highlight w:val="white"/>
              </w:rPr>
            </w:pPr>
            <w:r w:rsidRPr="3C7F867A">
              <w:rPr>
                <w:highlight w:val="white"/>
              </w:rPr>
              <w:t xml:space="preserve">Koostatakse analüüs kogukonnapraktika programmi kasutamise võimalustest vabaühenduste laste ja noorte kaasamise kompetentsi  kasvatamisel. </w:t>
            </w:r>
            <w:r w:rsidR="16213B15" w:rsidRPr="3C7F867A">
              <w:rPr>
                <w:highlight w:val="white"/>
              </w:rPr>
              <w:t xml:space="preserve"> </w:t>
            </w:r>
          </w:p>
        </w:tc>
      </w:tr>
    </w:tbl>
    <w:p w14:paraId="4D0A421A" w14:textId="77777777" w:rsidR="00D65CBF" w:rsidRDefault="00D65CBF">
      <w:pPr>
        <w:spacing w:line="240" w:lineRule="auto"/>
        <w:ind w:left="720"/>
        <w:rPr>
          <w:highlight w:val="white"/>
        </w:rPr>
      </w:pPr>
    </w:p>
    <w:p w14:paraId="1D96CB92" w14:textId="77777777" w:rsidR="00D65CBF" w:rsidRDefault="76D786FD" w:rsidP="3C7F867A">
      <w:pPr>
        <w:pStyle w:val="Heading2"/>
        <w:keepLines w:val="0"/>
        <w:widowControl/>
        <w:numPr>
          <w:ilvl w:val="1"/>
          <w:numId w:val="1"/>
        </w:numPr>
        <w:tabs>
          <w:tab w:val="left" w:pos="426"/>
        </w:tabs>
        <w:spacing w:before="240" w:after="60" w:line="240" w:lineRule="auto"/>
        <w:rPr>
          <w:b/>
          <w:bCs/>
          <w:color w:val="000000"/>
          <w:sz w:val="24"/>
          <w:szCs w:val="24"/>
          <w:highlight w:val="white"/>
        </w:rPr>
      </w:pPr>
      <w:r w:rsidRPr="3C7F867A">
        <w:rPr>
          <w:b/>
          <w:bCs/>
          <w:color w:val="000000" w:themeColor="text1"/>
          <w:sz w:val="24"/>
          <w:szCs w:val="24"/>
          <w:highlight w:val="white"/>
        </w:rPr>
        <w:t xml:space="preserve"> Alategevus: Noortele suunatud teadlikkust tõstvate kohtumiste ja sündmuste korraldamine</w:t>
      </w:r>
    </w:p>
    <w:p w14:paraId="3D0C57A3" w14:textId="77777777" w:rsidR="00D65CBF" w:rsidRDefault="00D65CBF">
      <w:pPr>
        <w:spacing w:line="240" w:lineRule="auto"/>
        <w:rPr>
          <w:highlight w:val="white"/>
        </w:rPr>
      </w:pPr>
    </w:p>
    <w:p w14:paraId="1D8AD984" w14:textId="426BB908" w:rsidR="00D65CBF" w:rsidRDefault="6EAC8B13">
      <w:pPr>
        <w:spacing w:line="240" w:lineRule="auto"/>
        <w:rPr>
          <w:highlight w:val="white"/>
        </w:rPr>
      </w:pPr>
      <w:r w:rsidRPr="3320956D">
        <w:rPr>
          <w:highlight w:val="white"/>
        </w:rPr>
        <w:t xml:space="preserve">Jätkatakse noortele suunatud teadlikkust tõstvate kohtumiste ja sündmuste korraldamist. </w:t>
      </w:r>
      <w:r w:rsidR="76D786FD" w:rsidRPr="3320956D">
        <w:rPr>
          <w:highlight w:val="white"/>
        </w:rPr>
        <w:t xml:space="preserve">Kaardistatakse </w:t>
      </w:r>
      <w:r w:rsidRPr="3320956D">
        <w:rPr>
          <w:highlight w:val="white"/>
        </w:rPr>
        <w:t xml:space="preserve">2025. aasta </w:t>
      </w:r>
      <w:r w:rsidR="76D786FD" w:rsidRPr="3320956D">
        <w:rPr>
          <w:highlight w:val="white"/>
        </w:rPr>
        <w:t xml:space="preserve">üle-eestiliselt ja maakondlikult noortele </w:t>
      </w:r>
      <w:r w:rsidR="4EA17172" w:rsidRPr="3320956D">
        <w:rPr>
          <w:highlight w:val="white"/>
        </w:rPr>
        <w:t xml:space="preserve">korraldatavad </w:t>
      </w:r>
      <w:r w:rsidR="76D786FD" w:rsidRPr="3320956D">
        <w:rPr>
          <w:highlight w:val="white"/>
        </w:rPr>
        <w:t xml:space="preserve">kaasamisteemalised sekkumised. Kaardistuse alusel alustatakse tegevus- ja ajakava koostamist noorte kodanikuühiskonna alase teadlikkuse edendamiseks, mis on seostatud teiste üle-eestiliste algatuste plaanidega. Esmase kaardistusega alustatakse 2025. aasta alguses, mil sõlmitakse esmased kokkulepped koostöö osas. </w:t>
      </w:r>
    </w:p>
    <w:p w14:paraId="72C75380" w14:textId="77777777" w:rsidR="00D65CBF" w:rsidRDefault="00D65CBF">
      <w:pPr>
        <w:spacing w:line="240" w:lineRule="auto"/>
        <w:rPr>
          <w:highlight w:val="white"/>
        </w:rPr>
      </w:pPr>
    </w:p>
    <w:p w14:paraId="63DB3854" w14:textId="0C919267" w:rsidR="00D65CBF" w:rsidRDefault="6EAC8B13">
      <w:pPr>
        <w:spacing w:line="240" w:lineRule="auto"/>
        <w:rPr>
          <w:highlight w:val="white"/>
        </w:rPr>
      </w:pPr>
      <w:r w:rsidRPr="3320956D">
        <w:rPr>
          <w:highlight w:val="white"/>
        </w:rPr>
        <w:t xml:space="preserve">Jätkatakse noortele </w:t>
      </w:r>
      <w:r w:rsidR="76D786FD" w:rsidRPr="3320956D">
        <w:rPr>
          <w:highlight w:val="white"/>
        </w:rPr>
        <w:t>kohtumis</w:t>
      </w:r>
      <w:r w:rsidRPr="3320956D">
        <w:rPr>
          <w:highlight w:val="white"/>
        </w:rPr>
        <w:t>te</w:t>
      </w:r>
      <w:r w:rsidR="76D786FD" w:rsidRPr="3320956D">
        <w:rPr>
          <w:highlight w:val="white"/>
        </w:rPr>
        <w:t>, sündmus</w:t>
      </w:r>
      <w:r w:rsidRPr="3320956D">
        <w:rPr>
          <w:highlight w:val="white"/>
        </w:rPr>
        <w:t>te</w:t>
      </w:r>
      <w:r w:rsidR="76D786FD" w:rsidRPr="3320956D">
        <w:rPr>
          <w:highlight w:val="white"/>
        </w:rPr>
        <w:t xml:space="preserve"> ja algatus</w:t>
      </w:r>
      <w:r w:rsidRPr="3320956D">
        <w:rPr>
          <w:highlight w:val="white"/>
        </w:rPr>
        <w:t>te korraldamist</w:t>
      </w:r>
      <w:r w:rsidR="01A48741" w:rsidRPr="3320956D">
        <w:rPr>
          <w:highlight w:val="white"/>
        </w:rPr>
        <w:t>,</w:t>
      </w:r>
      <w:r w:rsidR="76D786FD" w:rsidRPr="3320956D">
        <w:rPr>
          <w:highlight w:val="white"/>
        </w:rPr>
        <w:t xml:space="preserve"> kuhu kaasatakse noortega tegelevaid organisatsioone, vabakonna esindajaid, ettevõtjaid ja teisi sihtrühma esindajaid. Kohtumiste ja sündmuste eesmärk on tõsta laste ja noorte teadlikkust kodanikuühiskonna olemusest ja seal osalemise võimalustest. Noortele suunatud teadlikkust tõstvate kohtumiste ja sündmuste ettevalmistamise ning korraldamise eesmärgil suheldakse sihtrühmaga. Toimub teavitustegevus noortele kodanikuühiskonna ja kodanikuühiskonnas osalemise kohta.</w:t>
      </w:r>
      <w:r w:rsidRPr="3320956D">
        <w:rPr>
          <w:highlight w:val="white"/>
        </w:rPr>
        <w:t xml:space="preserve"> Teavitustegevusteks on nii noorte kaasamisteemaliste sündmuste eel ja </w:t>
      </w:r>
      <w:proofErr w:type="spellStart"/>
      <w:r w:rsidRPr="3320956D">
        <w:rPr>
          <w:highlight w:val="white"/>
        </w:rPr>
        <w:t>järelteavitused</w:t>
      </w:r>
      <w:proofErr w:type="spellEnd"/>
      <w:r w:rsidRPr="3320956D">
        <w:rPr>
          <w:highlight w:val="white"/>
        </w:rPr>
        <w:t xml:space="preserve"> kui ka erinevad, üldisemad teavitusmaterjalid, mis annavad infot lastele ja noortele kodanikuühiskonnas osalemise kohta.</w:t>
      </w:r>
    </w:p>
    <w:p w14:paraId="6C0CDED5" w14:textId="77777777" w:rsidR="00D65CBF" w:rsidRDefault="00D65CBF">
      <w:pPr>
        <w:spacing w:line="240" w:lineRule="auto"/>
        <w:rPr>
          <w:highlight w:val="white"/>
        </w:rPr>
      </w:pPr>
    </w:p>
    <w:p w14:paraId="44CD75EF" w14:textId="77777777" w:rsidR="00D65CBF" w:rsidRDefault="00D65CBF">
      <w:pPr>
        <w:spacing w:line="240" w:lineRule="auto"/>
        <w:rPr>
          <w:highlight w:val="white"/>
        </w:rPr>
      </w:pPr>
    </w:p>
    <w:p w14:paraId="54A1E2D9" w14:textId="77777777" w:rsidR="007B6925" w:rsidRDefault="007B6925">
      <w:pPr>
        <w:spacing w:line="240" w:lineRule="auto"/>
        <w:rPr>
          <w:highlight w:val="white"/>
        </w:rPr>
      </w:pPr>
    </w:p>
    <w:p w14:paraId="193222AD" w14:textId="77777777" w:rsidR="00D65CBF" w:rsidRDefault="00250275">
      <w:pPr>
        <w:spacing w:line="240" w:lineRule="auto"/>
        <w:rPr>
          <w:b/>
          <w:highlight w:val="white"/>
        </w:rPr>
      </w:pPr>
      <w:r>
        <w:rPr>
          <w:b/>
          <w:highlight w:val="white"/>
        </w:rPr>
        <w:lastRenderedPageBreak/>
        <w:t>Tabel 3. Tegevustega seotud näitajad</w:t>
      </w:r>
    </w:p>
    <w:p w14:paraId="3368F9F3" w14:textId="77777777" w:rsidR="00D65CBF" w:rsidRDefault="00D65CBF">
      <w:pPr>
        <w:spacing w:line="240" w:lineRule="auto"/>
        <w:rPr>
          <w:b/>
          <w:highlight w:val="white"/>
        </w:rPr>
      </w:pPr>
    </w:p>
    <w:tbl>
      <w:tblPr>
        <w:tblStyle w:val="a2"/>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992"/>
        <w:gridCol w:w="993"/>
        <w:gridCol w:w="1648"/>
        <w:gridCol w:w="1754"/>
        <w:gridCol w:w="2409"/>
      </w:tblGrid>
      <w:tr w:rsidR="00D65CBF" w14:paraId="4D4D482A" w14:textId="77777777" w:rsidTr="3C7F867A">
        <w:trPr>
          <w:trHeight w:val="670"/>
        </w:trPr>
        <w:tc>
          <w:tcPr>
            <w:tcW w:w="1305" w:type="dxa"/>
          </w:tcPr>
          <w:p w14:paraId="5D49B478" w14:textId="77777777" w:rsidR="00D65CBF" w:rsidRDefault="00250275">
            <w:pPr>
              <w:spacing w:line="240" w:lineRule="auto"/>
              <w:rPr>
                <w:b/>
                <w:highlight w:val="white"/>
              </w:rPr>
            </w:pPr>
            <w:r>
              <w:rPr>
                <w:b/>
                <w:highlight w:val="white"/>
              </w:rPr>
              <w:t>Toetatava tegevuse näitaja nimetus</w:t>
            </w:r>
          </w:p>
        </w:tc>
        <w:tc>
          <w:tcPr>
            <w:tcW w:w="992" w:type="dxa"/>
          </w:tcPr>
          <w:p w14:paraId="6F9D4D96" w14:textId="45DA36B3" w:rsidR="00D65CBF" w:rsidRDefault="00250275">
            <w:pPr>
              <w:spacing w:line="240" w:lineRule="auto"/>
              <w:rPr>
                <w:b/>
                <w:highlight w:val="white"/>
              </w:rPr>
            </w:pPr>
            <w:r>
              <w:rPr>
                <w:b/>
                <w:highlight w:val="white"/>
              </w:rPr>
              <w:t>Siht-tase (202</w:t>
            </w:r>
            <w:r w:rsidR="00164C2A">
              <w:rPr>
                <w:b/>
                <w:highlight w:val="white"/>
              </w:rPr>
              <w:t>4</w:t>
            </w:r>
            <w:r>
              <w:rPr>
                <w:b/>
                <w:highlight w:val="white"/>
              </w:rPr>
              <w:t>)</w:t>
            </w:r>
          </w:p>
        </w:tc>
        <w:tc>
          <w:tcPr>
            <w:tcW w:w="993" w:type="dxa"/>
          </w:tcPr>
          <w:p w14:paraId="00B66636" w14:textId="77777777" w:rsidR="00D65CBF" w:rsidRDefault="00250275">
            <w:pPr>
              <w:spacing w:line="240" w:lineRule="auto"/>
              <w:rPr>
                <w:b/>
                <w:highlight w:val="white"/>
              </w:rPr>
            </w:pPr>
            <w:r>
              <w:rPr>
                <w:b/>
                <w:highlight w:val="white"/>
              </w:rPr>
              <w:t>Siht-tase</w:t>
            </w:r>
          </w:p>
          <w:p w14:paraId="707BDCB0" w14:textId="77777777" w:rsidR="00D65CBF" w:rsidRDefault="00250275">
            <w:pPr>
              <w:spacing w:line="240" w:lineRule="auto"/>
              <w:rPr>
                <w:b/>
                <w:highlight w:val="white"/>
              </w:rPr>
            </w:pPr>
            <w:r>
              <w:rPr>
                <w:b/>
                <w:highlight w:val="white"/>
              </w:rPr>
              <w:t>(2029)</w:t>
            </w:r>
          </w:p>
        </w:tc>
        <w:tc>
          <w:tcPr>
            <w:tcW w:w="1648" w:type="dxa"/>
          </w:tcPr>
          <w:p w14:paraId="5ACE392F" w14:textId="77777777" w:rsidR="00D65CBF" w:rsidRDefault="00250275">
            <w:pPr>
              <w:spacing w:line="240" w:lineRule="auto"/>
              <w:rPr>
                <w:b/>
                <w:highlight w:val="white"/>
              </w:rPr>
            </w:pPr>
            <w:r>
              <w:rPr>
                <w:b/>
                <w:highlight w:val="white"/>
              </w:rPr>
              <w:t>Alategevuste väljundid tegevuskava perioodil</w:t>
            </w:r>
          </w:p>
        </w:tc>
        <w:tc>
          <w:tcPr>
            <w:tcW w:w="1754" w:type="dxa"/>
          </w:tcPr>
          <w:p w14:paraId="34749F02" w14:textId="77777777" w:rsidR="00D65CBF" w:rsidRDefault="00250275">
            <w:pPr>
              <w:spacing w:line="240" w:lineRule="auto"/>
              <w:rPr>
                <w:b/>
                <w:highlight w:val="white"/>
              </w:rPr>
            </w:pPr>
            <w:r>
              <w:rPr>
                <w:b/>
                <w:highlight w:val="white"/>
              </w:rPr>
              <w:t>Alategevuste väljundite arv tegevuskava perioodil</w:t>
            </w:r>
          </w:p>
        </w:tc>
        <w:tc>
          <w:tcPr>
            <w:tcW w:w="2409" w:type="dxa"/>
          </w:tcPr>
          <w:p w14:paraId="7904EEE2" w14:textId="77777777" w:rsidR="00D65CBF" w:rsidRDefault="00250275">
            <w:pPr>
              <w:spacing w:line="240" w:lineRule="auto"/>
              <w:rPr>
                <w:b/>
                <w:highlight w:val="white"/>
              </w:rPr>
            </w:pPr>
            <w:r>
              <w:rPr>
                <w:b/>
                <w:highlight w:val="white"/>
              </w:rPr>
              <w:t>Selgitus</w:t>
            </w:r>
          </w:p>
        </w:tc>
      </w:tr>
      <w:tr w:rsidR="007B0986" w14:paraId="6C32DB27" w14:textId="77777777" w:rsidTr="3C7F867A">
        <w:trPr>
          <w:trHeight w:val="363"/>
        </w:trPr>
        <w:tc>
          <w:tcPr>
            <w:tcW w:w="1305" w:type="dxa"/>
            <w:vMerge w:val="restart"/>
          </w:tcPr>
          <w:p w14:paraId="28D65B09" w14:textId="77777777" w:rsidR="007B0986" w:rsidRDefault="007B0986">
            <w:pPr>
              <w:spacing w:line="240" w:lineRule="auto"/>
              <w:jc w:val="center"/>
              <w:rPr>
                <w:highlight w:val="white"/>
              </w:rPr>
            </w:pPr>
          </w:p>
          <w:p w14:paraId="426F31B3" w14:textId="77777777" w:rsidR="007B0986" w:rsidRDefault="007B0986">
            <w:pPr>
              <w:spacing w:line="240" w:lineRule="auto"/>
              <w:rPr>
                <w:highlight w:val="white"/>
              </w:rPr>
            </w:pPr>
            <w:proofErr w:type="spellStart"/>
            <w:r>
              <w:rPr>
                <w:highlight w:val="white"/>
              </w:rPr>
              <w:t>Sündmu-sed</w:t>
            </w:r>
            <w:proofErr w:type="spellEnd"/>
            <w:r>
              <w:rPr>
                <w:highlight w:val="white"/>
              </w:rPr>
              <w:t xml:space="preserve"> noortele</w:t>
            </w:r>
          </w:p>
        </w:tc>
        <w:tc>
          <w:tcPr>
            <w:tcW w:w="992" w:type="dxa"/>
            <w:vMerge w:val="restart"/>
          </w:tcPr>
          <w:p w14:paraId="3ED27A2B" w14:textId="5F714864" w:rsidR="007B0986" w:rsidRDefault="007B0986">
            <w:pPr>
              <w:spacing w:line="240" w:lineRule="auto"/>
              <w:jc w:val="center"/>
              <w:rPr>
                <w:highlight w:val="white"/>
              </w:rPr>
            </w:pPr>
            <w:r>
              <w:rPr>
                <w:highlight w:val="white"/>
              </w:rPr>
              <w:t>8</w:t>
            </w:r>
          </w:p>
        </w:tc>
        <w:tc>
          <w:tcPr>
            <w:tcW w:w="993" w:type="dxa"/>
            <w:vMerge w:val="restart"/>
          </w:tcPr>
          <w:p w14:paraId="2BA58ACE" w14:textId="77777777" w:rsidR="007B0986" w:rsidRDefault="007B0986">
            <w:pPr>
              <w:spacing w:line="240" w:lineRule="auto"/>
              <w:jc w:val="center"/>
              <w:rPr>
                <w:highlight w:val="white"/>
              </w:rPr>
            </w:pPr>
            <w:r>
              <w:rPr>
                <w:highlight w:val="white"/>
              </w:rPr>
              <w:t>70</w:t>
            </w:r>
          </w:p>
        </w:tc>
        <w:tc>
          <w:tcPr>
            <w:tcW w:w="1648" w:type="dxa"/>
          </w:tcPr>
          <w:p w14:paraId="08CAC9BF" w14:textId="77777777" w:rsidR="007B0986" w:rsidRDefault="007B0986">
            <w:pPr>
              <w:spacing w:line="240" w:lineRule="auto"/>
              <w:rPr>
                <w:highlight w:val="white"/>
              </w:rPr>
            </w:pPr>
            <w:r>
              <w:rPr>
                <w:highlight w:val="white"/>
              </w:rPr>
              <w:t>Sündmus</w:t>
            </w:r>
          </w:p>
        </w:tc>
        <w:tc>
          <w:tcPr>
            <w:tcW w:w="1754" w:type="dxa"/>
          </w:tcPr>
          <w:p w14:paraId="66AA4DBF" w14:textId="2F19216F" w:rsidR="007B0986" w:rsidRDefault="01A48741">
            <w:pPr>
              <w:spacing w:line="240" w:lineRule="auto"/>
              <w:rPr>
                <w:highlight w:val="white"/>
              </w:rPr>
            </w:pPr>
            <w:r w:rsidRPr="3C7F867A">
              <w:rPr>
                <w:highlight w:val="white"/>
              </w:rPr>
              <w:t>31</w:t>
            </w:r>
          </w:p>
        </w:tc>
        <w:tc>
          <w:tcPr>
            <w:tcW w:w="2409" w:type="dxa"/>
          </w:tcPr>
          <w:p w14:paraId="2E757C6B" w14:textId="0CC4D05A" w:rsidR="007B0986" w:rsidRDefault="6A8FBC15">
            <w:pPr>
              <w:spacing w:line="240" w:lineRule="auto"/>
              <w:rPr>
                <w:highlight w:val="white"/>
              </w:rPr>
            </w:pPr>
            <w:r w:rsidRPr="3C7F867A">
              <w:rPr>
                <w:highlight w:val="white"/>
              </w:rPr>
              <w:t xml:space="preserve">Korraldatakse ja viiakse läbi kohtumisi, sündmusi ja algatusi, kaasates sihtrühma esindajaid. </w:t>
            </w:r>
            <w:r w:rsidR="01A48741" w:rsidRPr="3C7F867A">
              <w:rPr>
                <w:highlight w:val="white"/>
              </w:rPr>
              <w:t>202</w:t>
            </w:r>
            <w:r w:rsidR="31953411" w:rsidRPr="3C7F867A">
              <w:rPr>
                <w:highlight w:val="white"/>
              </w:rPr>
              <w:t>4</w:t>
            </w:r>
            <w:r w:rsidR="01A48741" w:rsidRPr="3C7F867A">
              <w:rPr>
                <w:highlight w:val="white"/>
              </w:rPr>
              <w:t>. aastal toimus</w:t>
            </w:r>
            <w:r w:rsidR="47E7F091" w:rsidRPr="3C7F867A">
              <w:rPr>
                <w:highlight w:val="white"/>
              </w:rPr>
              <w:t xml:space="preserve"> noortele</w:t>
            </w:r>
            <w:r w:rsidR="01A48741" w:rsidRPr="3C7F867A">
              <w:rPr>
                <w:highlight w:val="white"/>
              </w:rPr>
              <w:t xml:space="preserve"> 3 sündmust, 202</w:t>
            </w:r>
            <w:r w:rsidR="3C7815F2" w:rsidRPr="3C7F867A">
              <w:rPr>
                <w:highlight w:val="white"/>
              </w:rPr>
              <w:t>5</w:t>
            </w:r>
            <w:r w:rsidR="01A48741" w:rsidRPr="3C7F867A">
              <w:rPr>
                <w:highlight w:val="white"/>
              </w:rPr>
              <w:t>. aastal planeeritakse</w:t>
            </w:r>
            <w:r w:rsidR="46D81F7B" w:rsidRPr="3C7F867A">
              <w:rPr>
                <w:highlight w:val="white"/>
              </w:rPr>
              <w:t xml:space="preserve"> </w:t>
            </w:r>
            <w:r w:rsidR="17CCC463" w:rsidRPr="3C7F867A">
              <w:rPr>
                <w:highlight w:val="white"/>
              </w:rPr>
              <w:t xml:space="preserve">noortele </w:t>
            </w:r>
            <w:r w:rsidR="46D81F7B" w:rsidRPr="3C7F867A">
              <w:rPr>
                <w:highlight w:val="white"/>
              </w:rPr>
              <w:t>korraldada 28 sündmust</w:t>
            </w:r>
            <w:r w:rsidR="01A48741" w:rsidRPr="3C7F867A">
              <w:rPr>
                <w:highlight w:val="white"/>
              </w:rPr>
              <w:t xml:space="preserve"> </w:t>
            </w:r>
            <w:r w:rsidR="4D2E49E5" w:rsidRPr="3C7F867A">
              <w:rPr>
                <w:highlight w:val="white"/>
              </w:rPr>
              <w:t xml:space="preserve">(kokku </w:t>
            </w:r>
            <w:r w:rsidR="01A48741" w:rsidRPr="3C7F867A">
              <w:rPr>
                <w:highlight w:val="white"/>
              </w:rPr>
              <w:t>sihttasemeks 31</w:t>
            </w:r>
            <w:r w:rsidR="539F9940" w:rsidRPr="3C7F867A">
              <w:rPr>
                <w:highlight w:val="white"/>
              </w:rPr>
              <w:t xml:space="preserve"> sündmust).</w:t>
            </w:r>
          </w:p>
        </w:tc>
      </w:tr>
      <w:tr w:rsidR="007B0986" w14:paraId="3556FD41" w14:textId="77777777" w:rsidTr="3C7F867A">
        <w:trPr>
          <w:trHeight w:val="363"/>
        </w:trPr>
        <w:tc>
          <w:tcPr>
            <w:tcW w:w="1305" w:type="dxa"/>
            <w:vMerge/>
          </w:tcPr>
          <w:p w14:paraId="64208FD9" w14:textId="77777777" w:rsidR="007B0986" w:rsidRDefault="007B0986">
            <w:pPr>
              <w:spacing w:line="240" w:lineRule="auto"/>
              <w:jc w:val="center"/>
              <w:rPr>
                <w:highlight w:val="white"/>
              </w:rPr>
            </w:pPr>
          </w:p>
        </w:tc>
        <w:tc>
          <w:tcPr>
            <w:tcW w:w="992" w:type="dxa"/>
            <w:vMerge/>
          </w:tcPr>
          <w:p w14:paraId="503B7017" w14:textId="77777777" w:rsidR="007B0986" w:rsidDel="00164C2A" w:rsidRDefault="007B0986">
            <w:pPr>
              <w:spacing w:line="240" w:lineRule="auto"/>
              <w:jc w:val="center"/>
              <w:rPr>
                <w:highlight w:val="white"/>
              </w:rPr>
            </w:pPr>
          </w:p>
        </w:tc>
        <w:tc>
          <w:tcPr>
            <w:tcW w:w="993" w:type="dxa"/>
            <w:vMerge/>
          </w:tcPr>
          <w:p w14:paraId="134810A7" w14:textId="77777777" w:rsidR="007B0986" w:rsidRDefault="007B0986">
            <w:pPr>
              <w:spacing w:line="240" w:lineRule="auto"/>
              <w:jc w:val="center"/>
              <w:rPr>
                <w:highlight w:val="white"/>
              </w:rPr>
            </w:pPr>
          </w:p>
        </w:tc>
        <w:tc>
          <w:tcPr>
            <w:tcW w:w="1648" w:type="dxa"/>
          </w:tcPr>
          <w:p w14:paraId="4EB39888" w14:textId="6DAAE82D" w:rsidR="007B0986" w:rsidRDefault="007B0986">
            <w:pPr>
              <w:spacing w:line="240" w:lineRule="auto"/>
              <w:rPr>
                <w:highlight w:val="white"/>
              </w:rPr>
            </w:pPr>
            <w:r>
              <w:rPr>
                <w:highlight w:val="white"/>
              </w:rPr>
              <w:t>Tegevus- ja ajakava</w:t>
            </w:r>
          </w:p>
        </w:tc>
        <w:tc>
          <w:tcPr>
            <w:tcW w:w="1754" w:type="dxa"/>
          </w:tcPr>
          <w:p w14:paraId="5AEF6648" w14:textId="1F0C0291" w:rsidR="007B0986" w:rsidRDefault="007B0986">
            <w:pPr>
              <w:spacing w:line="240" w:lineRule="auto"/>
              <w:rPr>
                <w:highlight w:val="white"/>
              </w:rPr>
            </w:pPr>
            <w:r>
              <w:rPr>
                <w:highlight w:val="white"/>
              </w:rPr>
              <w:t>1</w:t>
            </w:r>
          </w:p>
        </w:tc>
        <w:tc>
          <w:tcPr>
            <w:tcW w:w="2409" w:type="dxa"/>
          </w:tcPr>
          <w:p w14:paraId="2D33BFEF" w14:textId="317D772E" w:rsidR="007B0986" w:rsidRDefault="6A8FBC15" w:rsidP="007B6925">
            <w:pPr>
              <w:spacing w:line="240" w:lineRule="auto"/>
              <w:jc w:val="left"/>
              <w:rPr>
                <w:highlight w:val="white"/>
              </w:rPr>
            </w:pPr>
            <w:r w:rsidRPr="3C7F867A">
              <w:rPr>
                <w:highlight w:val="white"/>
              </w:rPr>
              <w:t xml:space="preserve">Elluviija koostab tegevus- ja ajakava </w:t>
            </w:r>
            <w:r w:rsidR="349F04F3" w:rsidRPr="3C7F867A">
              <w:rPr>
                <w:highlight w:val="white"/>
              </w:rPr>
              <w:t>noorte kodanikuühiskonna alase teadlikkuse edendamiseks</w:t>
            </w:r>
            <w:r w:rsidRPr="3C7F867A">
              <w:rPr>
                <w:highlight w:val="white"/>
              </w:rPr>
              <w:t xml:space="preserve">. </w:t>
            </w:r>
          </w:p>
        </w:tc>
      </w:tr>
    </w:tbl>
    <w:p w14:paraId="760E4F8A" w14:textId="77777777" w:rsidR="00D65CBF" w:rsidRDefault="00D65CBF">
      <w:pPr>
        <w:spacing w:line="240" w:lineRule="auto"/>
        <w:rPr>
          <w:b/>
          <w:highlight w:val="white"/>
        </w:rPr>
      </w:pPr>
    </w:p>
    <w:p w14:paraId="1E0E6263" w14:textId="77777777" w:rsidR="00D65CBF" w:rsidRDefault="00D65CBF">
      <w:pPr>
        <w:widowControl/>
        <w:spacing w:line="240" w:lineRule="auto"/>
        <w:ind w:left="125"/>
        <w:rPr>
          <w:highlight w:val="white"/>
        </w:rPr>
      </w:pPr>
    </w:p>
    <w:p w14:paraId="28E1302E" w14:textId="77777777" w:rsidR="00D65CBF" w:rsidRDefault="00D65CBF">
      <w:pPr>
        <w:widowControl/>
        <w:spacing w:line="240" w:lineRule="auto"/>
        <w:rPr>
          <w:highlight w:val="white"/>
        </w:rPr>
      </w:pPr>
    </w:p>
    <w:p w14:paraId="620221BC" w14:textId="77777777" w:rsidR="00D65CBF" w:rsidRDefault="76D786FD" w:rsidP="3C7F867A">
      <w:pPr>
        <w:numPr>
          <w:ilvl w:val="0"/>
          <w:numId w:val="1"/>
        </w:numPr>
        <w:pBdr>
          <w:top w:val="nil"/>
          <w:left w:val="nil"/>
          <w:bottom w:val="nil"/>
          <w:right w:val="nil"/>
          <w:between w:val="nil"/>
        </w:pBdr>
        <w:tabs>
          <w:tab w:val="left" w:pos="360"/>
        </w:tabs>
        <w:spacing w:line="240" w:lineRule="auto"/>
        <w:ind w:left="284" w:hanging="284"/>
        <w:rPr>
          <w:rFonts w:eastAsia="Times New Roman"/>
          <w:b/>
          <w:bCs/>
          <w:color w:val="000000"/>
          <w:highlight w:val="white"/>
        </w:rPr>
      </w:pPr>
      <w:r w:rsidRPr="3C7F867A">
        <w:rPr>
          <w:rFonts w:eastAsia="Times New Roman"/>
          <w:b/>
          <w:bCs/>
          <w:color w:val="000000" w:themeColor="text1"/>
          <w:highlight w:val="white"/>
        </w:rPr>
        <w:t xml:space="preserve">Toetatavate tegevuste mõju strateegia „Eesti 2035“ näitajatesse ning seal sisalduvatesse horisontaalsetesse põhimõtetesse </w:t>
      </w:r>
    </w:p>
    <w:p w14:paraId="06D51F03" w14:textId="77777777" w:rsidR="00D65CBF" w:rsidRDefault="00D65CBF">
      <w:pPr>
        <w:widowControl/>
        <w:spacing w:line="240" w:lineRule="auto"/>
        <w:rPr>
          <w:highlight w:val="white"/>
        </w:rPr>
      </w:pPr>
    </w:p>
    <w:p w14:paraId="39137747" w14:textId="77777777" w:rsidR="00D65CBF" w:rsidRDefault="00D65CBF">
      <w:pPr>
        <w:widowControl/>
        <w:tabs>
          <w:tab w:val="left" w:pos="142"/>
        </w:tabs>
        <w:spacing w:line="240" w:lineRule="auto"/>
        <w:ind w:left="125"/>
        <w:rPr>
          <w:b/>
          <w:highlight w:val="white"/>
        </w:rPr>
      </w:pPr>
    </w:p>
    <w:p w14:paraId="3AD3B9AE" w14:textId="77777777" w:rsidR="00D65CBF" w:rsidRDefault="76D786FD">
      <w:pPr>
        <w:widowControl/>
        <w:tabs>
          <w:tab w:val="left" w:pos="142"/>
        </w:tabs>
        <w:spacing w:line="240" w:lineRule="auto"/>
        <w:ind w:left="125"/>
        <w:rPr>
          <w:highlight w:val="white"/>
        </w:rPr>
      </w:pPr>
      <w:r w:rsidRPr="3C7F867A">
        <w:rPr>
          <w:b/>
          <w:bCs/>
          <w:highlight w:val="white"/>
        </w:rPr>
        <w:t>Eri rahvusest, eri vanuses, erivajadustega inimestele võrdsete võimaluste loomine</w:t>
      </w:r>
      <w:r w:rsidRPr="3C7F867A">
        <w:rPr>
          <w:highlight w:val="white"/>
        </w:rPr>
        <w:t xml:space="preserve"> - Arendus- ja koolitustegevuste ning sündmuste käigus käsitletakse muu hulgas ka võrdse kohtlemise teemasid. </w:t>
      </w:r>
      <w:r w:rsidR="00250275">
        <w:br/>
      </w:r>
      <w:r w:rsidRPr="3C7F867A">
        <w:rPr>
          <w:highlight w:val="white"/>
        </w:rPr>
        <w:t xml:space="preserve">Avalikkusele suunatud teavitustegevustes ning info- ja koolitusmaterjalide väljatöötamisel järgitakse võrdse kohtlemise põhimõtteid ning välditakse </w:t>
      </w:r>
      <w:proofErr w:type="spellStart"/>
      <w:r w:rsidRPr="3C7F867A">
        <w:rPr>
          <w:highlight w:val="white"/>
        </w:rPr>
        <w:t>eelarvamuslikke</w:t>
      </w:r>
      <w:proofErr w:type="spellEnd"/>
      <w:r w:rsidRPr="3C7F867A">
        <w:rPr>
          <w:highlight w:val="white"/>
        </w:rPr>
        <w:t xml:space="preserve"> sõnumeid ja kuvandeid vähemusrühmade kohta.</w:t>
      </w:r>
      <w:r w:rsidR="00250275">
        <w:br/>
      </w:r>
      <w:r w:rsidRPr="3C7F867A">
        <w:rPr>
          <w:highlight w:val="white"/>
        </w:rPr>
        <w:t>Tegevuste otsese sihtrühma hulka kuuluvad ka võrdset kohtlemist edendavad vabaühendused, et edendada nende oskusi kaasata noori oma töösse.</w:t>
      </w:r>
    </w:p>
    <w:p w14:paraId="67872EB6" w14:textId="77777777" w:rsidR="00D65CBF" w:rsidRDefault="00D65CBF">
      <w:pPr>
        <w:widowControl/>
        <w:tabs>
          <w:tab w:val="left" w:pos="142"/>
        </w:tabs>
        <w:spacing w:line="240" w:lineRule="auto"/>
        <w:ind w:left="125"/>
        <w:rPr>
          <w:b/>
          <w:highlight w:val="white"/>
        </w:rPr>
      </w:pPr>
    </w:p>
    <w:p w14:paraId="4817E88A" w14:textId="77777777" w:rsidR="00D65CBF" w:rsidRDefault="00250275">
      <w:pPr>
        <w:widowControl/>
        <w:tabs>
          <w:tab w:val="left" w:pos="142"/>
        </w:tabs>
        <w:spacing w:line="240" w:lineRule="auto"/>
        <w:ind w:left="125"/>
        <w:rPr>
          <w:b/>
          <w:highlight w:val="white"/>
        </w:rPr>
      </w:pPr>
      <w:r>
        <w:rPr>
          <w:b/>
          <w:highlight w:val="white"/>
        </w:rPr>
        <w:t>Sooline võrdõiguslikkus</w:t>
      </w:r>
      <w:r>
        <w:rPr>
          <w:highlight w:val="white"/>
        </w:rPr>
        <w:t xml:space="preserve"> - Tegevuste käigus arendatakse maakondlike kodanikuühiskonna konsultantide ja Eesti vabaühenduste teadmisi ja oskusi kaasata oma tegevustesse noori ja lapsi sõltumata nende soost. Koolitusprogrammides käsitletakse muu hulgas ka soolise võrdõiguslikkuse teemasid, et vähendada võimalikke soostereotüüpseid arusaamu vabaühenduste töös. Avalikkusele suunatud teavitustegevustes ning info- ja koolitusmaterjalide väljatöötamisel järgitakse soolise võrdõiguslikkuse põhimõtteid ning välditakse soostereotüüpseid tekste ja kuvandeid. Toetatavate tegevuste raames tehtavatel hindamistel kogutakse ja analüüsitakse andmeid võimalusel ka soo lõikes.</w:t>
      </w:r>
    </w:p>
    <w:p w14:paraId="5840C99A" w14:textId="77777777" w:rsidR="00D65CBF" w:rsidRDefault="00D65CBF">
      <w:pPr>
        <w:widowControl/>
        <w:tabs>
          <w:tab w:val="left" w:pos="142"/>
        </w:tabs>
        <w:spacing w:line="240" w:lineRule="auto"/>
        <w:ind w:left="125"/>
        <w:rPr>
          <w:b/>
          <w:highlight w:val="white"/>
        </w:rPr>
      </w:pPr>
    </w:p>
    <w:p w14:paraId="4883001F" w14:textId="77777777" w:rsidR="00D65CBF" w:rsidRDefault="00250275">
      <w:pPr>
        <w:widowControl/>
        <w:tabs>
          <w:tab w:val="left" w:pos="142"/>
        </w:tabs>
        <w:spacing w:line="240" w:lineRule="auto"/>
        <w:ind w:left="125"/>
        <w:rPr>
          <w:highlight w:val="white"/>
        </w:rPr>
      </w:pPr>
      <w:r>
        <w:rPr>
          <w:b/>
          <w:highlight w:val="white"/>
        </w:rPr>
        <w:t xml:space="preserve">Ligipääsetavus </w:t>
      </w:r>
      <w:r>
        <w:rPr>
          <w:highlight w:val="white"/>
        </w:rPr>
        <w:t xml:space="preserve">- Avalikkusele suunatud kohtumiste, koolituste ja teiste sündmuste läbiviimisel tagatakse vajaduse korral ligipääsetavus hoonele ja ruumidele ning infole ja </w:t>
      </w:r>
      <w:r>
        <w:rPr>
          <w:highlight w:val="white"/>
        </w:rPr>
        <w:lastRenderedPageBreak/>
        <w:t xml:space="preserve">kommunikatsioonile nelja peamise puudeliigiga inimestele (nägemis-, kuulmis-, liikumis- ja intellektipuue). </w:t>
      </w:r>
    </w:p>
    <w:p w14:paraId="64A883AB" w14:textId="77777777" w:rsidR="00D65CBF" w:rsidRDefault="00D65CBF">
      <w:pPr>
        <w:widowControl/>
        <w:tabs>
          <w:tab w:val="left" w:pos="142"/>
        </w:tabs>
        <w:spacing w:line="240" w:lineRule="auto"/>
        <w:ind w:left="125"/>
        <w:rPr>
          <w:b/>
          <w:highlight w:val="white"/>
        </w:rPr>
      </w:pPr>
    </w:p>
    <w:p w14:paraId="2FD0323B" w14:textId="77777777" w:rsidR="00D65CBF" w:rsidRDefault="00250275">
      <w:pPr>
        <w:widowControl/>
        <w:tabs>
          <w:tab w:val="left" w:pos="142"/>
        </w:tabs>
        <w:spacing w:line="240" w:lineRule="auto"/>
        <w:ind w:left="125"/>
        <w:rPr>
          <w:highlight w:val="white"/>
        </w:rPr>
      </w:pPr>
      <w:r>
        <w:rPr>
          <w:b/>
          <w:highlight w:val="white"/>
        </w:rPr>
        <w:t>Tegevused panustavad regionaalsesse tasakaalustatud arengusse</w:t>
      </w:r>
      <w:r>
        <w:rPr>
          <w:highlight w:val="white"/>
        </w:rPr>
        <w:t xml:space="preserve"> - Koostöös maakondlike arenduskeskuste kodanikuühiskonna konsultantide ja maakondliku kodanikuühiskonna nõustamisteenusega seotud isikutega kaardistatakse iga maakonna vabaühenduste arenguvajadused ning selle kaardistamise analüüsi kaudu leitakse regionaalsed erinevused Eesti maakondade vahel.</w:t>
      </w:r>
    </w:p>
    <w:p w14:paraId="6123C59E" w14:textId="77777777" w:rsidR="00D65CBF" w:rsidRDefault="00250275">
      <w:pPr>
        <w:widowControl/>
        <w:tabs>
          <w:tab w:val="left" w:pos="142"/>
        </w:tabs>
        <w:spacing w:line="240" w:lineRule="auto"/>
        <w:ind w:left="125"/>
        <w:rPr>
          <w:highlight w:val="white"/>
        </w:rPr>
      </w:pPr>
      <w:r>
        <w:rPr>
          <w:highlight w:val="white"/>
        </w:rPr>
        <w:t>Regionaalsete erinevuste vähendamiseks viiakse läbi koolitus- ja arendustegevusi, mille sihtrühmaks on kõigi maakondade kodanikuühiskonna konsultandid ja vabaühendused. Koolitus- ja arendustegevuste planeerimisel arvestatakse konkreetse piirkonna arenguvajadustega.</w:t>
      </w:r>
    </w:p>
    <w:p w14:paraId="3461237A" w14:textId="77777777" w:rsidR="00D65CBF" w:rsidRDefault="00D65CBF">
      <w:pPr>
        <w:widowControl/>
        <w:tabs>
          <w:tab w:val="left" w:pos="142"/>
        </w:tabs>
        <w:spacing w:line="240" w:lineRule="auto"/>
        <w:rPr>
          <w:highlight w:val="white"/>
        </w:rPr>
      </w:pPr>
    </w:p>
    <w:p w14:paraId="0D9ADA70" w14:textId="77777777" w:rsidR="00D65CBF" w:rsidRDefault="00250275">
      <w:pPr>
        <w:widowControl/>
        <w:tabs>
          <w:tab w:val="left" w:pos="142"/>
        </w:tabs>
        <w:spacing w:line="240" w:lineRule="auto"/>
        <w:ind w:left="125"/>
        <w:rPr>
          <w:highlight w:val="white"/>
        </w:rPr>
      </w:pPr>
      <w:r>
        <w:rPr>
          <w:b/>
          <w:highlight w:val="white"/>
        </w:rPr>
        <w:t xml:space="preserve">Tegevused panustavad </w:t>
      </w:r>
      <w:proofErr w:type="spellStart"/>
      <w:r>
        <w:rPr>
          <w:b/>
          <w:highlight w:val="white"/>
        </w:rPr>
        <w:t>KOVide</w:t>
      </w:r>
      <w:proofErr w:type="spellEnd"/>
      <w:r>
        <w:rPr>
          <w:b/>
          <w:highlight w:val="white"/>
        </w:rPr>
        <w:t xml:space="preserve"> haldus- ja arendusvõimekusse - </w:t>
      </w:r>
      <w:r>
        <w:rPr>
          <w:highlight w:val="white"/>
        </w:rPr>
        <w:t xml:space="preserve">tegevuste raames arendatakse nii maakondlike kodanikuühiskonna konsultantide kui ka kohalike omavalitsuste esindajate (näiteks noorsootöötajad, kogukonna koordinaatorid, heaolu ja/või turvalisuse koordinaatorid) teadmisi ja oskusi kaasata noori vabaühenduste tegevustesse. Selleks viiakse läbi ettevalmistavas etapis läbi ümarlaudu maakondades ja kohalikes omavalitsustes, et kaardistada vabaühenduste võimekus oma tegevustesse lapsi ja noori kaasata. </w:t>
      </w:r>
    </w:p>
    <w:p w14:paraId="08BAA95F" w14:textId="77777777" w:rsidR="00D65CBF" w:rsidRDefault="00D65CBF">
      <w:pPr>
        <w:widowControl/>
        <w:tabs>
          <w:tab w:val="left" w:pos="142"/>
        </w:tabs>
        <w:spacing w:line="240" w:lineRule="auto"/>
        <w:ind w:left="125"/>
      </w:pPr>
    </w:p>
    <w:sectPr w:rsidR="00D65CBF">
      <w:headerReference w:type="default" r:id="rId12"/>
      <w:footerReference w:type="default" r:id="rId13"/>
      <w:footerReference w:type="first" r:id="rId14"/>
      <w:pgSz w:w="11906" w:h="16838"/>
      <w:pgMar w:top="907" w:right="1021" w:bottom="1418" w:left="1814" w:header="51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93D79" w14:textId="77777777" w:rsidR="009C0A59" w:rsidRDefault="009C0A59">
      <w:pPr>
        <w:spacing w:line="240" w:lineRule="auto"/>
      </w:pPr>
      <w:r>
        <w:separator/>
      </w:r>
    </w:p>
  </w:endnote>
  <w:endnote w:type="continuationSeparator" w:id="0">
    <w:p w14:paraId="392DAEEB" w14:textId="77777777" w:rsidR="009C0A59" w:rsidRDefault="009C0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D71EF" w14:textId="77777777" w:rsidR="00D65CBF" w:rsidRDefault="00250275">
    <w:pPr>
      <w:pBdr>
        <w:top w:val="nil"/>
        <w:left w:val="nil"/>
        <w:bottom w:val="nil"/>
        <w:right w:val="nil"/>
        <w:between w:val="nil"/>
      </w:pBdr>
      <w:tabs>
        <w:tab w:val="center" w:pos="4536"/>
        <w:tab w:val="right" w:pos="9072"/>
      </w:tabs>
      <w:spacing w:line="240" w:lineRule="auto"/>
      <w:ind w:left="142"/>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05542E">
      <w:rPr>
        <w:rFonts w:eastAsia="Times New Roman"/>
        <w:noProof/>
        <w:color w:val="000000"/>
        <w:sz w:val="20"/>
        <w:szCs w:val="20"/>
      </w:rPr>
      <w:t>2</w:t>
    </w:r>
    <w:r>
      <w:rPr>
        <w:rFonts w:eastAsia="Times New Roman"/>
        <w:color w:val="000000"/>
        <w:sz w:val="20"/>
        <w:szCs w:val="20"/>
      </w:rPr>
      <w:fldChar w:fldCharType="end"/>
    </w:r>
    <w:r>
      <w:rPr>
        <w:rFonts w:eastAsia="Times New Roman"/>
        <w:color w:val="000000"/>
        <w:sz w:val="20"/>
        <w:szCs w:val="20"/>
      </w:rPr>
      <w:t xml:space="preserve"> (</w:t>
    </w:r>
    <w:r>
      <w:rPr>
        <w:rFonts w:eastAsia="Times New Roman"/>
        <w:color w:val="000000"/>
        <w:sz w:val="20"/>
        <w:szCs w:val="20"/>
      </w:rPr>
      <w:fldChar w:fldCharType="begin"/>
    </w:r>
    <w:r>
      <w:rPr>
        <w:rFonts w:eastAsia="Times New Roman"/>
        <w:color w:val="000000"/>
        <w:sz w:val="20"/>
        <w:szCs w:val="20"/>
      </w:rPr>
      <w:instrText>NUMPAGES</w:instrText>
    </w:r>
    <w:r>
      <w:rPr>
        <w:rFonts w:eastAsia="Times New Roman"/>
        <w:color w:val="000000"/>
        <w:sz w:val="20"/>
        <w:szCs w:val="20"/>
      </w:rPr>
      <w:fldChar w:fldCharType="separate"/>
    </w:r>
    <w:r w:rsidR="0005542E">
      <w:rPr>
        <w:rFonts w:eastAsia="Times New Roman"/>
        <w:noProof/>
        <w:color w:val="000000"/>
        <w:sz w:val="20"/>
        <w:szCs w:val="20"/>
      </w:rPr>
      <w:t>3</w:t>
    </w:r>
    <w:r>
      <w:rPr>
        <w:rFonts w:eastAsia="Times New Roman"/>
        <w:color w:val="000000"/>
        <w:sz w:val="20"/>
        <w:szCs w:val="20"/>
      </w:rPr>
      <w:fldChar w:fldCharType="end"/>
    </w:r>
    <w:r>
      <w:rPr>
        <w:rFonts w:eastAsia="Times New Roman"/>
        <w:color w:val="00000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B2D9" w14:textId="77777777" w:rsidR="00D65CBF" w:rsidRDefault="00D65CBF">
    <w:pPr>
      <w:pBdr>
        <w:top w:val="nil"/>
        <w:left w:val="nil"/>
        <w:bottom w:val="nil"/>
        <w:right w:val="nil"/>
        <w:between w:val="nil"/>
      </w:pBdr>
      <w:tabs>
        <w:tab w:val="center" w:pos="4536"/>
        <w:tab w:val="right" w:pos="9072"/>
      </w:tabs>
      <w:spacing w:line="240" w:lineRule="auto"/>
      <w:ind w:left="142"/>
      <w:rPr>
        <w:rFonts w:eastAsia="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B3284" w14:textId="77777777" w:rsidR="009C0A59" w:rsidRDefault="009C0A59">
      <w:pPr>
        <w:spacing w:line="240" w:lineRule="auto"/>
      </w:pPr>
      <w:r>
        <w:separator/>
      </w:r>
    </w:p>
  </w:footnote>
  <w:footnote w:type="continuationSeparator" w:id="0">
    <w:p w14:paraId="6D5545EE" w14:textId="77777777" w:rsidR="009C0A59" w:rsidRDefault="009C0A59">
      <w:pPr>
        <w:spacing w:line="240" w:lineRule="auto"/>
      </w:pPr>
      <w:r>
        <w:continuationSeparator/>
      </w:r>
    </w:p>
  </w:footnote>
  <w:footnote w:id="1">
    <w:p w14:paraId="4EBA40AB" w14:textId="77777777" w:rsidR="00D65CBF" w:rsidRDefault="00250275">
      <w:pPr>
        <w:widowControl/>
        <w:pBdr>
          <w:top w:val="nil"/>
          <w:left w:val="nil"/>
          <w:bottom w:val="nil"/>
          <w:right w:val="nil"/>
          <w:between w:val="nil"/>
        </w:pBdr>
        <w:spacing w:line="240" w:lineRule="auto"/>
        <w:jc w:val="left"/>
        <w:rPr>
          <w:rFonts w:eastAsia="Times New Roman"/>
          <w:color w:val="000000"/>
          <w:sz w:val="20"/>
          <w:szCs w:val="20"/>
        </w:rPr>
      </w:pPr>
      <w:r>
        <w:rPr>
          <w:rStyle w:val="FootnoteReference"/>
        </w:rPr>
        <w:footnoteRef/>
      </w:r>
      <w:r>
        <w:rPr>
          <w:rFonts w:eastAsia="Times New Roman"/>
          <w:color w:val="000000"/>
          <w:sz w:val="20"/>
          <w:szCs w:val="20"/>
        </w:rPr>
        <w:t xml:space="preserve"> Näidatakse perioodi algus- ja lõppkuupäev.</w:t>
      </w:r>
    </w:p>
  </w:footnote>
  <w:footnote w:id="2">
    <w:p w14:paraId="5A4FB6BD" w14:textId="77777777" w:rsidR="00D65CBF" w:rsidRDefault="00250275">
      <w:pPr>
        <w:widowControl/>
        <w:pBdr>
          <w:top w:val="nil"/>
          <w:left w:val="nil"/>
          <w:bottom w:val="nil"/>
          <w:right w:val="nil"/>
          <w:between w:val="nil"/>
        </w:pBdr>
        <w:spacing w:line="240" w:lineRule="auto"/>
        <w:jc w:val="left"/>
        <w:rPr>
          <w:rFonts w:eastAsia="Times New Roman"/>
          <w:color w:val="000000"/>
          <w:sz w:val="20"/>
          <w:szCs w:val="20"/>
        </w:rPr>
      </w:pPr>
      <w:r>
        <w:rPr>
          <w:rStyle w:val="FootnoteReference"/>
        </w:rPr>
        <w:footnoteRef/>
      </w:r>
      <w:r>
        <w:rPr>
          <w:rFonts w:eastAsia="Times New Roman"/>
          <w:color w:val="000000"/>
          <w:sz w:val="20"/>
          <w:szCs w:val="20"/>
        </w:rPr>
        <w:t xml:space="preserve"> </w:t>
      </w:r>
      <w:r>
        <w:rPr>
          <w:rFonts w:eastAsia="Times New Roman"/>
          <w:color w:val="000000"/>
          <w:sz w:val="20"/>
          <w:szCs w:val="20"/>
        </w:rPr>
        <w:t xml:space="preserve">Näitaja nimetus on sätestatud </w:t>
      </w:r>
      <w:proofErr w:type="spellStart"/>
      <w:r>
        <w:rPr>
          <w:rFonts w:eastAsia="Times New Roman"/>
          <w:color w:val="000000"/>
          <w:sz w:val="20"/>
          <w:szCs w:val="20"/>
        </w:rPr>
        <w:t>TAT-is</w:t>
      </w:r>
      <w:proofErr w:type="spellEnd"/>
      <w:r>
        <w:rPr>
          <w:rFonts w:eastAsia="Times New Roman"/>
          <w:color w:val="000000"/>
          <w:sz w:val="20"/>
          <w:szCs w:val="20"/>
        </w:rPr>
        <w:t>.</w:t>
      </w:r>
    </w:p>
  </w:footnote>
  <w:footnote w:id="3">
    <w:p w14:paraId="3F22499A" w14:textId="77777777" w:rsidR="00D65CBF" w:rsidRDefault="00250275">
      <w:pPr>
        <w:widowControl/>
        <w:pBdr>
          <w:top w:val="nil"/>
          <w:left w:val="nil"/>
          <w:bottom w:val="nil"/>
          <w:right w:val="nil"/>
          <w:between w:val="nil"/>
        </w:pBdr>
        <w:spacing w:line="240" w:lineRule="auto"/>
        <w:jc w:val="left"/>
        <w:rPr>
          <w:rFonts w:eastAsia="Times New Roman"/>
          <w:color w:val="000000"/>
          <w:sz w:val="20"/>
          <w:szCs w:val="20"/>
        </w:rPr>
      </w:pPr>
      <w:r>
        <w:rPr>
          <w:rStyle w:val="FootnoteReference"/>
        </w:rPr>
        <w:footnoteRef/>
      </w:r>
      <w:r>
        <w:rPr>
          <w:rFonts w:eastAsia="Times New Roman"/>
          <w:color w:val="000000"/>
          <w:sz w:val="20"/>
          <w:szCs w:val="20"/>
        </w:rPr>
        <w:t xml:space="preserve"> </w:t>
      </w:r>
      <w:r>
        <w:rPr>
          <w:rFonts w:eastAsia="Times New Roman"/>
          <w:color w:val="000000"/>
          <w:sz w:val="20"/>
          <w:szCs w:val="20"/>
        </w:rPr>
        <w:t xml:space="preserve">Väljundid on alategevuste konkreetsed, mõõdetavad tulemid (nt koolituste arv, koolitatud inimeste arv, analüüs, veebileht jne)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6BCE2" w14:textId="77777777" w:rsidR="00D65CBF" w:rsidRDefault="00D65CBF">
    <w:pPr>
      <w:pBdr>
        <w:top w:val="nil"/>
        <w:left w:val="nil"/>
        <w:bottom w:val="nil"/>
        <w:right w:val="nil"/>
        <w:between w:val="nil"/>
      </w:pBdr>
      <w:tabs>
        <w:tab w:val="center" w:pos="4536"/>
        <w:tab w:val="right" w:pos="9072"/>
      </w:tabs>
      <w:spacing w:line="240" w:lineRule="auto"/>
      <w:ind w:left="142"/>
      <w:rPr>
        <w:rFonts w:eastAsia="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427D3"/>
    <w:multiLevelType w:val="multilevel"/>
    <w:tmpl w:val="8AF08690"/>
    <w:lvl w:ilvl="0">
      <w:start w:val="1"/>
      <w:numFmt w:val="decimal"/>
      <w:lvlText w:val="%1."/>
      <w:lvlJc w:val="left"/>
      <w:pPr>
        <w:ind w:left="720" w:hanging="360"/>
      </w:pPr>
      <w:rPr>
        <w:b/>
        <w:i w:val="0"/>
        <w:color w:val="000000"/>
        <w:sz w:val="24"/>
        <w:szCs w:val="24"/>
      </w:rPr>
    </w:lvl>
    <w:lvl w:ilvl="1">
      <w:start w:val="1"/>
      <w:numFmt w:val="decimal"/>
      <w:lvlText w:val="%1.%2."/>
      <w:lvlJc w:val="left"/>
      <w:pPr>
        <w:ind w:left="720" w:hanging="360"/>
      </w:pPr>
      <w:rPr>
        <w:rFonts w:ascii="Times New Roman" w:eastAsia="Times New Roman" w:hAnsi="Times New Roman" w:cs="Times New Roman"/>
        <w:b/>
        <w:i w:val="0"/>
        <w:color w:val="000000"/>
        <w:sz w:val="24"/>
        <w:szCs w:val="24"/>
      </w:rPr>
    </w:lvl>
    <w:lvl w:ilvl="2">
      <w:start w:val="1"/>
      <w:numFmt w:val="decimal"/>
      <w:lvlText w:val="%1.%2.%3"/>
      <w:lvlJc w:val="left"/>
      <w:pPr>
        <w:ind w:left="1146" w:hanging="720"/>
      </w:pPr>
      <w:rPr>
        <w:b/>
        <w:bCs/>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5428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BF"/>
    <w:rsid w:val="0002C553"/>
    <w:rsid w:val="0005542E"/>
    <w:rsid w:val="000734FE"/>
    <w:rsid w:val="00075DC8"/>
    <w:rsid w:val="000C73C0"/>
    <w:rsid w:val="000D7593"/>
    <w:rsid w:val="0015197C"/>
    <w:rsid w:val="00164C2A"/>
    <w:rsid w:val="001C0D57"/>
    <w:rsid w:val="001F71A1"/>
    <w:rsid w:val="0020481C"/>
    <w:rsid w:val="00250275"/>
    <w:rsid w:val="00297E2F"/>
    <w:rsid w:val="002C7B44"/>
    <w:rsid w:val="002E014D"/>
    <w:rsid w:val="00385661"/>
    <w:rsid w:val="003C3C76"/>
    <w:rsid w:val="003D3330"/>
    <w:rsid w:val="003F2F3C"/>
    <w:rsid w:val="00447768"/>
    <w:rsid w:val="004736E2"/>
    <w:rsid w:val="00496176"/>
    <w:rsid w:val="005221A3"/>
    <w:rsid w:val="00523505"/>
    <w:rsid w:val="00537AF8"/>
    <w:rsid w:val="00551409"/>
    <w:rsid w:val="00575763"/>
    <w:rsid w:val="00594ABF"/>
    <w:rsid w:val="005C3B33"/>
    <w:rsid w:val="005E3B54"/>
    <w:rsid w:val="006E6122"/>
    <w:rsid w:val="00711188"/>
    <w:rsid w:val="007348A3"/>
    <w:rsid w:val="00744116"/>
    <w:rsid w:val="007516FA"/>
    <w:rsid w:val="00781EE1"/>
    <w:rsid w:val="007A194C"/>
    <w:rsid w:val="007B0986"/>
    <w:rsid w:val="007B6925"/>
    <w:rsid w:val="007F4A58"/>
    <w:rsid w:val="00811367"/>
    <w:rsid w:val="00831DA4"/>
    <w:rsid w:val="00862BD5"/>
    <w:rsid w:val="00875567"/>
    <w:rsid w:val="008A3C39"/>
    <w:rsid w:val="00902A77"/>
    <w:rsid w:val="009B3DD9"/>
    <w:rsid w:val="009C0A59"/>
    <w:rsid w:val="009F5B65"/>
    <w:rsid w:val="00A359B8"/>
    <w:rsid w:val="00A60814"/>
    <w:rsid w:val="00A65119"/>
    <w:rsid w:val="00A72602"/>
    <w:rsid w:val="00B15614"/>
    <w:rsid w:val="00B353BB"/>
    <w:rsid w:val="00B6553B"/>
    <w:rsid w:val="00B83FFB"/>
    <w:rsid w:val="00B84F14"/>
    <w:rsid w:val="00BD959C"/>
    <w:rsid w:val="00BF2F84"/>
    <w:rsid w:val="00C467C0"/>
    <w:rsid w:val="00C52CDF"/>
    <w:rsid w:val="00C81FF7"/>
    <w:rsid w:val="00CE275A"/>
    <w:rsid w:val="00D261D2"/>
    <w:rsid w:val="00D30E48"/>
    <w:rsid w:val="00D34F1E"/>
    <w:rsid w:val="00D4502A"/>
    <w:rsid w:val="00D65CBF"/>
    <w:rsid w:val="00D722BB"/>
    <w:rsid w:val="00DA12FE"/>
    <w:rsid w:val="00DCA168"/>
    <w:rsid w:val="00DE00B9"/>
    <w:rsid w:val="00E60D46"/>
    <w:rsid w:val="00E91ACB"/>
    <w:rsid w:val="00EA47A7"/>
    <w:rsid w:val="00F26634"/>
    <w:rsid w:val="00F3185D"/>
    <w:rsid w:val="00F90555"/>
    <w:rsid w:val="00FD1584"/>
    <w:rsid w:val="016D984F"/>
    <w:rsid w:val="01738A60"/>
    <w:rsid w:val="01A48741"/>
    <w:rsid w:val="01B61A11"/>
    <w:rsid w:val="021275EF"/>
    <w:rsid w:val="03481A83"/>
    <w:rsid w:val="0416BB4C"/>
    <w:rsid w:val="04C5CFA7"/>
    <w:rsid w:val="05DB58C7"/>
    <w:rsid w:val="06152C82"/>
    <w:rsid w:val="06ED2250"/>
    <w:rsid w:val="075E3970"/>
    <w:rsid w:val="07C0DEA5"/>
    <w:rsid w:val="08212CEC"/>
    <w:rsid w:val="08780E1F"/>
    <w:rsid w:val="0980C3A0"/>
    <w:rsid w:val="09A168A3"/>
    <w:rsid w:val="0A08C951"/>
    <w:rsid w:val="0A37398C"/>
    <w:rsid w:val="0BBF5C50"/>
    <w:rsid w:val="0C37EF92"/>
    <w:rsid w:val="0C53C595"/>
    <w:rsid w:val="0D974039"/>
    <w:rsid w:val="0D9FC0B8"/>
    <w:rsid w:val="0DBCE9AB"/>
    <w:rsid w:val="0DE28221"/>
    <w:rsid w:val="0E43F4D5"/>
    <w:rsid w:val="0E5EE747"/>
    <w:rsid w:val="0E8DD86C"/>
    <w:rsid w:val="0EB253C7"/>
    <w:rsid w:val="0F7BCD64"/>
    <w:rsid w:val="109C6DDE"/>
    <w:rsid w:val="10FCEAED"/>
    <w:rsid w:val="111DDC27"/>
    <w:rsid w:val="138B5197"/>
    <w:rsid w:val="14618A2D"/>
    <w:rsid w:val="14906E3E"/>
    <w:rsid w:val="14FDAB10"/>
    <w:rsid w:val="157E9E54"/>
    <w:rsid w:val="16213B15"/>
    <w:rsid w:val="16EBBD8C"/>
    <w:rsid w:val="1729F151"/>
    <w:rsid w:val="177D0245"/>
    <w:rsid w:val="17CCC463"/>
    <w:rsid w:val="180C3946"/>
    <w:rsid w:val="1A8C7F1B"/>
    <w:rsid w:val="1B641230"/>
    <w:rsid w:val="1D70DE76"/>
    <w:rsid w:val="1D7EF1AF"/>
    <w:rsid w:val="1D9852C9"/>
    <w:rsid w:val="1DD684B4"/>
    <w:rsid w:val="1DF6FC03"/>
    <w:rsid w:val="1E115193"/>
    <w:rsid w:val="1E26BCFD"/>
    <w:rsid w:val="1EC056CB"/>
    <w:rsid w:val="1F73F60B"/>
    <w:rsid w:val="1F7EF8AE"/>
    <w:rsid w:val="1FFF41F0"/>
    <w:rsid w:val="206EE476"/>
    <w:rsid w:val="2111C4A7"/>
    <w:rsid w:val="22CE841A"/>
    <w:rsid w:val="22EC9F07"/>
    <w:rsid w:val="22F713D8"/>
    <w:rsid w:val="23680750"/>
    <w:rsid w:val="24DBA1FC"/>
    <w:rsid w:val="252BC604"/>
    <w:rsid w:val="2594EAA6"/>
    <w:rsid w:val="25AC9B59"/>
    <w:rsid w:val="25B2DBA0"/>
    <w:rsid w:val="26042156"/>
    <w:rsid w:val="262FD8BD"/>
    <w:rsid w:val="2635FB80"/>
    <w:rsid w:val="27046A72"/>
    <w:rsid w:val="27AC2917"/>
    <w:rsid w:val="27B4052A"/>
    <w:rsid w:val="27E5EB56"/>
    <w:rsid w:val="2813A6E1"/>
    <w:rsid w:val="282BA596"/>
    <w:rsid w:val="28BB0915"/>
    <w:rsid w:val="28EA3AA7"/>
    <w:rsid w:val="29A95FDB"/>
    <w:rsid w:val="2A4D1C1A"/>
    <w:rsid w:val="2BA47DD7"/>
    <w:rsid w:val="2CF21348"/>
    <w:rsid w:val="2D310563"/>
    <w:rsid w:val="2E146568"/>
    <w:rsid w:val="2F1C2457"/>
    <w:rsid w:val="303FCFE4"/>
    <w:rsid w:val="30B63569"/>
    <w:rsid w:val="30BCA447"/>
    <w:rsid w:val="31953411"/>
    <w:rsid w:val="31F7695E"/>
    <w:rsid w:val="3320956D"/>
    <w:rsid w:val="3373405A"/>
    <w:rsid w:val="337D8A4C"/>
    <w:rsid w:val="344383B9"/>
    <w:rsid w:val="344EA454"/>
    <w:rsid w:val="3474B702"/>
    <w:rsid w:val="349D1937"/>
    <w:rsid w:val="349F04F3"/>
    <w:rsid w:val="34FCA5D5"/>
    <w:rsid w:val="3583BCBF"/>
    <w:rsid w:val="35B3D4C0"/>
    <w:rsid w:val="35E98AD1"/>
    <w:rsid w:val="36135852"/>
    <w:rsid w:val="36A2A2DD"/>
    <w:rsid w:val="36C72B49"/>
    <w:rsid w:val="375DCD67"/>
    <w:rsid w:val="37DF989F"/>
    <w:rsid w:val="37EF7653"/>
    <w:rsid w:val="398D1633"/>
    <w:rsid w:val="3A24F56B"/>
    <w:rsid w:val="3AA728D7"/>
    <w:rsid w:val="3AB1459F"/>
    <w:rsid w:val="3AB5C7EA"/>
    <w:rsid w:val="3C562869"/>
    <w:rsid w:val="3C7815F2"/>
    <w:rsid w:val="3C7D47E6"/>
    <w:rsid w:val="3C7F867A"/>
    <w:rsid w:val="3CA875CB"/>
    <w:rsid w:val="3CE3F16A"/>
    <w:rsid w:val="3D3134A3"/>
    <w:rsid w:val="3DD765E9"/>
    <w:rsid w:val="3DD7D4B5"/>
    <w:rsid w:val="3E7862C6"/>
    <w:rsid w:val="3F0D6088"/>
    <w:rsid w:val="3F50319C"/>
    <w:rsid w:val="3FE49B14"/>
    <w:rsid w:val="401B5B54"/>
    <w:rsid w:val="406D8DE5"/>
    <w:rsid w:val="413D5C02"/>
    <w:rsid w:val="414DC0D6"/>
    <w:rsid w:val="414EC5E8"/>
    <w:rsid w:val="41B488A6"/>
    <w:rsid w:val="42D3192F"/>
    <w:rsid w:val="42DB9432"/>
    <w:rsid w:val="4364DAE9"/>
    <w:rsid w:val="438ABAC4"/>
    <w:rsid w:val="4393B15C"/>
    <w:rsid w:val="43A2018F"/>
    <w:rsid w:val="43DCF4D0"/>
    <w:rsid w:val="443C36C4"/>
    <w:rsid w:val="444EE8FB"/>
    <w:rsid w:val="456F47D5"/>
    <w:rsid w:val="462FBFD7"/>
    <w:rsid w:val="46D81F7B"/>
    <w:rsid w:val="46E06A2E"/>
    <w:rsid w:val="474655EC"/>
    <w:rsid w:val="479D3FE7"/>
    <w:rsid w:val="47B38AC7"/>
    <w:rsid w:val="47E64A96"/>
    <w:rsid w:val="47E7F091"/>
    <w:rsid w:val="48194E71"/>
    <w:rsid w:val="4842F97B"/>
    <w:rsid w:val="494F603F"/>
    <w:rsid w:val="498D1065"/>
    <w:rsid w:val="4A736D87"/>
    <w:rsid w:val="4AFBC076"/>
    <w:rsid w:val="4B2831A3"/>
    <w:rsid w:val="4BA90C0B"/>
    <w:rsid w:val="4D2E49E5"/>
    <w:rsid w:val="4D43F94A"/>
    <w:rsid w:val="4E1987AA"/>
    <w:rsid w:val="4E255AFC"/>
    <w:rsid w:val="4E758AFF"/>
    <w:rsid w:val="4EA17172"/>
    <w:rsid w:val="4EA20F63"/>
    <w:rsid w:val="4FFF19A2"/>
    <w:rsid w:val="51061BA2"/>
    <w:rsid w:val="511E4BDD"/>
    <w:rsid w:val="51E39965"/>
    <w:rsid w:val="51FBEBB2"/>
    <w:rsid w:val="527A8C48"/>
    <w:rsid w:val="52B0B059"/>
    <w:rsid w:val="52B1D017"/>
    <w:rsid w:val="5351F054"/>
    <w:rsid w:val="53780D65"/>
    <w:rsid w:val="539F9940"/>
    <w:rsid w:val="542A386B"/>
    <w:rsid w:val="55927CB4"/>
    <w:rsid w:val="55D0FF99"/>
    <w:rsid w:val="55F5B423"/>
    <w:rsid w:val="564B64A0"/>
    <w:rsid w:val="565FDDFA"/>
    <w:rsid w:val="569E0473"/>
    <w:rsid w:val="573EC1B6"/>
    <w:rsid w:val="57FD3F9E"/>
    <w:rsid w:val="590365C5"/>
    <w:rsid w:val="5A5C9D5F"/>
    <w:rsid w:val="5AC2392B"/>
    <w:rsid w:val="5B668FD8"/>
    <w:rsid w:val="5BCB4067"/>
    <w:rsid w:val="5C58AC4D"/>
    <w:rsid w:val="5DD38999"/>
    <w:rsid w:val="5E3D0300"/>
    <w:rsid w:val="5E568E65"/>
    <w:rsid w:val="5E6FCC42"/>
    <w:rsid w:val="5E7B98E3"/>
    <w:rsid w:val="5F2A9B28"/>
    <w:rsid w:val="5F9C7D07"/>
    <w:rsid w:val="5FAEA485"/>
    <w:rsid w:val="5FE66306"/>
    <w:rsid w:val="61A68DE7"/>
    <w:rsid w:val="62553DD5"/>
    <w:rsid w:val="628C575B"/>
    <w:rsid w:val="62E3BBE3"/>
    <w:rsid w:val="630C5289"/>
    <w:rsid w:val="63892132"/>
    <w:rsid w:val="63D5304C"/>
    <w:rsid w:val="640CEEEE"/>
    <w:rsid w:val="64113D26"/>
    <w:rsid w:val="64BE1FE0"/>
    <w:rsid w:val="64F24CB4"/>
    <w:rsid w:val="66037B17"/>
    <w:rsid w:val="66967213"/>
    <w:rsid w:val="6710CD48"/>
    <w:rsid w:val="67551ADB"/>
    <w:rsid w:val="67BF1174"/>
    <w:rsid w:val="68181C81"/>
    <w:rsid w:val="681D9B1A"/>
    <w:rsid w:val="681EB2FE"/>
    <w:rsid w:val="68482FDB"/>
    <w:rsid w:val="69262602"/>
    <w:rsid w:val="69433F07"/>
    <w:rsid w:val="69C08528"/>
    <w:rsid w:val="6A8FBC15"/>
    <w:rsid w:val="6AAE532E"/>
    <w:rsid w:val="6B4F4B12"/>
    <w:rsid w:val="6B619D5E"/>
    <w:rsid w:val="6B9E8B44"/>
    <w:rsid w:val="6BA035A3"/>
    <w:rsid w:val="6BB6AE1D"/>
    <w:rsid w:val="6BDDBC4F"/>
    <w:rsid w:val="6CE1A417"/>
    <w:rsid w:val="6CF889C8"/>
    <w:rsid w:val="6DBA2DC0"/>
    <w:rsid w:val="6DFCB267"/>
    <w:rsid w:val="6E12ED79"/>
    <w:rsid w:val="6E1A7256"/>
    <w:rsid w:val="6E658213"/>
    <w:rsid w:val="6EAC8B13"/>
    <w:rsid w:val="6FF81A55"/>
    <w:rsid w:val="70257EF6"/>
    <w:rsid w:val="705A00A7"/>
    <w:rsid w:val="7062B55F"/>
    <w:rsid w:val="739E0AD7"/>
    <w:rsid w:val="73C98E11"/>
    <w:rsid w:val="743110BD"/>
    <w:rsid w:val="745F93B9"/>
    <w:rsid w:val="75065560"/>
    <w:rsid w:val="754E5C57"/>
    <w:rsid w:val="758EFBD4"/>
    <w:rsid w:val="75A882F9"/>
    <w:rsid w:val="767123B6"/>
    <w:rsid w:val="767F5930"/>
    <w:rsid w:val="76D786FD"/>
    <w:rsid w:val="771C603D"/>
    <w:rsid w:val="7842237B"/>
    <w:rsid w:val="78B3EA70"/>
    <w:rsid w:val="793A32CD"/>
    <w:rsid w:val="796D6787"/>
    <w:rsid w:val="799D5531"/>
    <w:rsid w:val="79D2FE67"/>
    <w:rsid w:val="7AE20B36"/>
    <w:rsid w:val="7B754D4F"/>
    <w:rsid w:val="7BAA2EC5"/>
    <w:rsid w:val="7D2075CA"/>
    <w:rsid w:val="7D2BA3EA"/>
    <w:rsid w:val="7DB5E6EC"/>
    <w:rsid w:val="7E0E7332"/>
    <w:rsid w:val="7ED2BD30"/>
    <w:rsid w:val="7F7984B7"/>
    <w:rsid w:val="7F87E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EDAB"/>
  <w15:docId w15:val="{36EF3D31-3EEE-45C3-B0C7-81EDF101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t-EE" w:eastAsia="en-US" w:bidi="ar-SA"/>
      </w:rPr>
    </w:rPrDefault>
    <w:pPrDefault>
      <w:pPr>
        <w:widowControl w:val="0"/>
        <w:spacing w:line="23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suppressAutoHyphens/>
      <w:spacing w:line="238" w:lineRule="exact"/>
    </w:pPr>
    <w:rPr>
      <w:rFonts w:eastAsia="SimSun"/>
      <w:kern w:val="1"/>
      <w:lang w:eastAsia="zh-CN" w:bidi="hi-IN"/>
    </w:rPr>
  </w:style>
  <w:style w:type="paragraph" w:styleId="Heading1">
    <w:name w:val="heading 1"/>
    <w:basedOn w:val="Normal"/>
    <w:next w:val="Normal"/>
    <w:link w:val="Heading1Char"/>
    <w:uiPriority w:val="9"/>
    <w:qFormat/>
    <w:rsid w:val="00FE03F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FE03F5"/>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semiHidden/>
    <w:unhideWhenUsed/>
    <w:qFormat/>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semiHidden/>
    <w:unhideWhenUsed/>
    <w:qFormat/>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suppressAutoHyphens/>
    </w:pPr>
    <w:rPr>
      <w:rFonts w:eastAsia="SimSun" w:cs="Mangal"/>
      <w:kern w:val="1"/>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5B5E78"/>
    <w:pPr>
      <w:keepNext/>
      <w:keepLines/>
      <w:suppressLineNumbers/>
    </w:pPr>
    <w:rPr>
      <w:rFonts w:eastAsia="SimSun"/>
      <w:b/>
      <w:kern w:val="1"/>
      <w:lang w:eastAsia="zh-CN" w:bidi="hi-IN"/>
    </w:rPr>
  </w:style>
  <w:style w:type="paragraph" w:customStyle="1" w:styleId="Pealkiri1">
    <w:name w:val="Pealkiri1"/>
    <w:autoRedefine/>
    <w:qFormat/>
    <w:rsid w:val="0084562D"/>
    <w:pPr>
      <w:spacing w:after="560"/>
    </w:pPr>
    <w:rPr>
      <w:rFonts w:eastAsia="SimSun"/>
      <w:bCs/>
      <w:kern w:val="1"/>
      <w:lang w:eastAsia="zh-CN" w:bidi="hi-IN"/>
    </w:rPr>
  </w:style>
  <w:style w:type="paragraph" w:customStyle="1" w:styleId="Tekst">
    <w:name w:val="Tekst"/>
    <w:autoRedefine/>
    <w:qFormat/>
    <w:rsid w:val="007056E1"/>
    <w:rPr>
      <w:rFonts w:eastAsia="SimSun" w:cs="Mangal"/>
      <w:kern w:val="1"/>
      <w:lang w:eastAsia="zh-CN" w:bidi="hi-IN"/>
    </w:rPr>
  </w:style>
  <w:style w:type="paragraph" w:customStyle="1" w:styleId="Kuupev1">
    <w:name w:val="Kuupäev1"/>
    <w:autoRedefine/>
    <w:qFormat/>
    <w:rsid w:val="005927C1"/>
    <w:pPr>
      <w:tabs>
        <w:tab w:val="left" w:pos="291"/>
      </w:tabs>
      <w:spacing w:before="840"/>
    </w:pPr>
    <w:rPr>
      <w:rFonts w:eastAsia="SimSun"/>
      <w:kern w:val="24"/>
      <w:lang w:eastAsia="zh-CN" w:bidi="hi-IN"/>
    </w:rPr>
  </w:style>
  <w:style w:type="paragraph" w:customStyle="1" w:styleId="Liik">
    <w:name w:val="Liik"/>
    <w:autoRedefine/>
    <w:qFormat/>
    <w:rsid w:val="00110BCA"/>
    <w:rPr>
      <w:rFonts w:eastAsia="SimSun"/>
      <w:caps/>
      <w:kern w:val="24"/>
      <w:lang w:eastAsia="zh-CN" w:bidi="hi-IN"/>
    </w:rPr>
  </w:style>
  <w:style w:type="paragraph" w:customStyle="1" w:styleId="Osa">
    <w:name w:val="Osa"/>
    <w:qFormat/>
    <w:rsid w:val="0050252A"/>
    <w:pPr>
      <w:jc w:val="center"/>
    </w:pPr>
    <w:rPr>
      <w:rFonts w:eastAsia="SimSun" w:cs="Mangal"/>
      <w:b/>
      <w:kern w:val="1"/>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table" w:styleId="TableGrid">
    <w:name w:val="Table Grid"/>
    <w:basedOn w:val="TableNormal"/>
    <w:uiPriority w:val="59"/>
    <w:rsid w:val="0070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
    <w:basedOn w:val="Normal"/>
    <w:link w:val="FootnoteTextChar"/>
    <w:uiPriority w:val="99"/>
    <w:semiHidden/>
    <w:rsid w:val="00FE03F5"/>
    <w:pPr>
      <w:widowControl/>
      <w:suppressAutoHyphens w:val="0"/>
      <w:spacing w:line="240" w:lineRule="auto"/>
      <w:jc w:val="left"/>
    </w:pPr>
    <w:rPr>
      <w:rFonts w:eastAsia="Times New Roman"/>
      <w:kern w:val="0"/>
      <w:sz w:val="20"/>
      <w:szCs w:val="20"/>
      <w:lang w:val="en-US" w:eastAsia="en-US" w:bidi="ar-SA"/>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semiHidden/>
    <w:rsid w:val="00FE03F5"/>
    <w:rPr>
      <w:lang w:val="en-US" w:eastAsia="en-US"/>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semiHidden/>
    <w:rsid w:val="00FE03F5"/>
    <w:rPr>
      <w:rFonts w:cs="Times New Roman"/>
      <w:vertAlign w:val="superscript"/>
    </w:rPr>
  </w:style>
  <w:style w:type="character" w:customStyle="1" w:styleId="Heading1Char">
    <w:name w:val="Heading 1 Char"/>
    <w:basedOn w:val="DefaultParagraphFont"/>
    <w:link w:val="Heading1"/>
    <w:uiPriority w:val="9"/>
    <w:rsid w:val="00FE03F5"/>
    <w:rPr>
      <w:rFonts w:asciiTheme="majorHAnsi" w:eastAsiaTheme="majorEastAsia" w:hAnsiTheme="majorHAnsi" w:cs="Mangal"/>
      <w:color w:val="365F91" w:themeColor="accent1" w:themeShade="BF"/>
      <w:kern w:val="1"/>
      <w:sz w:val="32"/>
      <w:szCs w:val="29"/>
      <w:lang w:eastAsia="zh-CN" w:bidi="hi-IN"/>
    </w:rPr>
  </w:style>
  <w:style w:type="character" w:customStyle="1" w:styleId="Heading2Char">
    <w:name w:val="Heading 2 Char"/>
    <w:basedOn w:val="DefaultParagraphFont"/>
    <w:link w:val="Heading2"/>
    <w:uiPriority w:val="9"/>
    <w:rsid w:val="00FE03F5"/>
    <w:rPr>
      <w:rFonts w:asciiTheme="majorHAnsi" w:eastAsiaTheme="majorEastAsia" w:hAnsiTheme="majorHAnsi" w:cs="Mangal"/>
      <w:color w:val="365F91" w:themeColor="accent1" w:themeShade="BF"/>
      <w:kern w:val="1"/>
      <w:sz w:val="26"/>
      <w:szCs w:val="23"/>
      <w:lang w:eastAsia="zh-CN" w:bidi="hi-IN"/>
    </w:rPr>
  </w:style>
  <w:style w:type="paragraph" w:styleId="ListParagraph">
    <w:name w:val="List Paragraph"/>
    <w:basedOn w:val="Normal"/>
    <w:uiPriority w:val="34"/>
    <w:qFormat/>
    <w:rsid w:val="007A460D"/>
    <w:pPr>
      <w:ind w:left="720"/>
      <w:contextualSpacing/>
    </w:pPr>
    <w:rPr>
      <w:rFonts w:cs="Mangal"/>
      <w:szCs w:val="21"/>
    </w:rPr>
  </w:style>
  <w:style w:type="character" w:styleId="CommentReference">
    <w:name w:val="annotation reference"/>
    <w:basedOn w:val="DefaultParagraphFont"/>
    <w:uiPriority w:val="99"/>
    <w:semiHidden/>
    <w:unhideWhenUsed/>
    <w:rsid w:val="007B476E"/>
    <w:rPr>
      <w:sz w:val="16"/>
      <w:szCs w:val="16"/>
    </w:rPr>
  </w:style>
  <w:style w:type="paragraph" w:styleId="CommentText">
    <w:name w:val="annotation text"/>
    <w:basedOn w:val="Normal"/>
    <w:link w:val="CommentTextChar"/>
    <w:uiPriority w:val="99"/>
    <w:unhideWhenUsed/>
    <w:rsid w:val="007B476E"/>
    <w:pPr>
      <w:spacing w:line="240" w:lineRule="auto"/>
    </w:pPr>
    <w:rPr>
      <w:rFonts w:cs="Mangal"/>
      <w:sz w:val="20"/>
      <w:szCs w:val="18"/>
    </w:rPr>
  </w:style>
  <w:style w:type="character" w:customStyle="1" w:styleId="CommentTextChar">
    <w:name w:val="Comment Text Char"/>
    <w:basedOn w:val="DefaultParagraphFont"/>
    <w:link w:val="CommentText"/>
    <w:uiPriority w:val="99"/>
    <w:rsid w:val="007B476E"/>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7B476E"/>
    <w:rPr>
      <w:b/>
      <w:bCs/>
    </w:rPr>
  </w:style>
  <w:style w:type="character" w:customStyle="1" w:styleId="CommentSubjectChar">
    <w:name w:val="Comment Subject Char"/>
    <w:basedOn w:val="CommentTextChar"/>
    <w:link w:val="CommentSubject"/>
    <w:uiPriority w:val="99"/>
    <w:semiHidden/>
    <w:rsid w:val="007B476E"/>
    <w:rPr>
      <w:rFonts w:eastAsia="SimSun" w:cs="Mangal"/>
      <w:b/>
      <w:bCs/>
      <w:kern w:val="1"/>
      <w:szCs w:val="18"/>
      <w:lang w:eastAsia="zh-CN" w:bidi="hi-IN"/>
    </w:rPr>
  </w:style>
  <w:style w:type="paragraph" w:styleId="Revision">
    <w:name w:val="Revision"/>
    <w:hidden/>
    <w:uiPriority w:val="99"/>
    <w:semiHidden/>
    <w:rsid w:val="00794AE5"/>
    <w:rPr>
      <w:rFonts w:eastAsia="SimSun" w:cs="Mangal"/>
      <w:kern w:val="1"/>
      <w:szCs w:val="21"/>
      <w:lang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GbFm6xuI/s3w/HyKzE+/tww/A==">CgMxLjAyCGguZ2pkZ3hzMgloLjMwajB6bGw4AHIhMTYwR1Z2YlFIQURGR01OUjFuLW1VM2ZXNEl2Tll5N0tw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214A35BE5CA0F42910A4EFEA253D3AE" ma:contentTypeVersion="13" ma:contentTypeDescription="Create a new document." ma:contentTypeScope="" ma:versionID="cae97cc5d093097744af52bd8e41b88b">
  <xsd:schema xmlns:xsd="http://www.w3.org/2001/XMLSchema" xmlns:xs="http://www.w3.org/2001/XMLSchema" xmlns:p="http://schemas.microsoft.com/office/2006/metadata/properties" xmlns:ns2="e7fb249a-b9b4-4437-8ec1-b4dea089e6b0" xmlns:ns3="194d161e-9feb-48d7-86ed-d7bb9ad5178d" targetNamespace="http://schemas.microsoft.com/office/2006/metadata/properties" ma:root="true" ma:fieldsID="75942383fc857c41f51f118eccd133d4" ns2:_="" ns3:_="">
    <xsd:import namespace="e7fb249a-b9b4-4437-8ec1-b4dea089e6b0"/>
    <xsd:import namespace="194d161e-9feb-48d7-86ed-d7bb9ad51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b249a-b9b4-4437-8ec1-b4dea089e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36484f-8c2f-4416-860f-d7d6b59010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d161e-9feb-48d7-86ed-d7bb9ad51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c44fb-4c81-4059-9cc5-499d6564fc98}" ma:internalName="TaxCatchAll" ma:showField="CatchAllData" ma:web="194d161e-9feb-48d7-86ed-d7bb9ad51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fb249a-b9b4-4437-8ec1-b4dea089e6b0">
      <Terms xmlns="http://schemas.microsoft.com/office/infopath/2007/PartnerControls"/>
    </lcf76f155ced4ddcb4097134ff3c332f>
    <TaxCatchAll xmlns="194d161e-9feb-48d7-86ed-d7bb9ad517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6C93A6-173B-4289-BDB9-E3470670F03C}"/>
</file>

<file path=customXml/itemProps3.xml><?xml version="1.0" encoding="utf-8"?>
<ds:datastoreItem xmlns:ds="http://schemas.openxmlformats.org/officeDocument/2006/customXml" ds:itemID="{CA9AB08C-B47C-416B-B9A6-97B75E6040F2}">
  <ds:schemaRefs>
    <ds:schemaRef ds:uri="http://schemas.microsoft.com/office/2006/metadata/properties"/>
    <ds:schemaRef ds:uri="http://schemas.microsoft.com/office/infopath/2007/PartnerControls"/>
    <ds:schemaRef ds:uri="e7fb249a-b9b4-4437-8ec1-b4dea089e6b0"/>
    <ds:schemaRef ds:uri="194d161e-9feb-48d7-86ed-d7bb9ad5178d"/>
  </ds:schemaRefs>
</ds:datastoreItem>
</file>

<file path=customXml/itemProps4.xml><?xml version="1.0" encoding="utf-8"?>
<ds:datastoreItem xmlns:ds="http://schemas.openxmlformats.org/officeDocument/2006/customXml" ds:itemID="{E9430D60-EF24-4284-82E3-1FBC36BAB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2436</Words>
  <Characters>13887</Characters>
  <Application>Microsoft Office Word</Application>
  <DocSecurity>0</DocSecurity>
  <Lines>115</Lines>
  <Paragraphs>32</Paragraphs>
  <ScaleCrop>false</ScaleCrop>
  <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Sille Uusleer</dc:creator>
  <cp:lastModifiedBy>Leana Liivson </cp:lastModifiedBy>
  <cp:revision>32</cp:revision>
  <dcterms:created xsi:type="dcterms:W3CDTF">2024-11-11T12:38:00Z</dcterms:created>
  <dcterms:modified xsi:type="dcterms:W3CDTF">2024-12-17T11:01:00Z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docType">
    <vt:lpwstr>{dokumendi liik}</vt:lpwstr>
  </property>
  <property fmtid="{D5CDD505-2E9C-101B-9397-08002B2CF9AE}" pid="9" name="delta_regNumber">
    <vt:lpwstr>{viit}</vt:lpwstr>
  </property>
  <property fmtid="{D5CDD505-2E9C-101B-9397-08002B2CF9AE}" pid="10" name="delta_regDateTime">
    <vt:lpwstr>{reg kpv}</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signerName">
    <vt:lpwstr>{Allkirjastaja nimi}</vt:lpwstr>
  </property>
  <property fmtid="{D5CDD505-2E9C-101B-9397-08002B2CF9AE}" pid="16" name="delta_signerJobTitle">
    <vt:lpwstr>{allkirjastaja ametinimetus}</vt:lpwstr>
  </property>
  <property fmtid="{D5CDD505-2E9C-101B-9397-08002B2CF9AE}" pid="17" name="ContentTypeId">
    <vt:lpwstr>0x0101000214A35BE5CA0F42910A4EFEA253D3AE</vt:lpwstr>
  </property>
  <property fmtid="{D5CDD505-2E9C-101B-9397-08002B2CF9AE}" pid="18" name="MediaServiceImageTags">
    <vt:lpwstr/>
  </property>
</Properties>
</file>