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Pr="002710AB" w:rsidRDefault="000E641A">
      <w:pPr>
        <w:rPr>
          <w:rFonts w:ascii="Montserrat Light" w:hAnsi="Montserrat Light"/>
          <w:sz w:val="22"/>
          <w:szCs w:val="22"/>
        </w:rPr>
      </w:pPr>
    </w:p>
    <w:p w14:paraId="29A4E78C" w14:textId="77777777" w:rsidR="000E641A" w:rsidRPr="002710AB" w:rsidRDefault="000E641A">
      <w:pPr>
        <w:rPr>
          <w:rFonts w:ascii="Montserrat Light" w:hAnsi="Montserrat Light"/>
          <w:sz w:val="22"/>
          <w:szCs w:val="22"/>
        </w:rPr>
      </w:pPr>
    </w:p>
    <w:p w14:paraId="2177B78F" w14:textId="77777777" w:rsidR="002710AB" w:rsidRPr="002710AB" w:rsidRDefault="002710AB">
      <w:pPr>
        <w:rPr>
          <w:rFonts w:ascii="Montserrat Light" w:hAnsi="Montserrat Light"/>
          <w:sz w:val="22"/>
          <w:szCs w:val="22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0A0C4BFE" w:rsidR="00CE003E" w:rsidRPr="002710AB" w:rsidRDefault="00337E8E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2710AB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329A9" w:rsidRPr="002710AB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2710AB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2710AB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2710AB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2710AB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lang w:val="et-EE"/>
                    </w:rPr>
                  </w:pPr>
                  <w:r w:rsidRPr="002710AB"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>V</w:t>
                  </w:r>
                  <w:r w:rsidR="007329A9" w:rsidRPr="002710AB"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  <w:t>astavalt nimekirjale</w:t>
                  </w:r>
                </w:p>
              </w:tc>
            </w:tr>
            <w:tr w:rsidR="007329A9" w:rsidRPr="002710AB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2710AB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2710AB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2710AB" w:rsidRDefault="00DC7B98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412683AC" w:rsidR="00CE003E" w:rsidRPr="002710AB" w:rsidRDefault="00C06871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05</w:t>
            </w:r>
            <w:r w:rsidR="00F75919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337E8E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12</w:t>
            </w:r>
            <w:r w:rsidR="001842B4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0E641A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  <w:r w:rsidR="00F75919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</w:t>
            </w:r>
            <w:r w:rsidR="0035565A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4.2-17/</w:t>
            </w:r>
            <w:r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8983</w:t>
            </w:r>
            <w:r w:rsidR="00D70566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-</w:t>
            </w:r>
            <w:r w:rsidR="00337E8E" w:rsidRPr="002710AB">
              <w:rPr>
                <w:rStyle w:val="a1"/>
                <w:rFonts w:ascii="Montserrat Light" w:hAnsi="Montserrat Light"/>
                <w:sz w:val="22"/>
                <w:szCs w:val="22"/>
              </w:rPr>
              <w:t>10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62527853" w14:textId="77777777" w:rsidR="00337E8E" w:rsidRPr="00E25AB2" w:rsidRDefault="00337E8E" w:rsidP="00337E8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Detailplaneeringu osalisest kehtetuks tunnistamisest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765E1E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2AA38AA" w14:textId="14A6ED4F" w:rsidR="00337E8E" w:rsidRPr="00514E50" w:rsidRDefault="00514E50" w:rsidP="00514E50">
      <w:pPr>
        <w:jc w:val="both"/>
        <w:rPr>
          <w:rFonts w:ascii="Montserrat Light" w:hAnsi="Montserrat Light"/>
          <w:sz w:val="22"/>
          <w:szCs w:val="22"/>
          <w:lang w:val="et-EE"/>
        </w:rPr>
      </w:pPr>
      <w:bookmarkStart w:id="0" w:name="_Hlk184287258"/>
      <w:r w:rsidRPr="00514E50">
        <w:rPr>
          <w:rFonts w:ascii="Montserrat Light" w:hAnsi="Montserrat Light"/>
          <w:sz w:val="22"/>
          <w:szCs w:val="22"/>
          <w:lang w:val="et-EE"/>
        </w:rPr>
        <w:t xml:space="preserve">Narva Linnavalitsuse Arhitektuuri- ja Linnaplaneerimise Amet teatab </w:t>
      </w:r>
      <w:r w:rsidR="00337E8E" w:rsidRPr="00514E50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Linnavolikogu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28.09.2006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otsusega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nr 156 „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22 maa-ala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kehtestamine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”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kehtestatud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osalisest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kehtetuks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37E8E" w:rsidRPr="00514E50">
        <w:rPr>
          <w:rFonts w:ascii="Montserrat Light" w:hAnsi="Montserrat Light"/>
          <w:sz w:val="22"/>
          <w:szCs w:val="22"/>
        </w:rPr>
        <w:t>tunnistamisest</w:t>
      </w:r>
      <w:proofErr w:type="spellEnd"/>
      <w:r w:rsidR="00337E8E" w:rsidRPr="00514E50">
        <w:rPr>
          <w:rFonts w:ascii="Montserrat Light" w:hAnsi="Montserrat Light"/>
          <w:sz w:val="22"/>
          <w:szCs w:val="22"/>
        </w:rPr>
        <w:t xml:space="preserve"> </w:t>
      </w:r>
      <w:hyperlink r:id="rId7" w:history="1">
        <w:r w:rsidR="00DC6152" w:rsidRPr="00AC5CD8">
          <w:rPr>
            <w:rStyle w:val="Hyperlink"/>
            <w:rFonts w:ascii="Montserrat Light" w:hAnsi="Montserrat Light"/>
            <w:b/>
            <w:bCs/>
            <w:sz w:val="22"/>
            <w:szCs w:val="22"/>
          </w:rPr>
          <w:t xml:space="preserve">Narva </w:t>
        </w:r>
        <w:proofErr w:type="spellStart"/>
        <w:r w:rsidR="00DC6152" w:rsidRPr="00AC5CD8">
          <w:rPr>
            <w:rStyle w:val="Hyperlink"/>
            <w:rFonts w:ascii="Montserrat Light" w:hAnsi="Montserrat Light"/>
            <w:b/>
            <w:bCs/>
            <w:sz w:val="22"/>
            <w:szCs w:val="22"/>
          </w:rPr>
          <w:t>Linnavolikogu</w:t>
        </w:r>
        <w:proofErr w:type="spellEnd"/>
        <w:r w:rsidR="00DC6152" w:rsidRPr="00AC5CD8">
          <w:rPr>
            <w:rStyle w:val="Hyperlink"/>
            <w:rFonts w:ascii="Montserrat Light" w:hAnsi="Montserrat Light"/>
            <w:b/>
            <w:bCs/>
            <w:sz w:val="22"/>
            <w:szCs w:val="22"/>
          </w:rPr>
          <w:t xml:space="preserve"> 21.11.2024 </w:t>
        </w:r>
        <w:proofErr w:type="spellStart"/>
        <w:r w:rsidR="00DC6152" w:rsidRPr="00AC5CD8">
          <w:rPr>
            <w:rStyle w:val="Hyperlink"/>
            <w:rFonts w:ascii="Montserrat Light" w:hAnsi="Montserrat Light"/>
            <w:b/>
            <w:bCs/>
            <w:sz w:val="22"/>
            <w:szCs w:val="22"/>
          </w:rPr>
          <w:t>otsusega</w:t>
        </w:r>
        <w:proofErr w:type="spellEnd"/>
        <w:r w:rsidR="00DC6152" w:rsidRPr="00AC5CD8">
          <w:rPr>
            <w:rStyle w:val="Hyperlink"/>
            <w:rFonts w:ascii="Montserrat Light" w:hAnsi="Montserrat Light"/>
            <w:b/>
            <w:bCs/>
            <w:sz w:val="22"/>
            <w:szCs w:val="22"/>
          </w:rPr>
          <w:t xml:space="preserve"> nr 48</w:t>
        </w:r>
      </w:hyperlink>
      <w:r w:rsidR="00DC6152" w:rsidRPr="00514E50">
        <w:rPr>
          <w:rFonts w:ascii="Montserrat Light" w:hAnsi="Montserrat Light"/>
          <w:sz w:val="22"/>
          <w:szCs w:val="22"/>
          <w:lang w:val="et-EE"/>
        </w:rPr>
        <w:t>.</w:t>
      </w:r>
    </w:p>
    <w:p w14:paraId="6E370247" w14:textId="77777777" w:rsidR="00514E50" w:rsidRPr="00514E50" w:rsidRDefault="00514E50" w:rsidP="00514E50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6F55104A" w14:textId="77777777" w:rsidR="00514E50" w:rsidRPr="00514E50" w:rsidRDefault="00514E50" w:rsidP="00514E50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algatati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514E50">
        <w:rPr>
          <w:rFonts w:ascii="Montserrat Light" w:hAnsi="Montserrat Light"/>
          <w:sz w:val="22"/>
          <w:szCs w:val="22"/>
        </w:rPr>
        <w:t>Linnavolikogu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09.12.2004 </w:t>
      </w:r>
      <w:proofErr w:type="spellStart"/>
      <w:r w:rsidRPr="00514E50">
        <w:rPr>
          <w:rFonts w:ascii="Montserrat Light" w:hAnsi="Montserrat Light"/>
          <w:sz w:val="22"/>
          <w:szCs w:val="22"/>
        </w:rPr>
        <w:t>otsusega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nr 154/46 Narva </w:t>
      </w:r>
      <w:proofErr w:type="spellStart"/>
      <w:r w:rsidRPr="00514E50">
        <w:rPr>
          <w:rFonts w:ascii="Montserrat Light" w:hAnsi="Montserrat Light"/>
          <w:sz w:val="22"/>
          <w:szCs w:val="22"/>
        </w:rPr>
        <w:t>Linnavalitsuse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Arhitektuuri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514E50">
        <w:rPr>
          <w:rFonts w:ascii="Montserrat Light" w:hAnsi="Montserrat Light"/>
          <w:sz w:val="22"/>
          <w:szCs w:val="22"/>
        </w:rPr>
        <w:t>Linnaplaneerimise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Ameti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514E50">
        <w:rPr>
          <w:rFonts w:ascii="Montserrat Light" w:hAnsi="Montserrat Light"/>
          <w:sz w:val="22"/>
          <w:szCs w:val="22"/>
        </w:rPr>
        <w:t>edaspidi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Amet) </w:t>
      </w:r>
      <w:proofErr w:type="spellStart"/>
      <w:r w:rsidRPr="00514E50">
        <w:rPr>
          <w:rFonts w:ascii="Montserrat Light" w:hAnsi="Montserrat Light"/>
          <w:sz w:val="22"/>
          <w:szCs w:val="22"/>
        </w:rPr>
        <w:t>ettepanekul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Narva </w:t>
      </w:r>
      <w:proofErr w:type="spellStart"/>
      <w:r w:rsidRPr="00514E50">
        <w:rPr>
          <w:rFonts w:ascii="Montserrat Light" w:hAnsi="Montserrat Light"/>
          <w:sz w:val="22"/>
          <w:szCs w:val="22"/>
        </w:rPr>
        <w:t>Linnavolikogu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28.09.2006 </w:t>
      </w:r>
      <w:proofErr w:type="spellStart"/>
      <w:r w:rsidRPr="00514E50">
        <w:rPr>
          <w:rFonts w:ascii="Montserrat Light" w:hAnsi="Montserrat Light"/>
          <w:sz w:val="22"/>
          <w:szCs w:val="22"/>
        </w:rPr>
        <w:t>otsusega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nr 156 ETP Grupp </w:t>
      </w:r>
      <w:proofErr w:type="spellStart"/>
      <w:r w:rsidRPr="00514E50">
        <w:rPr>
          <w:rFonts w:ascii="Montserrat Light" w:hAnsi="Montserrat Light"/>
          <w:sz w:val="22"/>
          <w:szCs w:val="22"/>
        </w:rPr>
        <w:t>poolt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koostatud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</w:t>
      </w:r>
      <w:proofErr w:type="spellEnd"/>
      <w:r w:rsidRPr="00514E50">
        <w:rPr>
          <w:rFonts w:ascii="Montserrat Light" w:hAnsi="Montserrat Light"/>
          <w:sz w:val="22"/>
          <w:szCs w:val="22"/>
        </w:rPr>
        <w:t>.</w:t>
      </w:r>
    </w:p>
    <w:p w14:paraId="2D5ED75A" w14:textId="77777777" w:rsidR="00514E50" w:rsidRPr="00514E50" w:rsidRDefault="00514E50" w:rsidP="00514E50">
      <w:pPr>
        <w:jc w:val="both"/>
        <w:rPr>
          <w:rFonts w:ascii="Montserrat Light" w:hAnsi="Montserrat Light"/>
          <w:sz w:val="22"/>
          <w:szCs w:val="22"/>
        </w:rPr>
      </w:pPr>
    </w:p>
    <w:p w14:paraId="188632BC" w14:textId="7E73F523" w:rsidR="00514E50" w:rsidRPr="00514E50" w:rsidRDefault="00514E50" w:rsidP="00514E50">
      <w:pPr>
        <w:jc w:val="both"/>
        <w:rPr>
          <w:rFonts w:ascii="Montserrat Light" w:hAnsi="Montserrat Light"/>
          <w:sz w:val="22"/>
          <w:szCs w:val="22"/>
        </w:rPr>
      </w:pP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koostamise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eesmärk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ehitusõiguse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määramine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Kalev-Fama </w:t>
      </w:r>
      <w:proofErr w:type="spellStart"/>
      <w:r w:rsidRPr="00514E50">
        <w:rPr>
          <w:rFonts w:ascii="Montserrat Light" w:hAnsi="Montserrat Light"/>
          <w:sz w:val="22"/>
          <w:szCs w:val="22"/>
        </w:rPr>
        <w:t>staadioni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töö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korraldamiseks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514E50">
        <w:rPr>
          <w:rFonts w:ascii="Montserrat Light" w:hAnsi="Montserrat Light"/>
          <w:sz w:val="22"/>
          <w:szCs w:val="22"/>
        </w:rPr>
        <w:t>tribüünide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abiruumide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rajamine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), </w:t>
      </w:r>
      <w:proofErr w:type="spellStart"/>
      <w:r w:rsidRPr="00514E50">
        <w:rPr>
          <w:rFonts w:ascii="Montserrat Light" w:hAnsi="Montserrat Light"/>
          <w:sz w:val="22"/>
          <w:szCs w:val="22"/>
        </w:rPr>
        <w:t>heakorrastuse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haljastuse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liikluskorralduse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(</w:t>
      </w:r>
      <w:proofErr w:type="spellStart"/>
      <w:r w:rsidRPr="00514E50">
        <w:rPr>
          <w:rFonts w:ascii="Montserrat Light" w:hAnsi="Montserrat Light"/>
          <w:sz w:val="22"/>
          <w:szCs w:val="22"/>
        </w:rPr>
        <w:t>juurdepääsude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514E50">
        <w:rPr>
          <w:rFonts w:ascii="Montserrat Light" w:hAnsi="Montserrat Light"/>
          <w:sz w:val="22"/>
          <w:szCs w:val="22"/>
        </w:rPr>
        <w:t>parkimise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) ja </w:t>
      </w:r>
      <w:proofErr w:type="spellStart"/>
      <w:r w:rsidRPr="00514E50">
        <w:rPr>
          <w:rFonts w:ascii="Montserrat Light" w:hAnsi="Montserrat Light"/>
          <w:sz w:val="22"/>
          <w:szCs w:val="22"/>
        </w:rPr>
        <w:t>jalakäijate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teede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lahendamine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tehnovõrkude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asukoha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määramise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ning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varustamise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lahendamine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514E50">
        <w:rPr>
          <w:rFonts w:ascii="Montserrat Light" w:hAnsi="Montserrat Light"/>
          <w:sz w:val="22"/>
          <w:szCs w:val="22"/>
        </w:rPr>
        <w:t>Planeeringuala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asub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Kalevi </w:t>
      </w:r>
      <w:proofErr w:type="spellStart"/>
      <w:r w:rsidRPr="00514E50">
        <w:rPr>
          <w:rFonts w:ascii="Montserrat Light" w:hAnsi="Montserrat Light"/>
          <w:sz w:val="22"/>
          <w:szCs w:val="22"/>
        </w:rPr>
        <w:t>linnaosas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514E50">
        <w:rPr>
          <w:rFonts w:ascii="Montserrat Light" w:hAnsi="Montserrat Light"/>
          <w:sz w:val="22"/>
          <w:szCs w:val="22"/>
        </w:rPr>
        <w:t>selle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pindala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ca 4,5 ha. </w:t>
      </w:r>
      <w:proofErr w:type="spellStart"/>
      <w:r w:rsidRPr="00514E50">
        <w:rPr>
          <w:rFonts w:ascii="Montserrat Light" w:hAnsi="Montserrat Light"/>
          <w:sz w:val="22"/>
          <w:szCs w:val="22"/>
        </w:rPr>
        <w:t>Planeering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sisaldanud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kehtiva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Narva </w:t>
      </w:r>
      <w:proofErr w:type="spellStart"/>
      <w:r w:rsidRPr="00514E50">
        <w:rPr>
          <w:rFonts w:ascii="Montserrat Light" w:hAnsi="Montserrat Light"/>
          <w:sz w:val="22"/>
          <w:szCs w:val="22"/>
        </w:rPr>
        <w:t>linna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üldplaneeringu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täpsustamise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ettepanekut</w:t>
      </w:r>
      <w:proofErr w:type="spellEnd"/>
      <w:r w:rsidRPr="00514E50">
        <w:rPr>
          <w:rFonts w:ascii="Montserrat Light" w:hAnsi="Montserrat Light"/>
          <w:sz w:val="22"/>
          <w:szCs w:val="22"/>
        </w:rPr>
        <w:t>.</w:t>
      </w:r>
    </w:p>
    <w:p w14:paraId="774C9D0F" w14:textId="77777777" w:rsidR="00337E8E" w:rsidRPr="00514E50" w:rsidRDefault="00337E8E" w:rsidP="00514E50">
      <w:pPr>
        <w:jc w:val="both"/>
        <w:rPr>
          <w:rFonts w:ascii="Montserrat Light" w:hAnsi="Montserrat Light"/>
          <w:sz w:val="22"/>
          <w:szCs w:val="22"/>
        </w:rPr>
      </w:pPr>
      <w:r w:rsidRPr="00514E50">
        <w:rPr>
          <w:rFonts w:ascii="Montserrat Light" w:hAnsi="Montserrat Light"/>
          <w:sz w:val="22"/>
          <w:szCs w:val="22"/>
        </w:rPr>
        <w:br/>
      </w:r>
      <w:proofErr w:type="spellStart"/>
      <w:r w:rsidRPr="00514E50">
        <w:rPr>
          <w:rFonts w:ascii="Montserrat Light" w:hAnsi="Montserrat Light"/>
          <w:sz w:val="22"/>
          <w:szCs w:val="22"/>
        </w:rPr>
        <w:t>Tänapäevaks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ole ETP Grupp </w:t>
      </w:r>
      <w:proofErr w:type="spellStart"/>
      <w:r w:rsidRPr="00514E50">
        <w:rPr>
          <w:rFonts w:ascii="Montserrat Light" w:hAnsi="Montserrat Light"/>
          <w:sz w:val="22"/>
          <w:szCs w:val="22"/>
        </w:rPr>
        <w:t>poolt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koostatud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lahendus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ellu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viidud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Pos 1, Pos 2 ja Pos 5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Pos-l 1 </w:t>
      </w:r>
      <w:proofErr w:type="spellStart"/>
      <w:r w:rsidRPr="00514E50">
        <w:rPr>
          <w:rFonts w:ascii="Montserrat Light" w:hAnsi="Montserrat Light"/>
          <w:sz w:val="22"/>
          <w:szCs w:val="22"/>
        </w:rPr>
        <w:t>asuv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Kalev-Fama </w:t>
      </w:r>
      <w:proofErr w:type="spellStart"/>
      <w:r w:rsidRPr="00514E50">
        <w:rPr>
          <w:rFonts w:ascii="Montserrat Light" w:hAnsi="Montserrat Light"/>
          <w:sz w:val="22"/>
          <w:szCs w:val="22"/>
        </w:rPr>
        <w:t>staadion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oli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välja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ehitatud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enne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kõnealuse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kehtestamist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514E50">
        <w:rPr>
          <w:rFonts w:ascii="Montserrat Light" w:hAnsi="Montserrat Light"/>
          <w:sz w:val="22"/>
          <w:szCs w:val="22"/>
        </w:rPr>
        <w:t>Käesoleval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ajal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ole </w:t>
      </w:r>
      <w:proofErr w:type="spellStart"/>
      <w:r w:rsidRPr="00514E50">
        <w:rPr>
          <w:rFonts w:ascii="Montserrat Light" w:hAnsi="Montserrat Light"/>
          <w:sz w:val="22"/>
          <w:szCs w:val="22"/>
        </w:rPr>
        <w:t>enam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võimalik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lahendust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realiseerida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Pos 1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kuna </w:t>
      </w:r>
      <w:proofErr w:type="spellStart"/>
      <w:r w:rsidRPr="00514E50">
        <w:rPr>
          <w:rFonts w:ascii="Montserrat Light" w:hAnsi="Montserrat Light"/>
          <w:sz w:val="22"/>
          <w:szCs w:val="22"/>
        </w:rPr>
        <w:t>pärast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kehtestamist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Kalev-Fama </w:t>
      </w:r>
      <w:proofErr w:type="spellStart"/>
      <w:r w:rsidRPr="00514E50">
        <w:rPr>
          <w:rFonts w:ascii="Montserrat Light" w:hAnsi="Montserrat Light"/>
          <w:sz w:val="22"/>
          <w:szCs w:val="22"/>
        </w:rPr>
        <w:t>staadioni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arendus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514E50">
        <w:rPr>
          <w:rFonts w:ascii="Montserrat Light" w:hAnsi="Montserrat Light"/>
          <w:sz w:val="22"/>
          <w:szCs w:val="22"/>
        </w:rPr>
        <w:t>arenguplaanid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seoses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staadioni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kasutuse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spetsiifika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selgumisega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muutunud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Pos-le 1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ehitusõiguse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määramiseks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tuleb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sõltuvalt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edaspidi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kavandatavast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koostada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kas </w:t>
      </w:r>
      <w:proofErr w:type="spellStart"/>
      <w:r w:rsidRPr="00514E50">
        <w:rPr>
          <w:rFonts w:ascii="Montserrat Light" w:hAnsi="Montserrat Light"/>
          <w:sz w:val="22"/>
          <w:szCs w:val="22"/>
        </w:rPr>
        <w:t>uus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või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väljastada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projekteerimistingimused</w:t>
      </w:r>
      <w:proofErr w:type="spellEnd"/>
      <w:r w:rsidRPr="00514E50">
        <w:rPr>
          <w:rFonts w:ascii="Montserrat Light" w:hAnsi="Montserrat Light"/>
          <w:sz w:val="22"/>
          <w:szCs w:val="22"/>
        </w:rPr>
        <w:t>.</w:t>
      </w:r>
    </w:p>
    <w:p w14:paraId="51323758" w14:textId="77777777" w:rsidR="00337E8E" w:rsidRPr="00514E50" w:rsidRDefault="00337E8E" w:rsidP="00514E50">
      <w:pPr>
        <w:jc w:val="both"/>
        <w:rPr>
          <w:rFonts w:ascii="Montserrat Light" w:hAnsi="Montserrat Light"/>
          <w:sz w:val="22"/>
          <w:szCs w:val="22"/>
        </w:rPr>
      </w:pPr>
      <w:r w:rsidRPr="00514E50">
        <w:rPr>
          <w:rFonts w:ascii="Montserrat Light" w:hAnsi="Montserrat Light"/>
          <w:sz w:val="22"/>
          <w:szCs w:val="22"/>
        </w:rPr>
        <w:br/>
        <w:t xml:space="preserve">03.10.2024 </w:t>
      </w:r>
      <w:proofErr w:type="spellStart"/>
      <w:r w:rsidRPr="00514E50">
        <w:rPr>
          <w:rFonts w:ascii="Montserrat Light" w:hAnsi="Montserrat Light"/>
          <w:sz w:val="22"/>
          <w:szCs w:val="22"/>
        </w:rPr>
        <w:t>kirjaga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nr 5.4-1/24/3878-2 </w:t>
      </w:r>
      <w:proofErr w:type="spellStart"/>
      <w:r w:rsidRPr="00514E50">
        <w:rPr>
          <w:rFonts w:ascii="Montserrat Light" w:hAnsi="Montserrat Light"/>
          <w:sz w:val="22"/>
          <w:szCs w:val="22"/>
        </w:rPr>
        <w:t>tegi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514E50">
        <w:rPr>
          <w:rFonts w:ascii="Montserrat Light" w:hAnsi="Montserrat Light"/>
          <w:sz w:val="22"/>
          <w:szCs w:val="22"/>
        </w:rPr>
        <w:t>Teadusministeerium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ettepaneku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tunnistada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kehtetuks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ka Pos 2 </w:t>
      </w:r>
      <w:proofErr w:type="spellStart"/>
      <w:r w:rsidRPr="00514E50">
        <w:rPr>
          <w:rFonts w:ascii="Montserrat Light" w:hAnsi="Montserrat Light"/>
          <w:sz w:val="22"/>
          <w:szCs w:val="22"/>
        </w:rPr>
        <w:lastRenderedPageBreak/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514E50">
        <w:rPr>
          <w:rFonts w:ascii="Montserrat Light" w:hAnsi="Montserrat Light"/>
          <w:sz w:val="22"/>
          <w:szCs w:val="22"/>
        </w:rPr>
        <w:t>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kehtetuks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tunnistamisega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Pos 2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kaob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krundil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ehitusõigus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millest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514E50">
        <w:rPr>
          <w:rFonts w:ascii="Montserrat Light" w:hAnsi="Montserrat Light"/>
          <w:sz w:val="22"/>
          <w:szCs w:val="22"/>
        </w:rPr>
        <w:t>maaomanik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teadlik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514E50">
        <w:rPr>
          <w:rFonts w:ascii="Montserrat Light" w:hAnsi="Montserrat Light"/>
          <w:sz w:val="22"/>
          <w:szCs w:val="22"/>
        </w:rPr>
        <w:t>sellega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nõus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A. </w:t>
      </w:r>
      <w:proofErr w:type="spellStart"/>
      <w:r w:rsidRPr="00514E50">
        <w:rPr>
          <w:rFonts w:ascii="Montserrat Light" w:hAnsi="Montserrat Light"/>
          <w:sz w:val="22"/>
          <w:szCs w:val="22"/>
        </w:rPr>
        <w:t>Puškini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33a </w:t>
      </w:r>
      <w:proofErr w:type="spellStart"/>
      <w:r w:rsidRPr="00514E50">
        <w:rPr>
          <w:rFonts w:ascii="Montserrat Light" w:hAnsi="Montserrat Light"/>
          <w:sz w:val="22"/>
          <w:szCs w:val="22"/>
        </w:rPr>
        <w:t>krundi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puhul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514E50">
        <w:rPr>
          <w:rFonts w:ascii="Montserrat Light" w:hAnsi="Montserrat Light"/>
          <w:sz w:val="22"/>
          <w:szCs w:val="22"/>
        </w:rPr>
        <w:t>tegemist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345 m² </w:t>
      </w:r>
      <w:proofErr w:type="spellStart"/>
      <w:r w:rsidRPr="00514E50">
        <w:rPr>
          <w:rFonts w:ascii="Montserrat Light" w:hAnsi="Montserrat Light"/>
          <w:sz w:val="22"/>
          <w:szCs w:val="22"/>
        </w:rPr>
        <w:t>hoonestamata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kvartalisisese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kinnistuga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millele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puudub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juurdepääs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avalikult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kasutatavalt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teelt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See on </w:t>
      </w:r>
      <w:proofErr w:type="spellStart"/>
      <w:r w:rsidRPr="00514E50">
        <w:rPr>
          <w:rFonts w:ascii="Montserrat Light" w:hAnsi="Montserrat Light"/>
          <w:sz w:val="22"/>
          <w:szCs w:val="22"/>
        </w:rPr>
        <w:t>ümbritsetud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munitsipaal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514E50">
        <w:rPr>
          <w:rFonts w:ascii="Montserrat Light" w:hAnsi="Montserrat Light"/>
          <w:sz w:val="22"/>
          <w:szCs w:val="22"/>
        </w:rPr>
        <w:t>riigiomandis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olevate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kruntidega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mille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sihtotstarbeks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514E50">
        <w:rPr>
          <w:rFonts w:ascii="Montserrat Light" w:hAnsi="Montserrat Light"/>
          <w:sz w:val="22"/>
          <w:szCs w:val="22"/>
        </w:rPr>
        <w:t>ühiskondlike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ehitiste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maa.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kehtetuks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tunnistamine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Pos 2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mõjuta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terviklahenduse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elluviimist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ülejäänud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positsioonide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ning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avalda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negatiivset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mõju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kõrvalkinnistutele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514E50">
        <w:rPr>
          <w:rFonts w:ascii="Montserrat Light" w:hAnsi="Montserrat Light"/>
          <w:sz w:val="22"/>
          <w:szCs w:val="22"/>
        </w:rPr>
        <w:t>Juhul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kui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maaomanik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tulevikus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soovib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saada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A. </w:t>
      </w:r>
      <w:proofErr w:type="spellStart"/>
      <w:r w:rsidRPr="00514E50">
        <w:rPr>
          <w:rFonts w:ascii="Montserrat Light" w:hAnsi="Montserrat Light"/>
          <w:sz w:val="22"/>
          <w:szCs w:val="22"/>
        </w:rPr>
        <w:t>Puškini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33a </w:t>
      </w:r>
      <w:proofErr w:type="spellStart"/>
      <w:r w:rsidRPr="00514E50">
        <w:rPr>
          <w:rFonts w:ascii="Montserrat Light" w:hAnsi="Montserrat Light"/>
          <w:sz w:val="22"/>
          <w:szCs w:val="22"/>
        </w:rPr>
        <w:t>krundile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ehitusõigust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peab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ta </w:t>
      </w:r>
      <w:proofErr w:type="spellStart"/>
      <w:r w:rsidRPr="00514E50">
        <w:rPr>
          <w:rFonts w:ascii="Montserrat Light" w:hAnsi="Montserrat Light"/>
          <w:sz w:val="22"/>
          <w:szCs w:val="22"/>
        </w:rPr>
        <w:t>lähtuma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planeerimisseaduses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ja </w:t>
      </w:r>
      <w:proofErr w:type="spellStart"/>
      <w:r w:rsidRPr="00514E50">
        <w:rPr>
          <w:rFonts w:ascii="Montserrat Light" w:hAnsi="Montserrat Light"/>
          <w:sz w:val="22"/>
          <w:szCs w:val="22"/>
        </w:rPr>
        <w:t>ehitusseadustikus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määratud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asjaoludest</w:t>
      </w:r>
      <w:proofErr w:type="spellEnd"/>
      <w:r w:rsidRPr="00514E50">
        <w:rPr>
          <w:rFonts w:ascii="Montserrat Light" w:hAnsi="Montserrat Light"/>
          <w:sz w:val="22"/>
          <w:szCs w:val="22"/>
        </w:rPr>
        <w:t>.</w:t>
      </w:r>
    </w:p>
    <w:p w14:paraId="53AD1A9A" w14:textId="0E81FE38" w:rsidR="00CE003E" w:rsidRPr="00514E50" w:rsidRDefault="00337E8E" w:rsidP="00514E50">
      <w:pPr>
        <w:jc w:val="both"/>
        <w:rPr>
          <w:rFonts w:ascii="Montserrat Light" w:hAnsi="Montserrat Light"/>
          <w:sz w:val="22"/>
          <w:szCs w:val="22"/>
        </w:rPr>
      </w:pPr>
      <w:r w:rsidRPr="00514E50">
        <w:rPr>
          <w:rFonts w:ascii="Montserrat Light" w:hAnsi="Montserrat Light"/>
          <w:sz w:val="22"/>
          <w:szCs w:val="22"/>
        </w:rPr>
        <w:br/>
        <w:t xml:space="preserve">Kuna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514E50">
        <w:rPr>
          <w:rFonts w:ascii="Montserrat Light" w:hAnsi="Montserrat Light"/>
          <w:sz w:val="22"/>
          <w:szCs w:val="22"/>
        </w:rPr>
        <w:t>osaliselt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realiseeritud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ole </w:t>
      </w:r>
      <w:proofErr w:type="spellStart"/>
      <w:r w:rsidRPr="00514E50">
        <w:rPr>
          <w:rFonts w:ascii="Montserrat Light" w:hAnsi="Montserrat Light"/>
          <w:sz w:val="22"/>
          <w:szCs w:val="22"/>
        </w:rPr>
        <w:t>võimalik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ega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vajalik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tunnistada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kehtetuks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terviklikult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osaline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kehtetuks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tunnistamine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Pos 1 ja Pos 2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ei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takista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planeeringu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terviklahenduse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elluviimist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ülejäänud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positsioonide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. </w:t>
      </w:r>
      <w:proofErr w:type="spellStart"/>
      <w:r w:rsidRPr="00514E50">
        <w:rPr>
          <w:rFonts w:ascii="Montserrat Light" w:hAnsi="Montserrat Light"/>
          <w:sz w:val="22"/>
          <w:szCs w:val="22"/>
        </w:rPr>
        <w:t>Hariduse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tn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22 </w:t>
      </w:r>
      <w:proofErr w:type="spellStart"/>
      <w:r w:rsidRPr="00514E50">
        <w:rPr>
          <w:rFonts w:ascii="Montserrat Light" w:hAnsi="Montserrat Light"/>
          <w:sz w:val="22"/>
          <w:szCs w:val="22"/>
        </w:rPr>
        <w:t>detailplaneering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jääb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endiselt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514E50">
        <w:rPr>
          <w:rFonts w:ascii="Montserrat Light" w:hAnsi="Montserrat Light"/>
          <w:sz w:val="22"/>
          <w:szCs w:val="22"/>
        </w:rPr>
        <w:t>kehtima</w:t>
      </w:r>
      <w:proofErr w:type="spellEnd"/>
      <w:r w:rsidRPr="00514E50">
        <w:rPr>
          <w:rFonts w:ascii="Montserrat Light" w:hAnsi="Montserrat Light"/>
          <w:sz w:val="22"/>
          <w:szCs w:val="22"/>
        </w:rPr>
        <w:t xml:space="preserve"> Pos 3-5 </w:t>
      </w:r>
      <w:proofErr w:type="spellStart"/>
      <w:r w:rsidRPr="00514E50">
        <w:rPr>
          <w:rFonts w:ascii="Montserrat Light" w:hAnsi="Montserrat Light"/>
          <w:sz w:val="22"/>
          <w:szCs w:val="22"/>
        </w:rPr>
        <w:t>osas</w:t>
      </w:r>
      <w:proofErr w:type="spellEnd"/>
      <w:r w:rsidRPr="00514E50">
        <w:rPr>
          <w:rFonts w:ascii="Montserrat Light" w:hAnsi="Montserrat Light"/>
          <w:sz w:val="22"/>
          <w:szCs w:val="22"/>
        </w:rPr>
        <w:t>.</w:t>
      </w:r>
    </w:p>
    <w:bookmarkEnd w:id="0"/>
    <w:p w14:paraId="4BD26678" w14:textId="77777777" w:rsidR="00766D2C" w:rsidRPr="002710AB" w:rsidRDefault="00766D2C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0574B372" w14:textId="77777777" w:rsidR="007F4452" w:rsidRDefault="007F4452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6E378E5" w14:textId="77777777" w:rsidR="00514E50" w:rsidRPr="002710AB" w:rsidRDefault="00514E50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2710AB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2710AB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39C4C402" w14:textId="77777777" w:rsidR="00C06871" w:rsidRDefault="00C0687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06CE7756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60DFDA81" w14:textId="77777777" w:rsidR="00C06871" w:rsidRDefault="00C0687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0882E791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012FB87B" w14:textId="77777777" w:rsidR="00262E9F" w:rsidRPr="00262E9F" w:rsidRDefault="00DC7B98" w:rsidP="00262E9F">
      <w:pPr>
        <w:pStyle w:val="A0"/>
        <w:jc w:val="both"/>
        <w:rPr>
          <w:rFonts w:ascii="Montserrat Light" w:hAnsi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262E9F" w:rsidRPr="00262E9F">
        <w:rPr>
          <w:rFonts w:ascii="Montserrat Light" w:hAnsi="Montserrat Light"/>
          <w:sz w:val="22"/>
          <w:szCs w:val="22"/>
        </w:rPr>
        <w:t>Peeter Tambu</w:t>
      </w:r>
    </w:p>
    <w:p w14:paraId="1EC4E987" w14:textId="77777777" w:rsidR="00262E9F" w:rsidRPr="00514E50" w:rsidRDefault="00262E9F" w:rsidP="00262E9F">
      <w:pPr>
        <w:pStyle w:val="A0"/>
        <w:jc w:val="both"/>
        <w:rPr>
          <w:rFonts w:ascii="Montserrat Light" w:hAnsi="Montserrat Light"/>
          <w:sz w:val="18"/>
          <w:szCs w:val="18"/>
        </w:rPr>
      </w:pPr>
      <w:r w:rsidRPr="00514E50">
        <w:rPr>
          <w:rFonts w:ascii="Montserrat Light" w:hAnsi="Montserrat Light"/>
          <w:sz w:val="18"/>
          <w:szCs w:val="18"/>
        </w:rPr>
        <w:t>peaarhitekt (direktori asetäitja)</w:t>
      </w:r>
    </w:p>
    <w:p w14:paraId="33AC4164" w14:textId="033FA548" w:rsidR="00CE003E" w:rsidRPr="00E17306" w:rsidRDefault="00CE003E" w:rsidP="00262E9F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20FA50FD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F13C" w14:textId="77777777" w:rsidR="002E71E4" w:rsidRDefault="002E71E4">
      <w:r>
        <w:separator/>
      </w:r>
    </w:p>
  </w:endnote>
  <w:endnote w:type="continuationSeparator" w:id="0">
    <w:p w14:paraId="1CAB887D" w14:textId="77777777" w:rsidR="002E71E4" w:rsidRDefault="002E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7232" w14:textId="77777777" w:rsidR="002E71E4" w:rsidRDefault="002E71E4">
      <w:r>
        <w:separator/>
      </w:r>
    </w:p>
  </w:footnote>
  <w:footnote w:type="continuationSeparator" w:id="0">
    <w:p w14:paraId="7376AD01" w14:textId="77777777" w:rsidR="002E71E4" w:rsidRDefault="002E7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9874E32" w14:textId="77777777" w:rsidR="002710AB" w:rsidRDefault="002710AB">
    <w:pPr>
      <w:pStyle w:val="Header"/>
      <w:tabs>
        <w:tab w:val="clear" w:pos="8306"/>
        <w:tab w:val="right" w:pos="8221"/>
      </w:tabs>
      <w:jc w:val="right"/>
    </w:pPr>
  </w:p>
  <w:p w14:paraId="6CA2FC5F" w14:textId="77777777" w:rsidR="002710AB" w:rsidRDefault="002710AB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578F5"/>
    <w:rsid w:val="00063FA8"/>
    <w:rsid w:val="000D1241"/>
    <w:rsid w:val="000E641A"/>
    <w:rsid w:val="000E6C6C"/>
    <w:rsid w:val="001842B4"/>
    <w:rsid w:val="001A04A6"/>
    <w:rsid w:val="00262E9F"/>
    <w:rsid w:val="002710AB"/>
    <w:rsid w:val="002E2EF1"/>
    <w:rsid w:val="002E71E4"/>
    <w:rsid w:val="003022F0"/>
    <w:rsid w:val="00333C7D"/>
    <w:rsid w:val="00337E8E"/>
    <w:rsid w:val="00342362"/>
    <w:rsid w:val="00350EA2"/>
    <w:rsid w:val="0035565A"/>
    <w:rsid w:val="00385574"/>
    <w:rsid w:val="003D43A7"/>
    <w:rsid w:val="004B6A06"/>
    <w:rsid w:val="004C3D6B"/>
    <w:rsid w:val="004D3CF5"/>
    <w:rsid w:val="004E16E3"/>
    <w:rsid w:val="00514E50"/>
    <w:rsid w:val="0057020B"/>
    <w:rsid w:val="00574B09"/>
    <w:rsid w:val="00697CA8"/>
    <w:rsid w:val="006D10E8"/>
    <w:rsid w:val="006D730F"/>
    <w:rsid w:val="00710B22"/>
    <w:rsid w:val="007329A9"/>
    <w:rsid w:val="00765E1E"/>
    <w:rsid w:val="00766D2C"/>
    <w:rsid w:val="00777642"/>
    <w:rsid w:val="007F1BE7"/>
    <w:rsid w:val="007F4452"/>
    <w:rsid w:val="00850F55"/>
    <w:rsid w:val="00867F78"/>
    <w:rsid w:val="00882958"/>
    <w:rsid w:val="009A0439"/>
    <w:rsid w:val="009B4416"/>
    <w:rsid w:val="00A7683E"/>
    <w:rsid w:val="00A85472"/>
    <w:rsid w:val="00AA3B3A"/>
    <w:rsid w:val="00BA3C9F"/>
    <w:rsid w:val="00BB2529"/>
    <w:rsid w:val="00BD1487"/>
    <w:rsid w:val="00BE64E7"/>
    <w:rsid w:val="00BF1765"/>
    <w:rsid w:val="00BF71C6"/>
    <w:rsid w:val="00C0045F"/>
    <w:rsid w:val="00C06871"/>
    <w:rsid w:val="00C204A1"/>
    <w:rsid w:val="00C915A0"/>
    <w:rsid w:val="00CE003E"/>
    <w:rsid w:val="00D70566"/>
    <w:rsid w:val="00DC6152"/>
    <w:rsid w:val="00DC7B98"/>
    <w:rsid w:val="00DE69DB"/>
    <w:rsid w:val="00E16F4A"/>
    <w:rsid w:val="00E17306"/>
    <w:rsid w:val="00E25AB2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  <w:style w:type="paragraph" w:customStyle="1" w:styleId="B">
    <w:name w:val="Основной текст B"/>
    <w:rsid w:val="00514E50"/>
    <w:rPr>
      <w:rFonts w:cs="Arial Unicode MS"/>
      <w:color w:val="000000"/>
      <w:sz w:val="24"/>
      <w:szCs w:val="24"/>
      <w:u w:color="000000"/>
      <w:lang w:val="nl-NL" w:eastAsia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hs.narva.ee/?page=pub_view_dynobj&amp;pid=2111552&amp;tid=61960&amp;u=20241204142353&amp;desktop=57835&amp;r_url=%2F%3Fpage%3Dpub_list_dynobj%26pid%3D%26tid%3D61960%26u%3D20241204142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19</cp:revision>
  <cp:lastPrinted>2023-11-13T12:01:00Z</cp:lastPrinted>
  <dcterms:created xsi:type="dcterms:W3CDTF">2024-03-05T09:13:00Z</dcterms:created>
  <dcterms:modified xsi:type="dcterms:W3CDTF">2024-12-05T08:38:00Z</dcterms:modified>
</cp:coreProperties>
</file>