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Layout w:type="fixed"/>
        <w:tblCellMar>
          <w:left w:w="0" w:type="dxa"/>
          <w:right w:w="0" w:type="dxa"/>
        </w:tblCellMar>
        <w:tblLook w:val="0000" w:firstRow="0" w:lastRow="0" w:firstColumn="0" w:lastColumn="0" w:noHBand="0" w:noVBand="0"/>
      </w:tblPr>
      <w:tblGrid>
        <w:gridCol w:w="2381"/>
        <w:gridCol w:w="7087"/>
      </w:tblGrid>
      <w:tr w:rsidR="00825730" w:rsidRPr="00767AB1" w14:paraId="7BFF2C03" w14:textId="77777777" w:rsidTr="00B74644">
        <w:trPr>
          <w:trHeight w:val="1440"/>
        </w:trPr>
        <w:tc>
          <w:tcPr>
            <w:tcW w:w="2381" w:type="dxa"/>
            <w:tcBorders>
              <w:top w:val="nil"/>
              <w:left w:val="nil"/>
              <w:bottom w:val="nil"/>
              <w:right w:val="nil"/>
            </w:tcBorders>
          </w:tcPr>
          <w:p w14:paraId="22718468" w14:textId="77777777" w:rsidR="00825730" w:rsidRPr="00825730" w:rsidRDefault="00F35811" w:rsidP="00825730">
            <w:pPr>
              <w:widowControl w:val="0"/>
              <w:autoSpaceDE w:val="0"/>
              <w:autoSpaceDN w:val="0"/>
              <w:spacing w:after="0" w:line="240" w:lineRule="auto"/>
              <w:ind w:right="85"/>
              <w:jc w:val="both"/>
              <w:rPr>
                <w:rFonts w:ascii="Arial" w:hAnsi="Arial" w:cs="Arial"/>
                <w:sz w:val="24"/>
                <w:szCs w:val="24"/>
              </w:rPr>
            </w:pPr>
            <w:r>
              <w:rPr>
                <w:rFonts w:ascii="Arial" w:hAnsi="Arial" w:cs="Arial"/>
                <w:sz w:val="20"/>
                <w:szCs w:val="20"/>
              </w:rPr>
              <w:pict w14:anchorId="1E166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7pt;height:51.95pt" fillcolor="window">
                  <v:imagedata r:id="rId11" o:title="logo_ec_17_colors_300dpi"/>
                </v:shape>
              </w:pict>
            </w:r>
          </w:p>
        </w:tc>
        <w:tc>
          <w:tcPr>
            <w:tcW w:w="7087" w:type="dxa"/>
            <w:tcBorders>
              <w:top w:val="nil"/>
              <w:left w:val="nil"/>
              <w:bottom w:val="nil"/>
              <w:right w:val="nil"/>
            </w:tcBorders>
          </w:tcPr>
          <w:p w14:paraId="5FCC6430" w14:textId="77777777" w:rsidR="00825730" w:rsidRPr="00825730" w:rsidRDefault="00825730" w:rsidP="00825730">
            <w:pPr>
              <w:widowControl w:val="0"/>
              <w:autoSpaceDE w:val="0"/>
              <w:autoSpaceDN w:val="0"/>
              <w:spacing w:before="90" w:after="0" w:line="240" w:lineRule="auto"/>
              <w:ind w:right="85"/>
              <w:jc w:val="both"/>
              <w:rPr>
                <w:rFonts w:ascii="Arial" w:hAnsi="Arial" w:cs="Arial"/>
                <w:sz w:val="24"/>
                <w:szCs w:val="24"/>
              </w:rPr>
            </w:pPr>
            <w:r>
              <w:rPr>
                <w:rFonts w:ascii="Arial" w:hAnsi="Arial"/>
                <w:sz w:val="24"/>
              </w:rPr>
              <w:t>EUROPEAN COMMISSION</w:t>
            </w:r>
          </w:p>
          <w:p w14:paraId="3F2C7887" w14:textId="77777777" w:rsidR="00825730" w:rsidRPr="00825730" w:rsidRDefault="00825730" w:rsidP="00825730">
            <w:pPr>
              <w:widowControl w:val="0"/>
              <w:autoSpaceDE w:val="0"/>
              <w:autoSpaceDN w:val="0"/>
              <w:spacing w:after="0" w:line="240" w:lineRule="auto"/>
              <w:ind w:right="85"/>
              <w:rPr>
                <w:rFonts w:ascii="Arial" w:hAnsi="Arial" w:cs="Arial"/>
                <w:sz w:val="16"/>
                <w:szCs w:val="16"/>
              </w:rPr>
            </w:pPr>
            <w:r>
              <w:rPr>
                <w:rFonts w:ascii="Arial" w:hAnsi="Arial"/>
                <w:sz w:val="16"/>
              </w:rPr>
              <w:t>DIRECTORATE-GENERAL FOR EDUCATION</w:t>
            </w:r>
            <w:r w:rsidR="00502372">
              <w:rPr>
                <w:rFonts w:ascii="Arial" w:hAnsi="Arial"/>
                <w:sz w:val="16"/>
              </w:rPr>
              <w:t xml:space="preserve">, </w:t>
            </w:r>
            <w:r w:rsidR="00502372" w:rsidRPr="00502372">
              <w:rPr>
                <w:rFonts w:ascii="Arial" w:hAnsi="Arial"/>
                <w:sz w:val="16"/>
              </w:rPr>
              <w:t>YOUTH, SPORT</w:t>
            </w:r>
            <w:r>
              <w:rPr>
                <w:rFonts w:ascii="Arial" w:hAnsi="Arial"/>
                <w:sz w:val="16"/>
              </w:rPr>
              <w:t xml:space="preserve"> AND CULTURE</w:t>
            </w:r>
          </w:p>
          <w:p w14:paraId="2818ACE2" w14:textId="77777777" w:rsidR="00825730" w:rsidRPr="00825730" w:rsidRDefault="00825730" w:rsidP="00825730">
            <w:pPr>
              <w:widowControl w:val="0"/>
              <w:autoSpaceDE w:val="0"/>
              <w:autoSpaceDN w:val="0"/>
              <w:spacing w:after="0" w:line="240" w:lineRule="auto"/>
              <w:ind w:right="85"/>
              <w:rPr>
                <w:rFonts w:ascii="Arial" w:hAnsi="Arial" w:cs="Arial"/>
                <w:sz w:val="16"/>
                <w:szCs w:val="16"/>
              </w:rPr>
            </w:pPr>
            <w:r>
              <w:rPr>
                <w:rFonts w:ascii="Arial" w:hAnsi="Arial"/>
                <w:sz w:val="16"/>
              </w:rPr>
              <w:t>Directorate R - Resources</w:t>
            </w:r>
          </w:p>
          <w:p w14:paraId="55AD2BC6" w14:textId="77777777" w:rsidR="00825730" w:rsidRPr="00825730" w:rsidRDefault="00825730" w:rsidP="00825730">
            <w:pPr>
              <w:widowControl w:val="0"/>
              <w:autoSpaceDE w:val="0"/>
              <w:autoSpaceDN w:val="0"/>
              <w:spacing w:after="0" w:line="240" w:lineRule="auto"/>
              <w:ind w:right="85"/>
              <w:rPr>
                <w:rFonts w:ascii="Arial" w:hAnsi="Arial" w:cs="Arial"/>
                <w:b/>
                <w:bCs/>
                <w:sz w:val="16"/>
                <w:szCs w:val="16"/>
              </w:rPr>
            </w:pPr>
          </w:p>
          <w:p w14:paraId="6F752451" w14:textId="77777777" w:rsidR="00825730" w:rsidRPr="00825730" w:rsidRDefault="00825730" w:rsidP="00825730">
            <w:pPr>
              <w:widowControl w:val="0"/>
              <w:autoSpaceDE w:val="0"/>
              <w:autoSpaceDN w:val="0"/>
              <w:spacing w:after="0" w:line="240" w:lineRule="auto"/>
              <w:ind w:right="85"/>
              <w:rPr>
                <w:rFonts w:ascii="Arial" w:hAnsi="Arial" w:cs="Arial"/>
                <w:b/>
                <w:sz w:val="16"/>
                <w:szCs w:val="16"/>
              </w:rPr>
            </w:pPr>
            <w:r>
              <w:rPr>
                <w:rFonts w:ascii="Arial" w:hAnsi="Arial"/>
                <w:b/>
                <w:sz w:val="16"/>
              </w:rPr>
              <w:t>Unit R3 – Accounting and finance</w:t>
            </w:r>
          </w:p>
        </w:tc>
      </w:tr>
    </w:tbl>
    <w:p w14:paraId="07486136" w14:textId="77777777" w:rsidR="00D03076" w:rsidRPr="00622B53" w:rsidRDefault="00BD13CB" w:rsidP="00825730">
      <w:pPr>
        <w:pStyle w:val="NoteHead"/>
        <w:spacing w:before="480"/>
        <w:rPr>
          <w:szCs w:val="24"/>
          <w:u w:val="single"/>
        </w:rPr>
      </w:pPr>
      <w:r>
        <w:rPr>
          <w:u w:val="single"/>
        </w:rPr>
        <w:t xml:space="preserve">Methodology for assessing the financial capacity </w:t>
      </w:r>
      <w:r>
        <w:rPr>
          <w:szCs w:val="24"/>
          <w:u w:val="single"/>
        </w:rPr>
        <w:br/>
      </w:r>
      <w:r>
        <w:rPr>
          <w:u w:val="single"/>
        </w:rPr>
        <w:t>of the beneficiaries of grants</w:t>
      </w:r>
    </w:p>
    <w:p w14:paraId="7EC5FA4D" w14:textId="77777777" w:rsidR="0020281A" w:rsidRDefault="009707C9" w:rsidP="000111B9">
      <w:pPr>
        <w:jc w:val="both"/>
        <w:rPr>
          <w:rFonts w:ascii="Times New Roman" w:hAnsi="Times New Roman"/>
          <w:sz w:val="24"/>
          <w:szCs w:val="24"/>
        </w:rPr>
      </w:pPr>
      <w:r>
        <w:rPr>
          <w:rFonts w:ascii="Times New Roman" w:hAnsi="Times New Roman"/>
          <w:sz w:val="24"/>
        </w:rPr>
        <w:t>One of the tasks of the Directorate-General for Education</w:t>
      </w:r>
      <w:r w:rsidR="00502372">
        <w:rPr>
          <w:rFonts w:ascii="Times New Roman" w:hAnsi="Times New Roman"/>
          <w:sz w:val="24"/>
        </w:rPr>
        <w:t>, Youth, Sport</w:t>
      </w:r>
      <w:r>
        <w:rPr>
          <w:rFonts w:ascii="Times New Roman" w:hAnsi="Times New Roman"/>
          <w:sz w:val="24"/>
        </w:rPr>
        <w:t xml:space="preserve"> and Culture (DG EAC) is to provide a direct financial contribution, in the form of grants, to projects or organisations which support the interests of the European </w:t>
      </w:r>
      <w:proofErr w:type="gramStart"/>
      <w:r>
        <w:rPr>
          <w:rFonts w:ascii="Times New Roman" w:hAnsi="Times New Roman"/>
          <w:sz w:val="24"/>
        </w:rPr>
        <w:t>Union</w:t>
      </w:r>
      <w:proofErr w:type="gramEnd"/>
      <w:r>
        <w:rPr>
          <w:rFonts w:ascii="Times New Roman" w:hAnsi="Times New Roman"/>
          <w:sz w:val="24"/>
        </w:rPr>
        <w:t xml:space="preserve"> or which participate in the implementation of an EU programme or policy in the field of culture</w:t>
      </w:r>
      <w:r w:rsidR="00502372">
        <w:rPr>
          <w:rFonts w:ascii="Times New Roman" w:hAnsi="Times New Roman"/>
          <w:sz w:val="24"/>
        </w:rPr>
        <w:t>, youth, sport</w:t>
      </w:r>
      <w:r>
        <w:rPr>
          <w:rFonts w:ascii="Times New Roman" w:hAnsi="Times New Roman"/>
          <w:sz w:val="24"/>
        </w:rPr>
        <w:t xml:space="preserve"> and education. In general, the parties interested in receiving grants reply to public calls for proposals.</w:t>
      </w:r>
    </w:p>
    <w:p w14:paraId="0C206A31" w14:textId="77777777" w:rsidR="00B7278E" w:rsidRDefault="00B7278E" w:rsidP="00B7278E">
      <w:pPr>
        <w:jc w:val="both"/>
        <w:rPr>
          <w:rFonts w:ascii="Times New Roman" w:hAnsi="Times New Roman"/>
          <w:sz w:val="24"/>
          <w:szCs w:val="24"/>
        </w:rPr>
      </w:pPr>
      <w:r>
        <w:rPr>
          <w:rFonts w:ascii="Times New Roman" w:hAnsi="Times New Roman"/>
          <w:sz w:val="24"/>
        </w:rPr>
        <w:t xml:space="preserve">The grant applications submitted by the interested parties are subject among other things to an assessment </w:t>
      </w:r>
      <w:r w:rsidR="00502372">
        <w:rPr>
          <w:rFonts w:ascii="Times New Roman" w:hAnsi="Times New Roman"/>
          <w:sz w:val="24"/>
        </w:rPr>
        <w:t>based on</w:t>
      </w:r>
      <w:r>
        <w:rPr>
          <w:rFonts w:ascii="Times New Roman" w:hAnsi="Times New Roman"/>
          <w:sz w:val="24"/>
        </w:rPr>
        <w:t xml:space="preserve"> the selection criteria, including verification of the applicants' financial capacity. </w:t>
      </w:r>
    </w:p>
    <w:p w14:paraId="529683FC" w14:textId="4CA95CA9" w:rsidR="00A30C1D" w:rsidRDefault="00B7278E" w:rsidP="00B7278E">
      <w:pPr>
        <w:jc w:val="both"/>
        <w:rPr>
          <w:rFonts w:ascii="Times New Roman" w:hAnsi="Times New Roman"/>
          <w:sz w:val="24"/>
          <w:szCs w:val="24"/>
        </w:rPr>
      </w:pPr>
      <w:proofErr w:type="gramStart"/>
      <w:r>
        <w:rPr>
          <w:rFonts w:ascii="Times New Roman" w:hAnsi="Times New Roman"/>
          <w:sz w:val="24"/>
        </w:rPr>
        <w:t>In order to</w:t>
      </w:r>
      <w:proofErr w:type="gramEnd"/>
      <w:r>
        <w:rPr>
          <w:rFonts w:ascii="Times New Roman" w:hAnsi="Times New Roman"/>
          <w:sz w:val="24"/>
        </w:rPr>
        <w:t xml:space="preserve"> ensure the assessment of financial capacity, DG EAC has set up a methodology in line with </w:t>
      </w:r>
      <w:r w:rsidRPr="00922F06">
        <w:rPr>
          <w:rFonts w:ascii="Times New Roman" w:hAnsi="Times New Roman"/>
          <w:sz w:val="24"/>
        </w:rPr>
        <w:t xml:space="preserve">Articles </w:t>
      </w:r>
      <w:r w:rsidR="00F21658">
        <w:rPr>
          <w:rFonts w:ascii="Times New Roman" w:hAnsi="Times New Roman"/>
          <w:sz w:val="24"/>
        </w:rPr>
        <w:t>197</w:t>
      </w:r>
      <w:r w:rsidR="00922F06" w:rsidRPr="004E70B9">
        <w:rPr>
          <w:rFonts w:ascii="Times New Roman" w:hAnsi="Times New Roman"/>
          <w:sz w:val="24"/>
        </w:rPr>
        <w:t xml:space="preserve">(1)(b), </w:t>
      </w:r>
      <w:r w:rsidR="00F21658">
        <w:rPr>
          <w:rFonts w:ascii="Times New Roman" w:hAnsi="Times New Roman"/>
          <w:sz w:val="24"/>
        </w:rPr>
        <w:t>199</w:t>
      </w:r>
      <w:r w:rsidR="00F21658" w:rsidRPr="00922F06">
        <w:rPr>
          <w:rFonts w:ascii="Times New Roman" w:hAnsi="Times New Roman"/>
          <w:sz w:val="24"/>
        </w:rPr>
        <w:t xml:space="preserve"> </w:t>
      </w:r>
      <w:r w:rsidRPr="00922F06">
        <w:rPr>
          <w:rFonts w:ascii="Times New Roman" w:hAnsi="Times New Roman"/>
          <w:sz w:val="24"/>
        </w:rPr>
        <w:t xml:space="preserve">and </w:t>
      </w:r>
      <w:r w:rsidR="00F21658">
        <w:rPr>
          <w:rFonts w:ascii="Times New Roman" w:hAnsi="Times New Roman"/>
          <w:sz w:val="24"/>
        </w:rPr>
        <w:t>201</w:t>
      </w:r>
      <w:r w:rsidR="00F21658" w:rsidRPr="00F1104D">
        <w:rPr>
          <w:rFonts w:ascii="Times New Roman" w:hAnsi="Times New Roman"/>
          <w:sz w:val="24"/>
        </w:rPr>
        <w:t xml:space="preserve"> </w:t>
      </w:r>
      <w:r w:rsidRPr="00F1104D">
        <w:rPr>
          <w:rFonts w:ascii="Times New Roman" w:hAnsi="Times New Roman"/>
          <w:sz w:val="24"/>
        </w:rPr>
        <w:t>of the Financial Regulation (FR</w:t>
      </w:r>
      <w:r w:rsidR="00D01C27" w:rsidRPr="004E70B9">
        <w:rPr>
          <w:rStyle w:val="FootnoteReference"/>
          <w:rFonts w:ascii="Times New Roman" w:hAnsi="Times New Roman"/>
          <w:sz w:val="24"/>
        </w:rPr>
        <w:footnoteReference w:id="1"/>
      </w:r>
      <w:r w:rsidRPr="00922F06">
        <w:rPr>
          <w:rFonts w:ascii="Times New Roman" w:hAnsi="Times New Roman"/>
          <w:sz w:val="24"/>
        </w:rPr>
        <w:t>)</w:t>
      </w:r>
      <w:r w:rsidRPr="00F1104D">
        <w:rPr>
          <w:rFonts w:ascii="Times New Roman" w:hAnsi="Times New Roman"/>
          <w:sz w:val="24"/>
        </w:rPr>
        <w:t>.</w:t>
      </w:r>
    </w:p>
    <w:p w14:paraId="3E0B9CEB" w14:textId="2AB4717F" w:rsidR="000111B9" w:rsidRPr="00CA698D" w:rsidRDefault="009905BB" w:rsidP="000111B9">
      <w:pPr>
        <w:jc w:val="both"/>
        <w:rPr>
          <w:rFonts w:ascii="Times New Roman" w:hAnsi="Times New Roman"/>
          <w:sz w:val="24"/>
          <w:szCs w:val="24"/>
        </w:rPr>
      </w:pPr>
      <w:r>
        <w:rPr>
          <w:rFonts w:ascii="Times New Roman" w:hAnsi="Times New Roman"/>
          <w:sz w:val="24"/>
        </w:rPr>
        <w:t xml:space="preserve">This methodology describes the scope, the documents requested </w:t>
      </w:r>
      <w:r w:rsidR="00F27EA4">
        <w:rPr>
          <w:rFonts w:ascii="Times New Roman" w:hAnsi="Times New Roman"/>
          <w:sz w:val="24"/>
        </w:rPr>
        <w:t xml:space="preserve">from </w:t>
      </w:r>
      <w:r>
        <w:rPr>
          <w:rFonts w:ascii="Times New Roman" w:hAnsi="Times New Roman"/>
          <w:sz w:val="24"/>
        </w:rPr>
        <w:t xml:space="preserve">the beneficiaries and, where an actual analysis is performed, the financial ratios </w:t>
      </w:r>
      <w:proofErr w:type="gramStart"/>
      <w:r>
        <w:rPr>
          <w:rFonts w:ascii="Times New Roman" w:hAnsi="Times New Roman"/>
          <w:sz w:val="24"/>
        </w:rPr>
        <w:t>used</w:t>
      </w:r>
      <w:proofErr w:type="gramEnd"/>
      <w:r>
        <w:rPr>
          <w:rFonts w:ascii="Times New Roman" w:hAnsi="Times New Roman"/>
          <w:sz w:val="24"/>
        </w:rPr>
        <w:t xml:space="preserve"> and the interpretation of the results obtained.</w:t>
      </w:r>
    </w:p>
    <w:p w14:paraId="0D24C103" w14:textId="77777777" w:rsidR="00F3568C" w:rsidRDefault="00F27EA4" w:rsidP="00F3568C">
      <w:pPr>
        <w:tabs>
          <w:tab w:val="left" w:pos="284"/>
        </w:tabs>
        <w:spacing w:before="120" w:after="240"/>
        <w:jc w:val="both"/>
        <w:rPr>
          <w:rFonts w:ascii="Times New Roman" w:hAnsi="Times New Roman"/>
          <w:sz w:val="24"/>
        </w:rPr>
      </w:pPr>
      <w:r>
        <w:rPr>
          <w:rFonts w:ascii="Times New Roman" w:hAnsi="Times New Roman"/>
          <w:sz w:val="24"/>
        </w:rPr>
        <w:t>The preparation of the of the financial capacity assessment is delegated by DG EAC to the Central Validation Service, hosted in the European Research Executive Agency.</w:t>
      </w:r>
    </w:p>
    <w:p w14:paraId="6E72C13A" w14:textId="57983445" w:rsidR="002343AB" w:rsidRPr="00F3568C" w:rsidRDefault="002343AB" w:rsidP="00F3568C">
      <w:pPr>
        <w:numPr>
          <w:ilvl w:val="0"/>
          <w:numId w:val="34"/>
        </w:numPr>
        <w:tabs>
          <w:tab w:val="left" w:pos="284"/>
        </w:tabs>
        <w:spacing w:before="120" w:after="240"/>
        <w:jc w:val="both"/>
        <w:rPr>
          <w:rFonts w:ascii="Times New Roman" w:hAnsi="Times New Roman"/>
          <w:b/>
          <w:smallCaps/>
          <w:sz w:val="24"/>
          <w:szCs w:val="24"/>
          <w:u w:val="single"/>
        </w:rPr>
      </w:pPr>
      <w:r w:rsidRPr="00F3568C">
        <w:rPr>
          <w:rFonts w:ascii="Times New Roman" w:hAnsi="Times New Roman"/>
          <w:b/>
          <w:smallCaps/>
          <w:sz w:val="24"/>
          <w:u w:val="single"/>
        </w:rPr>
        <w:t>Scope</w:t>
      </w:r>
    </w:p>
    <w:p w14:paraId="436BC222" w14:textId="77777777" w:rsidR="00D37C59" w:rsidRDefault="00B258D7" w:rsidP="009951B0">
      <w:pPr>
        <w:jc w:val="both"/>
        <w:rPr>
          <w:rFonts w:ascii="Times New Roman" w:hAnsi="Times New Roman"/>
          <w:sz w:val="24"/>
          <w:szCs w:val="24"/>
        </w:rPr>
      </w:pPr>
      <w:r>
        <w:rPr>
          <w:rFonts w:ascii="Times New Roman" w:hAnsi="Times New Roman"/>
          <w:sz w:val="24"/>
        </w:rPr>
        <w:t xml:space="preserve">Assessment of financial capacity as a selection criterion applies to all grants. </w:t>
      </w:r>
    </w:p>
    <w:p w14:paraId="18037A21" w14:textId="6EA89D4D" w:rsidR="005F1F7A" w:rsidRDefault="005F1F7A" w:rsidP="009951B0">
      <w:pPr>
        <w:jc w:val="both"/>
        <w:rPr>
          <w:rFonts w:ascii="Times New Roman" w:hAnsi="Times New Roman"/>
          <w:sz w:val="24"/>
          <w:szCs w:val="24"/>
        </w:rPr>
      </w:pPr>
      <w:r>
        <w:rPr>
          <w:rFonts w:ascii="Times New Roman" w:hAnsi="Times New Roman"/>
          <w:sz w:val="24"/>
        </w:rPr>
        <w:t xml:space="preserve">Under </w:t>
      </w:r>
      <w:r w:rsidRPr="00F1104D">
        <w:rPr>
          <w:rFonts w:ascii="Times New Roman" w:hAnsi="Times New Roman"/>
          <w:sz w:val="24"/>
        </w:rPr>
        <w:t xml:space="preserve">Article </w:t>
      </w:r>
      <w:r w:rsidR="00F21658">
        <w:rPr>
          <w:rFonts w:ascii="Times New Roman" w:hAnsi="Times New Roman"/>
          <w:sz w:val="24"/>
        </w:rPr>
        <w:t>199</w:t>
      </w:r>
      <w:r w:rsidR="00F21658" w:rsidRPr="00F1104D">
        <w:rPr>
          <w:rFonts w:ascii="Times New Roman" w:hAnsi="Times New Roman"/>
          <w:sz w:val="24"/>
        </w:rPr>
        <w:t xml:space="preserve"> </w:t>
      </w:r>
      <w:r w:rsidRPr="00F1104D">
        <w:rPr>
          <w:rFonts w:ascii="Times New Roman" w:hAnsi="Times New Roman"/>
          <w:sz w:val="24"/>
        </w:rPr>
        <w:t>of the Financial Regulation</w:t>
      </w:r>
      <w:r>
        <w:rPr>
          <w:rFonts w:ascii="Times New Roman" w:hAnsi="Times New Roman"/>
          <w:sz w:val="24"/>
        </w:rPr>
        <w:t xml:space="preserve">, and </w:t>
      </w:r>
      <w:r w:rsidR="00D01C27">
        <w:rPr>
          <w:rFonts w:ascii="Times New Roman" w:hAnsi="Times New Roman"/>
          <w:sz w:val="24"/>
        </w:rPr>
        <w:t>based on</w:t>
      </w:r>
      <w:r>
        <w:rPr>
          <w:rFonts w:ascii="Times New Roman" w:hAnsi="Times New Roman"/>
          <w:sz w:val="24"/>
        </w:rPr>
        <w:t xml:space="preserve"> a risk analysis, the authorising officer is not required to request proof of financial capacity for grants worth EUR 60 000 or less. </w:t>
      </w:r>
    </w:p>
    <w:p w14:paraId="58710D6B" w14:textId="77777777" w:rsidR="009801F4" w:rsidRDefault="00151535" w:rsidP="00921119">
      <w:pPr>
        <w:ind w:left="284"/>
        <w:jc w:val="both"/>
        <w:rPr>
          <w:rFonts w:ascii="Times New Roman" w:hAnsi="Times New Roman"/>
          <w:sz w:val="24"/>
        </w:rPr>
      </w:pPr>
      <w:r w:rsidRPr="00DF1779">
        <w:rPr>
          <w:rFonts w:ascii="Times New Roman" w:hAnsi="Times New Roman"/>
          <w:sz w:val="24"/>
        </w:rPr>
        <w:t>Taking account of the specific nature of the grants administered by DG EAC, the decision was taken to perform a financial capacity analysis when the value of the pre-financing exceeds EUR 600 000.</w:t>
      </w:r>
      <w:r>
        <w:rPr>
          <w:rFonts w:ascii="Times New Roman" w:hAnsi="Times New Roman"/>
          <w:sz w:val="24"/>
        </w:rPr>
        <w:t xml:space="preserve"> For values above this threshold, proof of financial capacity will be </w:t>
      </w:r>
      <w:r>
        <w:rPr>
          <w:rFonts w:ascii="Times New Roman" w:hAnsi="Times New Roman"/>
          <w:sz w:val="24"/>
        </w:rPr>
        <w:lastRenderedPageBreak/>
        <w:t>required on a case-by-case basis according to the hypothetical cases presented in points 3.2, 3.3 and 3.4 below and the financial analysis will be performed as described in point 4.</w:t>
      </w:r>
    </w:p>
    <w:p w14:paraId="5899E645" w14:textId="77777777" w:rsidR="002343AB" w:rsidRPr="00CA698D" w:rsidRDefault="002343AB" w:rsidP="00F3568C">
      <w:pPr>
        <w:numPr>
          <w:ilvl w:val="0"/>
          <w:numId w:val="34"/>
        </w:numPr>
        <w:tabs>
          <w:tab w:val="left" w:pos="284"/>
        </w:tabs>
        <w:spacing w:after="240"/>
        <w:jc w:val="both"/>
        <w:rPr>
          <w:rFonts w:ascii="Times New Roman" w:hAnsi="Times New Roman"/>
          <w:b/>
          <w:smallCaps/>
          <w:sz w:val="24"/>
          <w:szCs w:val="24"/>
          <w:u w:val="single"/>
        </w:rPr>
      </w:pPr>
      <w:r>
        <w:rPr>
          <w:rFonts w:ascii="Times New Roman" w:hAnsi="Times New Roman"/>
          <w:b/>
          <w:smallCaps/>
          <w:sz w:val="24"/>
          <w:u w:val="single"/>
        </w:rPr>
        <w:t>Entities subject to the examination of financial capacity</w:t>
      </w:r>
    </w:p>
    <w:p w14:paraId="2323D456" w14:textId="77777777" w:rsidR="008472BB" w:rsidRPr="00DF1779" w:rsidRDefault="00825730" w:rsidP="00825730">
      <w:pPr>
        <w:numPr>
          <w:ilvl w:val="0"/>
          <w:numId w:val="4"/>
        </w:numPr>
        <w:tabs>
          <w:tab w:val="left" w:pos="567"/>
        </w:tabs>
        <w:ind w:left="567" w:hanging="283"/>
        <w:jc w:val="both"/>
        <w:rPr>
          <w:rFonts w:ascii="Times New Roman" w:hAnsi="Times New Roman"/>
          <w:sz w:val="24"/>
          <w:szCs w:val="24"/>
        </w:rPr>
      </w:pPr>
      <w:r>
        <w:rPr>
          <w:rFonts w:ascii="Times New Roman" w:hAnsi="Times New Roman"/>
          <w:sz w:val="24"/>
        </w:rPr>
        <w:t xml:space="preserve">All grant applicants </w:t>
      </w:r>
      <w:r w:rsidRPr="00DF1779">
        <w:rPr>
          <w:rFonts w:ascii="Times New Roman" w:hAnsi="Times New Roman"/>
          <w:sz w:val="24"/>
        </w:rPr>
        <w:t>(or representatives of this applicant, where the applicant has no legal personality).</w:t>
      </w:r>
    </w:p>
    <w:p w14:paraId="3095B6F8" w14:textId="77777777" w:rsidR="00907A4A" w:rsidRPr="00CA698D" w:rsidRDefault="00825730" w:rsidP="00825730">
      <w:pPr>
        <w:numPr>
          <w:ilvl w:val="0"/>
          <w:numId w:val="4"/>
        </w:numPr>
        <w:tabs>
          <w:tab w:val="left" w:pos="567"/>
        </w:tabs>
        <w:ind w:left="567" w:hanging="283"/>
        <w:jc w:val="both"/>
        <w:rPr>
          <w:rFonts w:ascii="Times New Roman" w:hAnsi="Times New Roman"/>
          <w:sz w:val="24"/>
          <w:szCs w:val="24"/>
        </w:rPr>
      </w:pPr>
      <w:r>
        <w:rPr>
          <w:rFonts w:ascii="Times New Roman" w:hAnsi="Times New Roman"/>
          <w:sz w:val="24"/>
        </w:rPr>
        <w:t>For affiliated entities, all the entities concerned.</w:t>
      </w:r>
    </w:p>
    <w:p w14:paraId="7A9905C2" w14:textId="77777777" w:rsidR="00902905" w:rsidRDefault="00902905" w:rsidP="00825730">
      <w:pPr>
        <w:spacing w:after="240" w:line="240" w:lineRule="auto"/>
        <w:ind w:left="284"/>
        <w:jc w:val="both"/>
        <w:rPr>
          <w:rFonts w:ascii="Times New Roman" w:hAnsi="Times New Roman"/>
          <w:sz w:val="24"/>
          <w:szCs w:val="24"/>
        </w:rPr>
      </w:pPr>
      <w:r>
        <w:rPr>
          <w:rFonts w:ascii="Times New Roman" w:hAnsi="Times New Roman"/>
          <w:sz w:val="24"/>
        </w:rPr>
        <w:t>Exceptions:</w:t>
      </w:r>
    </w:p>
    <w:p w14:paraId="5B7ED01F" w14:textId="6C11413B" w:rsidR="00F1104D" w:rsidRDefault="00EB6825" w:rsidP="00825730">
      <w:pPr>
        <w:spacing w:after="240" w:line="240" w:lineRule="auto"/>
        <w:ind w:left="284"/>
        <w:jc w:val="both"/>
        <w:rPr>
          <w:rFonts w:ascii="Times New Roman" w:hAnsi="Times New Roman"/>
          <w:i/>
          <w:sz w:val="24"/>
        </w:rPr>
      </w:pPr>
      <w:r>
        <w:rPr>
          <w:rFonts w:ascii="Times New Roman" w:hAnsi="Times New Roman"/>
          <w:sz w:val="24"/>
        </w:rPr>
        <w:t xml:space="preserve">It is important to underline that, according to </w:t>
      </w:r>
      <w:r w:rsidRPr="00F1104D">
        <w:rPr>
          <w:rFonts w:ascii="Times New Roman" w:hAnsi="Times New Roman"/>
          <w:sz w:val="24"/>
        </w:rPr>
        <w:t>Article</w:t>
      </w:r>
      <w:r w:rsidR="00F1104D">
        <w:rPr>
          <w:rFonts w:ascii="Times New Roman" w:hAnsi="Times New Roman"/>
          <w:sz w:val="24"/>
        </w:rPr>
        <w:t>s</w:t>
      </w:r>
      <w:r w:rsidRPr="00F1104D">
        <w:rPr>
          <w:rFonts w:ascii="Times New Roman" w:hAnsi="Times New Roman"/>
          <w:sz w:val="24"/>
        </w:rPr>
        <w:t xml:space="preserve"> </w:t>
      </w:r>
      <w:r w:rsidR="00F21658">
        <w:rPr>
          <w:rFonts w:ascii="Times New Roman" w:hAnsi="Times New Roman"/>
          <w:sz w:val="24"/>
        </w:rPr>
        <w:t>199</w:t>
      </w:r>
      <w:r w:rsidR="00F21658" w:rsidRPr="00F1104D">
        <w:rPr>
          <w:rFonts w:ascii="Times New Roman" w:hAnsi="Times New Roman"/>
          <w:sz w:val="24"/>
        </w:rPr>
        <w:t xml:space="preserve"> </w:t>
      </w:r>
      <w:r w:rsidR="00F1104D">
        <w:rPr>
          <w:rFonts w:ascii="Times New Roman" w:hAnsi="Times New Roman"/>
          <w:sz w:val="24"/>
        </w:rPr>
        <w:t xml:space="preserve">and </w:t>
      </w:r>
      <w:r w:rsidR="00F21658">
        <w:rPr>
          <w:rFonts w:ascii="Times New Roman" w:hAnsi="Times New Roman"/>
          <w:sz w:val="24"/>
        </w:rPr>
        <w:t>201</w:t>
      </w:r>
      <w:r w:rsidR="00F1104D">
        <w:rPr>
          <w:rFonts w:ascii="Times New Roman" w:hAnsi="Times New Roman"/>
          <w:sz w:val="24"/>
        </w:rPr>
        <w:t xml:space="preserve">(5) </w:t>
      </w:r>
      <w:r w:rsidRPr="00F1104D">
        <w:rPr>
          <w:rFonts w:ascii="Times New Roman" w:hAnsi="Times New Roman"/>
          <w:sz w:val="24"/>
        </w:rPr>
        <w:t>of the FR</w:t>
      </w:r>
      <w:r>
        <w:rPr>
          <w:rFonts w:ascii="Times New Roman" w:hAnsi="Times New Roman"/>
          <w:sz w:val="24"/>
        </w:rPr>
        <w:t xml:space="preserve"> "</w:t>
      </w:r>
      <w:r>
        <w:rPr>
          <w:rFonts w:ascii="Times New Roman" w:hAnsi="Times New Roman"/>
          <w:i/>
          <w:sz w:val="24"/>
        </w:rPr>
        <w:t>the verification of financial capacity shall not apply to</w:t>
      </w:r>
      <w:r w:rsidR="00F1104D">
        <w:rPr>
          <w:rFonts w:ascii="Times New Roman" w:hAnsi="Times New Roman"/>
          <w:i/>
          <w:sz w:val="24"/>
        </w:rPr>
        <w:t>:</w:t>
      </w:r>
    </w:p>
    <w:p w14:paraId="302F31F5" w14:textId="77777777" w:rsidR="00241CBF" w:rsidRPr="004E70B9" w:rsidRDefault="00241CBF" w:rsidP="00241CBF">
      <w:pPr>
        <w:numPr>
          <w:ilvl w:val="0"/>
          <w:numId w:val="31"/>
        </w:numPr>
        <w:spacing w:after="240" w:line="240" w:lineRule="auto"/>
        <w:jc w:val="both"/>
        <w:rPr>
          <w:rFonts w:ascii="Times New Roman" w:hAnsi="Times New Roman"/>
          <w:sz w:val="24"/>
          <w:szCs w:val="24"/>
        </w:rPr>
      </w:pPr>
      <w:bookmarkStart w:id="0" w:name="_Hlk102141074"/>
      <w:r>
        <w:rPr>
          <w:rFonts w:ascii="Times New Roman" w:hAnsi="Times New Roman"/>
          <w:i/>
          <w:sz w:val="24"/>
        </w:rPr>
        <w:t>natural persons in receipt of education support;</w:t>
      </w:r>
    </w:p>
    <w:p w14:paraId="0684D014" w14:textId="174DB70E" w:rsidR="00241CBF" w:rsidRPr="00241CBF" w:rsidRDefault="00241CBF" w:rsidP="00241CBF">
      <w:pPr>
        <w:numPr>
          <w:ilvl w:val="0"/>
          <w:numId w:val="31"/>
        </w:numPr>
        <w:spacing w:after="240" w:line="240" w:lineRule="auto"/>
        <w:jc w:val="both"/>
        <w:rPr>
          <w:rFonts w:ascii="Times New Roman" w:hAnsi="Times New Roman"/>
          <w:sz w:val="24"/>
          <w:szCs w:val="24"/>
        </w:rPr>
      </w:pPr>
      <w:r>
        <w:rPr>
          <w:rFonts w:ascii="Times New Roman" w:hAnsi="Times New Roman"/>
          <w:i/>
          <w:sz w:val="24"/>
        </w:rPr>
        <w:t>to natural persons most in need</w:t>
      </w:r>
      <w:r w:rsidR="00972460">
        <w:rPr>
          <w:rFonts w:ascii="Times New Roman" w:hAnsi="Times New Roman"/>
          <w:i/>
          <w:sz w:val="24"/>
        </w:rPr>
        <w:t>,</w:t>
      </w:r>
      <w:r>
        <w:rPr>
          <w:rFonts w:ascii="Times New Roman" w:hAnsi="Times New Roman"/>
          <w:i/>
          <w:sz w:val="24"/>
        </w:rPr>
        <w:t xml:space="preserve"> such as unemployed persons and refugees, and in receipt of direct support;</w:t>
      </w:r>
      <w:bookmarkEnd w:id="0"/>
    </w:p>
    <w:p w14:paraId="11B0ACDC" w14:textId="62BE5207" w:rsidR="00F1104D" w:rsidRPr="004E70B9" w:rsidRDefault="00EB6825" w:rsidP="004E70B9">
      <w:pPr>
        <w:numPr>
          <w:ilvl w:val="0"/>
          <w:numId w:val="31"/>
        </w:numPr>
        <w:spacing w:after="240" w:line="240" w:lineRule="auto"/>
        <w:jc w:val="both"/>
        <w:rPr>
          <w:rFonts w:ascii="Times New Roman" w:hAnsi="Times New Roman"/>
          <w:sz w:val="24"/>
          <w:szCs w:val="24"/>
        </w:rPr>
      </w:pPr>
      <w:r>
        <w:rPr>
          <w:rFonts w:ascii="Times New Roman" w:hAnsi="Times New Roman"/>
          <w:i/>
          <w:sz w:val="24"/>
        </w:rPr>
        <w:t>to public bodies</w:t>
      </w:r>
      <w:r w:rsidR="00972460">
        <w:rPr>
          <w:rFonts w:ascii="Times New Roman" w:hAnsi="Times New Roman"/>
          <w:i/>
          <w:sz w:val="24"/>
        </w:rPr>
        <w:t>,</w:t>
      </w:r>
      <w:r>
        <w:rPr>
          <w:rFonts w:ascii="Times New Roman" w:hAnsi="Times New Roman"/>
          <w:i/>
          <w:sz w:val="24"/>
        </w:rPr>
        <w:t xml:space="preserve"> </w:t>
      </w:r>
      <w:r w:rsidR="00F1104D">
        <w:rPr>
          <w:rFonts w:ascii="Times New Roman" w:hAnsi="Times New Roman"/>
          <w:i/>
          <w:sz w:val="24"/>
        </w:rPr>
        <w:t xml:space="preserve">including member States organisations; </w:t>
      </w:r>
    </w:p>
    <w:p w14:paraId="41E43EDA" w14:textId="77777777" w:rsidR="00F1104D" w:rsidRPr="00F1104D" w:rsidRDefault="00EB6825" w:rsidP="004E70B9">
      <w:pPr>
        <w:numPr>
          <w:ilvl w:val="0"/>
          <w:numId w:val="31"/>
        </w:numPr>
        <w:spacing w:after="240" w:line="240" w:lineRule="auto"/>
        <w:jc w:val="both"/>
        <w:rPr>
          <w:rFonts w:ascii="Times New Roman" w:hAnsi="Times New Roman"/>
          <w:sz w:val="24"/>
          <w:szCs w:val="24"/>
        </w:rPr>
      </w:pPr>
      <w:r>
        <w:rPr>
          <w:rFonts w:ascii="Times New Roman" w:hAnsi="Times New Roman"/>
          <w:i/>
          <w:sz w:val="24"/>
        </w:rPr>
        <w:t>international organisations</w:t>
      </w:r>
      <w:r w:rsidR="00F1104D">
        <w:rPr>
          <w:rFonts w:ascii="Times New Roman" w:hAnsi="Times New Roman"/>
          <w:sz w:val="24"/>
        </w:rPr>
        <w:t>;</w:t>
      </w:r>
    </w:p>
    <w:p w14:paraId="6C4BFD3F" w14:textId="6D0057F0" w:rsidR="004C71DF" w:rsidRPr="00972460" w:rsidRDefault="00F1104D" w:rsidP="004E70B9">
      <w:pPr>
        <w:numPr>
          <w:ilvl w:val="0"/>
          <w:numId w:val="31"/>
        </w:numPr>
        <w:spacing w:after="240" w:line="240" w:lineRule="auto"/>
        <w:jc w:val="both"/>
        <w:rPr>
          <w:rFonts w:ascii="Times New Roman" w:hAnsi="Times New Roman"/>
          <w:i/>
          <w:sz w:val="24"/>
          <w:szCs w:val="24"/>
        </w:rPr>
      </w:pPr>
      <w:r w:rsidRPr="004E70B9">
        <w:rPr>
          <w:rFonts w:ascii="Times New Roman" w:hAnsi="Times New Roman"/>
          <w:i/>
          <w:sz w:val="24"/>
        </w:rPr>
        <w:t>persons or entities applying for interest rate rebates and guarantee fee subsidies where the objective of those rebates and subsidies is to reinforce the financial capacity of a beneficiary or to generate an income</w:t>
      </w:r>
      <w:r w:rsidR="00972460">
        <w:rPr>
          <w:rFonts w:ascii="Times New Roman" w:hAnsi="Times New Roman"/>
          <w:i/>
          <w:sz w:val="24"/>
        </w:rPr>
        <w:t>;</w:t>
      </w:r>
    </w:p>
    <w:p w14:paraId="6256E8AE" w14:textId="755CC41E" w:rsidR="00972460" w:rsidRPr="004E70B9" w:rsidRDefault="00972460" w:rsidP="004E70B9">
      <w:pPr>
        <w:numPr>
          <w:ilvl w:val="0"/>
          <w:numId w:val="31"/>
        </w:numPr>
        <w:spacing w:after="240" w:line="240" w:lineRule="auto"/>
        <w:jc w:val="both"/>
        <w:rPr>
          <w:rFonts w:ascii="Times New Roman" w:hAnsi="Times New Roman"/>
          <w:i/>
          <w:sz w:val="24"/>
          <w:szCs w:val="24"/>
        </w:rPr>
      </w:pPr>
      <w:r>
        <w:rPr>
          <w:rFonts w:ascii="Times New Roman" w:hAnsi="Times New Roman"/>
          <w:i/>
          <w:sz w:val="24"/>
          <w:szCs w:val="24"/>
        </w:rPr>
        <w:t>Persons or entities applying for very low value grants.</w:t>
      </w:r>
      <w:r w:rsidR="001609E3">
        <w:rPr>
          <w:rStyle w:val="FootnoteReference"/>
          <w:rFonts w:ascii="Times New Roman" w:hAnsi="Times New Roman"/>
          <w:i/>
          <w:sz w:val="24"/>
          <w:szCs w:val="24"/>
        </w:rPr>
        <w:footnoteReference w:id="2"/>
      </w:r>
    </w:p>
    <w:p w14:paraId="3A3F41BD" w14:textId="77777777" w:rsidR="000D1E82" w:rsidRDefault="000D1E82" w:rsidP="00825730">
      <w:pPr>
        <w:spacing w:after="240" w:line="240" w:lineRule="auto"/>
        <w:ind w:left="284"/>
        <w:jc w:val="both"/>
        <w:rPr>
          <w:rFonts w:ascii="Times New Roman" w:hAnsi="Times New Roman"/>
          <w:sz w:val="24"/>
        </w:rPr>
      </w:pPr>
      <w:r w:rsidRPr="00DF1779">
        <w:rPr>
          <w:rFonts w:ascii="Times New Roman" w:hAnsi="Times New Roman"/>
          <w:sz w:val="24"/>
        </w:rPr>
        <w:t>In accordance with the Erasmus+ programme "</w:t>
      </w:r>
      <w:r w:rsidRPr="00DF1779">
        <w:rPr>
          <w:rFonts w:ascii="Times New Roman" w:hAnsi="Times New Roman"/>
          <w:i/>
          <w:sz w:val="24"/>
        </w:rPr>
        <w:t>Public bodies, as well as schools, higher education institutions and organisations in the fields of education, training, youth and sport that have received over 50 % of their annual revenue from public sources over the last two years shall be considered as having the necessary financial, professional and administrative capacity to carry out activities under the Programme. They shall not be required to present further documentation to demonstrate that capacity</w:t>
      </w:r>
      <w:r w:rsidRPr="00DF1779">
        <w:rPr>
          <w:rFonts w:ascii="Times New Roman" w:hAnsi="Times New Roman"/>
          <w:sz w:val="24"/>
        </w:rPr>
        <w:t>".</w:t>
      </w:r>
    </w:p>
    <w:p w14:paraId="01DF9536" w14:textId="77777777" w:rsidR="00397E54" w:rsidRPr="00CA698D" w:rsidRDefault="00397E54" w:rsidP="00F3568C">
      <w:pPr>
        <w:numPr>
          <w:ilvl w:val="0"/>
          <w:numId w:val="34"/>
        </w:numPr>
        <w:tabs>
          <w:tab w:val="left" w:pos="284"/>
        </w:tabs>
        <w:spacing w:after="240"/>
        <w:jc w:val="both"/>
        <w:rPr>
          <w:rFonts w:ascii="Times New Roman" w:hAnsi="Times New Roman"/>
          <w:b/>
          <w:smallCaps/>
          <w:sz w:val="24"/>
          <w:szCs w:val="24"/>
          <w:u w:val="single"/>
        </w:rPr>
      </w:pPr>
      <w:r>
        <w:rPr>
          <w:rFonts w:ascii="Times New Roman" w:hAnsi="Times New Roman"/>
          <w:b/>
          <w:smallCaps/>
          <w:sz w:val="24"/>
          <w:u w:val="single"/>
        </w:rPr>
        <w:t>Documents to demonstrate the financial capacity of the applicants</w:t>
      </w:r>
    </w:p>
    <w:p w14:paraId="796BF7EE" w14:textId="77777777" w:rsidR="002A594F" w:rsidRPr="00ED69F8" w:rsidRDefault="00902905" w:rsidP="00825730">
      <w:pPr>
        <w:tabs>
          <w:tab w:val="left" w:pos="709"/>
        </w:tabs>
        <w:ind w:left="709" w:hanging="425"/>
        <w:rPr>
          <w:rFonts w:ascii="Times New Roman" w:hAnsi="Times New Roman"/>
          <w:b/>
          <w:i/>
          <w:sz w:val="24"/>
          <w:szCs w:val="24"/>
        </w:rPr>
      </w:pPr>
      <w:r>
        <w:rPr>
          <w:rFonts w:ascii="Times New Roman" w:hAnsi="Times New Roman"/>
          <w:b/>
          <w:i/>
          <w:sz w:val="24"/>
        </w:rPr>
        <w:t>3.1.</w:t>
      </w:r>
      <w:r>
        <w:tab/>
      </w:r>
      <w:r>
        <w:rPr>
          <w:rFonts w:ascii="Times New Roman" w:hAnsi="Times New Roman"/>
          <w:b/>
          <w:i/>
          <w:sz w:val="24"/>
        </w:rPr>
        <w:t>Grants with a pre-financing value of EUR 60</w:t>
      </w:r>
      <w:r w:rsidR="008E1772">
        <w:rPr>
          <w:rFonts w:ascii="Times New Roman" w:hAnsi="Times New Roman"/>
          <w:b/>
          <w:i/>
          <w:sz w:val="24"/>
        </w:rPr>
        <w:t>0</w:t>
      </w:r>
      <w:r>
        <w:rPr>
          <w:rFonts w:ascii="Times New Roman" w:hAnsi="Times New Roman"/>
          <w:b/>
          <w:i/>
          <w:sz w:val="24"/>
        </w:rPr>
        <w:t xml:space="preserve"> 000 or less</w:t>
      </w:r>
    </w:p>
    <w:p w14:paraId="3E1351F6" w14:textId="77777777" w:rsidR="004D0932" w:rsidRDefault="002859ED" w:rsidP="00110F88">
      <w:pPr>
        <w:spacing w:after="240"/>
        <w:ind w:left="284"/>
        <w:jc w:val="both"/>
        <w:rPr>
          <w:rFonts w:ascii="Times New Roman" w:hAnsi="Times New Roman"/>
          <w:sz w:val="24"/>
          <w:szCs w:val="24"/>
        </w:rPr>
      </w:pPr>
      <w:r>
        <w:rPr>
          <w:rFonts w:ascii="Times New Roman" w:hAnsi="Times New Roman"/>
          <w:sz w:val="24"/>
        </w:rPr>
        <w:t xml:space="preserve">For grants of this type, proof of financial capacity is constituted by a declaration </w:t>
      </w:r>
      <w:r w:rsidR="00E01608">
        <w:rPr>
          <w:rFonts w:ascii="Times New Roman" w:hAnsi="Times New Roman"/>
          <w:sz w:val="24"/>
        </w:rPr>
        <w:t xml:space="preserve">on the honour </w:t>
      </w:r>
      <w:r>
        <w:rPr>
          <w:rFonts w:ascii="Times New Roman" w:hAnsi="Times New Roman"/>
          <w:sz w:val="24"/>
        </w:rPr>
        <w:t xml:space="preserve">by the grant </w:t>
      </w:r>
      <w:r w:rsidRPr="00D17E1B">
        <w:rPr>
          <w:rFonts w:ascii="Times New Roman" w:hAnsi="Times New Roman"/>
          <w:sz w:val="24"/>
        </w:rPr>
        <w:t xml:space="preserve">applicant (Annex </w:t>
      </w:r>
      <w:r w:rsidR="00444F38" w:rsidRPr="00D17E1B">
        <w:rPr>
          <w:rFonts w:ascii="Times New Roman" w:hAnsi="Times New Roman"/>
          <w:sz w:val="24"/>
        </w:rPr>
        <w:t>2 of the Call for Proposals, "</w:t>
      </w:r>
      <w:r w:rsidR="00444F38" w:rsidRPr="00B855BC">
        <w:rPr>
          <w:rFonts w:ascii="Times New Roman" w:hAnsi="Times New Roman"/>
          <w:sz w:val="24"/>
        </w:rPr>
        <w:t>Declaration on honour on exclusion criteria and selection criteria"</w:t>
      </w:r>
      <w:r w:rsidRPr="00773479">
        <w:rPr>
          <w:rFonts w:ascii="Times New Roman" w:hAnsi="Times New Roman"/>
          <w:sz w:val="24"/>
        </w:rPr>
        <w:t>).</w:t>
      </w:r>
      <w:r>
        <w:rPr>
          <w:rFonts w:ascii="Times New Roman" w:hAnsi="Times New Roman"/>
          <w:sz w:val="24"/>
        </w:rPr>
        <w:t xml:space="preserve"> </w:t>
      </w:r>
    </w:p>
    <w:p w14:paraId="063C1586" w14:textId="413A746B" w:rsidR="00110F88" w:rsidRDefault="00121F13" w:rsidP="00110F88">
      <w:pPr>
        <w:spacing w:after="240"/>
        <w:ind w:left="284"/>
        <w:jc w:val="both"/>
        <w:rPr>
          <w:rFonts w:ascii="Times New Roman" w:hAnsi="Times New Roman"/>
          <w:sz w:val="24"/>
          <w:szCs w:val="24"/>
        </w:rPr>
      </w:pPr>
      <w:r>
        <w:rPr>
          <w:rFonts w:ascii="Times New Roman" w:hAnsi="Times New Roman"/>
          <w:sz w:val="24"/>
        </w:rPr>
        <w:t xml:space="preserve">However, in case of doubt and only for grants exceeding EUR 60 000, </w:t>
      </w:r>
      <w:r w:rsidRPr="00936E11">
        <w:rPr>
          <w:rFonts w:ascii="Times New Roman" w:hAnsi="Times New Roman"/>
          <w:sz w:val="24"/>
        </w:rPr>
        <w:t xml:space="preserve">the assessment committee reserves the right to </w:t>
      </w:r>
      <w:r w:rsidR="00D24554">
        <w:rPr>
          <w:rFonts w:ascii="Times New Roman" w:hAnsi="Times New Roman"/>
          <w:sz w:val="24"/>
        </w:rPr>
        <w:t xml:space="preserve">mandate the Central Validation Service to </w:t>
      </w:r>
      <w:r w:rsidRPr="00936E11">
        <w:rPr>
          <w:rFonts w:ascii="Times New Roman" w:hAnsi="Times New Roman"/>
          <w:sz w:val="24"/>
        </w:rPr>
        <w:t>request supporting documents and to carry out a financial analysis as described in point 4 below</w:t>
      </w:r>
      <w:r>
        <w:rPr>
          <w:rFonts w:ascii="Times New Roman" w:hAnsi="Times New Roman"/>
          <w:sz w:val="24"/>
        </w:rPr>
        <w:t xml:space="preserve"> </w:t>
      </w:r>
      <w:r w:rsidRPr="00D17E1B">
        <w:rPr>
          <w:rFonts w:ascii="Times New Roman" w:hAnsi="Times New Roman"/>
          <w:sz w:val="24"/>
        </w:rPr>
        <w:t xml:space="preserve">(cf. Article </w:t>
      </w:r>
      <w:r w:rsidR="00972460">
        <w:rPr>
          <w:rFonts w:ascii="Times New Roman" w:hAnsi="Times New Roman"/>
          <w:sz w:val="24"/>
        </w:rPr>
        <w:t>201</w:t>
      </w:r>
      <w:r w:rsidR="00D17E1B" w:rsidRPr="00D17E1B">
        <w:rPr>
          <w:rFonts w:ascii="Times New Roman" w:hAnsi="Times New Roman"/>
          <w:sz w:val="24"/>
        </w:rPr>
        <w:t>(4)</w:t>
      </w:r>
      <w:r w:rsidRPr="00773479">
        <w:rPr>
          <w:rFonts w:ascii="Times New Roman" w:hAnsi="Times New Roman"/>
          <w:sz w:val="24"/>
        </w:rPr>
        <w:t xml:space="preserve"> of the FR)</w:t>
      </w:r>
    </w:p>
    <w:p w14:paraId="4A127046" w14:textId="77777777" w:rsidR="00110F88" w:rsidRDefault="00110F88" w:rsidP="00110F88">
      <w:pPr>
        <w:spacing w:after="120"/>
        <w:ind w:left="284"/>
        <w:jc w:val="both"/>
        <w:rPr>
          <w:rFonts w:ascii="Times New Roman" w:hAnsi="Times New Roman"/>
          <w:sz w:val="24"/>
          <w:szCs w:val="24"/>
        </w:rPr>
      </w:pPr>
      <w:r>
        <w:rPr>
          <w:rFonts w:ascii="Times New Roman" w:hAnsi="Times New Roman"/>
          <w:sz w:val="24"/>
        </w:rPr>
        <w:lastRenderedPageBreak/>
        <w:t xml:space="preserve">Along similar lines, </w:t>
      </w:r>
      <w:proofErr w:type="gramStart"/>
      <w:r>
        <w:rPr>
          <w:rFonts w:ascii="Times New Roman" w:hAnsi="Times New Roman"/>
          <w:sz w:val="24"/>
        </w:rPr>
        <w:t>and also</w:t>
      </w:r>
      <w:proofErr w:type="gramEnd"/>
      <w:r>
        <w:rPr>
          <w:rFonts w:ascii="Times New Roman" w:hAnsi="Times New Roman"/>
          <w:sz w:val="24"/>
        </w:rPr>
        <w:t xml:space="preserve"> for grants exceeding EUR 60 000, entities falling into one of the following high-risk categories must provide proof of their financial capacity (see points 3.2, 3.3 and 3.4 below) and are required to undergo the financial analysis provided for in point 4 below:</w:t>
      </w:r>
    </w:p>
    <w:p w14:paraId="406A08EB" w14:textId="77777777" w:rsidR="00110F88" w:rsidRDefault="00110F88" w:rsidP="00B81E77">
      <w:pPr>
        <w:numPr>
          <w:ilvl w:val="0"/>
          <w:numId w:val="27"/>
        </w:numPr>
        <w:tabs>
          <w:tab w:val="left" w:pos="851"/>
        </w:tabs>
        <w:spacing w:after="120" w:line="240" w:lineRule="auto"/>
        <w:ind w:left="851" w:hanging="284"/>
        <w:jc w:val="both"/>
        <w:rPr>
          <w:rFonts w:ascii="Times New Roman" w:hAnsi="Times New Roman"/>
          <w:sz w:val="24"/>
          <w:szCs w:val="24"/>
        </w:rPr>
      </w:pPr>
      <w:proofErr w:type="gramStart"/>
      <w:r>
        <w:rPr>
          <w:rFonts w:ascii="Times New Roman" w:hAnsi="Times New Roman"/>
          <w:sz w:val="24"/>
        </w:rPr>
        <w:t>Newly-created</w:t>
      </w:r>
      <w:proofErr w:type="gramEnd"/>
      <w:r>
        <w:rPr>
          <w:rFonts w:ascii="Times New Roman" w:hAnsi="Times New Roman"/>
          <w:sz w:val="24"/>
        </w:rPr>
        <w:t xml:space="preserve"> entities in existence for less than a year and for which no financial history is available</w:t>
      </w:r>
    </w:p>
    <w:p w14:paraId="3EE4F0E5" w14:textId="77777777" w:rsidR="00110F88" w:rsidRDefault="00110F88" w:rsidP="00B81E77">
      <w:pPr>
        <w:numPr>
          <w:ilvl w:val="0"/>
          <w:numId w:val="27"/>
        </w:numPr>
        <w:tabs>
          <w:tab w:val="left" w:pos="851"/>
        </w:tabs>
        <w:spacing w:after="120" w:line="240" w:lineRule="auto"/>
        <w:ind w:left="851" w:hanging="284"/>
        <w:jc w:val="both"/>
        <w:rPr>
          <w:rFonts w:ascii="Times New Roman" w:hAnsi="Times New Roman"/>
          <w:sz w:val="24"/>
          <w:szCs w:val="24"/>
        </w:rPr>
      </w:pPr>
      <w:r>
        <w:rPr>
          <w:rFonts w:ascii="Times New Roman" w:hAnsi="Times New Roman"/>
          <w:sz w:val="24"/>
        </w:rPr>
        <w:t>New entities in existence for between one and three years</w:t>
      </w:r>
    </w:p>
    <w:p w14:paraId="6FFA4CA4" w14:textId="77777777" w:rsidR="00110F88" w:rsidRDefault="00110F88" w:rsidP="00B81E77">
      <w:pPr>
        <w:numPr>
          <w:ilvl w:val="0"/>
          <w:numId w:val="27"/>
        </w:numPr>
        <w:tabs>
          <w:tab w:val="left" w:pos="851"/>
        </w:tabs>
        <w:spacing w:after="120" w:line="240" w:lineRule="auto"/>
        <w:ind w:left="851" w:hanging="284"/>
        <w:jc w:val="both"/>
        <w:rPr>
          <w:rFonts w:ascii="Times New Roman" w:hAnsi="Times New Roman"/>
          <w:sz w:val="24"/>
          <w:szCs w:val="24"/>
        </w:rPr>
      </w:pPr>
      <w:r>
        <w:rPr>
          <w:rFonts w:ascii="Times New Roman" w:hAnsi="Times New Roman"/>
          <w:sz w:val="24"/>
        </w:rPr>
        <w:t>Entities against which one or more expired and unpaid recovery orders have been issued by DG EAC</w:t>
      </w:r>
    </w:p>
    <w:p w14:paraId="705B2C68" w14:textId="77777777" w:rsidR="00110F88" w:rsidRDefault="00110F88" w:rsidP="00921119">
      <w:pPr>
        <w:numPr>
          <w:ilvl w:val="0"/>
          <w:numId w:val="27"/>
        </w:numPr>
        <w:tabs>
          <w:tab w:val="left" w:pos="851"/>
        </w:tabs>
        <w:spacing w:after="120" w:line="240" w:lineRule="auto"/>
        <w:ind w:left="851" w:hanging="284"/>
        <w:jc w:val="both"/>
        <w:rPr>
          <w:rFonts w:ascii="Times New Roman" w:hAnsi="Times New Roman"/>
          <w:sz w:val="24"/>
          <w:szCs w:val="24"/>
        </w:rPr>
      </w:pPr>
      <w:r>
        <w:rPr>
          <w:rFonts w:ascii="Times New Roman" w:hAnsi="Times New Roman"/>
          <w:sz w:val="24"/>
        </w:rPr>
        <w:t>Entities that are the subject of suspicions of or findings relating to serious administrative errors or fraud</w:t>
      </w:r>
    </w:p>
    <w:p w14:paraId="74C3834B" w14:textId="77777777" w:rsidR="00110F88" w:rsidRDefault="00110F88" w:rsidP="00921119">
      <w:pPr>
        <w:numPr>
          <w:ilvl w:val="0"/>
          <w:numId w:val="27"/>
        </w:numPr>
        <w:tabs>
          <w:tab w:val="left" w:pos="851"/>
        </w:tabs>
        <w:spacing w:after="120" w:line="240" w:lineRule="auto"/>
        <w:ind w:left="851" w:hanging="284"/>
        <w:jc w:val="both"/>
        <w:rPr>
          <w:rFonts w:ascii="Times New Roman" w:hAnsi="Times New Roman"/>
          <w:sz w:val="24"/>
          <w:szCs w:val="24"/>
        </w:rPr>
      </w:pPr>
      <w:r>
        <w:rPr>
          <w:rFonts w:ascii="Times New Roman" w:hAnsi="Times New Roman"/>
          <w:sz w:val="24"/>
        </w:rPr>
        <w:t>Entities against which legal proceedings have been brought for serious administrative errors or fraud</w:t>
      </w:r>
    </w:p>
    <w:p w14:paraId="0B90DBA5" w14:textId="77777777" w:rsidR="00EA4FFF" w:rsidRPr="00B81E77" w:rsidRDefault="00205290" w:rsidP="00921119">
      <w:pPr>
        <w:numPr>
          <w:ilvl w:val="0"/>
          <w:numId w:val="27"/>
        </w:numPr>
        <w:tabs>
          <w:tab w:val="left" w:pos="851"/>
        </w:tabs>
        <w:spacing w:after="240" w:line="240" w:lineRule="auto"/>
        <w:ind w:left="851" w:hanging="284"/>
        <w:jc w:val="both"/>
        <w:rPr>
          <w:rFonts w:ascii="Times New Roman" w:hAnsi="Times New Roman"/>
          <w:sz w:val="24"/>
          <w:szCs w:val="24"/>
        </w:rPr>
      </w:pPr>
      <w:r>
        <w:rPr>
          <w:rFonts w:ascii="Times New Roman" w:hAnsi="Times New Roman"/>
          <w:sz w:val="24"/>
        </w:rPr>
        <w:t>Pilot project/new activity.</w:t>
      </w:r>
    </w:p>
    <w:p w14:paraId="729BD78A" w14:textId="77777777" w:rsidR="005B3CDB" w:rsidRPr="00ED69F8" w:rsidRDefault="00902905" w:rsidP="00825730">
      <w:pPr>
        <w:tabs>
          <w:tab w:val="left" w:pos="709"/>
        </w:tabs>
        <w:ind w:left="709" w:hanging="425"/>
        <w:rPr>
          <w:rFonts w:ascii="Times New Roman" w:hAnsi="Times New Roman"/>
          <w:b/>
          <w:i/>
          <w:sz w:val="24"/>
          <w:szCs w:val="24"/>
        </w:rPr>
      </w:pPr>
      <w:r>
        <w:rPr>
          <w:rFonts w:ascii="Times New Roman" w:hAnsi="Times New Roman"/>
          <w:b/>
          <w:i/>
          <w:sz w:val="24"/>
        </w:rPr>
        <w:t>3.2.</w:t>
      </w:r>
      <w:r>
        <w:tab/>
      </w:r>
      <w:r>
        <w:rPr>
          <w:rFonts w:ascii="Times New Roman" w:hAnsi="Times New Roman"/>
          <w:b/>
          <w:i/>
          <w:sz w:val="24"/>
        </w:rPr>
        <w:t>Grants with a pre-financing value of EUR 600 000 or more</w:t>
      </w:r>
    </w:p>
    <w:p w14:paraId="5FA8B733" w14:textId="77777777" w:rsidR="00D03076" w:rsidRPr="00CA698D" w:rsidRDefault="007C6621" w:rsidP="00BA4F4A">
      <w:pPr>
        <w:spacing w:after="120"/>
        <w:ind w:left="284"/>
        <w:jc w:val="both"/>
        <w:rPr>
          <w:rFonts w:ascii="Times New Roman" w:hAnsi="Times New Roman"/>
          <w:sz w:val="24"/>
          <w:szCs w:val="24"/>
        </w:rPr>
      </w:pPr>
      <w:r>
        <w:rPr>
          <w:rFonts w:ascii="Times New Roman" w:hAnsi="Times New Roman"/>
          <w:sz w:val="24"/>
        </w:rPr>
        <w:t>For grants of this type, proof of economic and financial capacity is provided by the following documents:</w:t>
      </w:r>
    </w:p>
    <w:p w14:paraId="3374BECF" w14:textId="77777777" w:rsidR="008074A6" w:rsidRPr="00B97949" w:rsidRDefault="00E01608" w:rsidP="00873A28">
      <w:pPr>
        <w:numPr>
          <w:ilvl w:val="0"/>
          <w:numId w:val="5"/>
        </w:numPr>
        <w:tabs>
          <w:tab w:val="left" w:pos="1276"/>
        </w:tabs>
        <w:spacing w:after="120"/>
        <w:ind w:left="1276" w:hanging="284"/>
        <w:jc w:val="both"/>
        <w:rPr>
          <w:sz w:val="24"/>
          <w:szCs w:val="24"/>
        </w:rPr>
      </w:pPr>
      <w:r>
        <w:rPr>
          <w:rFonts w:ascii="Times New Roman" w:hAnsi="Times New Roman"/>
          <w:sz w:val="24"/>
        </w:rPr>
        <w:t xml:space="preserve">the </w:t>
      </w:r>
      <w:r w:rsidR="00901F41">
        <w:rPr>
          <w:rFonts w:ascii="Times New Roman" w:hAnsi="Times New Roman"/>
          <w:sz w:val="24"/>
        </w:rPr>
        <w:t xml:space="preserve">declaration </w:t>
      </w:r>
      <w:r>
        <w:rPr>
          <w:rFonts w:ascii="Times New Roman" w:hAnsi="Times New Roman"/>
          <w:sz w:val="24"/>
        </w:rPr>
        <w:t xml:space="preserve">on the honour </w:t>
      </w:r>
      <w:r w:rsidR="00901F41">
        <w:rPr>
          <w:rFonts w:ascii="Times New Roman" w:hAnsi="Times New Roman"/>
          <w:sz w:val="24"/>
        </w:rPr>
        <w:t xml:space="preserve">certifying the economic and financial capacity of the economic operator </w:t>
      </w:r>
      <w:r w:rsidR="00901F41" w:rsidRPr="00D17E1B">
        <w:rPr>
          <w:rFonts w:ascii="Times New Roman" w:hAnsi="Times New Roman"/>
          <w:sz w:val="24"/>
        </w:rPr>
        <w:t xml:space="preserve">(Annex </w:t>
      </w:r>
      <w:r w:rsidR="0057480A" w:rsidRPr="00D17E1B">
        <w:rPr>
          <w:rFonts w:ascii="Times New Roman" w:hAnsi="Times New Roman"/>
          <w:sz w:val="24"/>
        </w:rPr>
        <w:t>2 of the Cal</w:t>
      </w:r>
      <w:r w:rsidR="0057480A" w:rsidRPr="00B855BC">
        <w:rPr>
          <w:rFonts w:ascii="Times New Roman" w:hAnsi="Times New Roman"/>
          <w:sz w:val="24"/>
        </w:rPr>
        <w:t>l for Proposals, "Declaration on honour on exclusion criteria and selection criteria"</w:t>
      </w:r>
      <w:r w:rsidR="00901F41" w:rsidRPr="00B855BC">
        <w:rPr>
          <w:rFonts w:ascii="Times New Roman" w:hAnsi="Times New Roman"/>
          <w:sz w:val="24"/>
        </w:rPr>
        <w:t>);</w:t>
      </w:r>
    </w:p>
    <w:p w14:paraId="789208BF" w14:textId="4158CD3C" w:rsidR="008074A6" w:rsidRPr="00972460" w:rsidRDefault="009C6F7B" w:rsidP="00873A28">
      <w:pPr>
        <w:numPr>
          <w:ilvl w:val="0"/>
          <w:numId w:val="5"/>
        </w:numPr>
        <w:tabs>
          <w:tab w:val="left" w:pos="1276"/>
        </w:tabs>
        <w:spacing w:after="120"/>
        <w:ind w:left="1276" w:hanging="284"/>
        <w:jc w:val="both"/>
        <w:rPr>
          <w:rStyle w:val="Hyperlink"/>
          <w:color w:val="auto"/>
          <w:sz w:val="24"/>
          <w:szCs w:val="24"/>
          <w:u w:val="none"/>
        </w:rPr>
      </w:pPr>
      <w:r w:rsidRPr="00972460">
        <w:rPr>
          <w:rFonts w:ascii="Times New Roman" w:hAnsi="Times New Roman"/>
          <w:sz w:val="24"/>
          <w:szCs w:val="24"/>
        </w:rPr>
        <w:t xml:space="preserve">the </w:t>
      </w:r>
      <w:r w:rsidR="008074A6" w:rsidRPr="00972460">
        <w:rPr>
          <w:rFonts w:ascii="Times New Roman" w:hAnsi="Times New Roman"/>
          <w:sz w:val="24"/>
          <w:szCs w:val="24"/>
        </w:rPr>
        <w:t>balance sheet</w:t>
      </w:r>
      <w:r w:rsidR="00982697" w:rsidRPr="00972460">
        <w:rPr>
          <w:rFonts w:ascii="Times New Roman" w:hAnsi="Times New Roman"/>
          <w:sz w:val="24"/>
          <w:szCs w:val="24"/>
        </w:rPr>
        <w:t>s</w:t>
      </w:r>
      <w:r w:rsidR="008074A6" w:rsidRPr="00972460">
        <w:rPr>
          <w:rFonts w:ascii="Times New Roman" w:hAnsi="Times New Roman"/>
          <w:sz w:val="24"/>
          <w:szCs w:val="24"/>
        </w:rPr>
        <w:t xml:space="preserve">, </w:t>
      </w:r>
      <w:r w:rsidR="002277A1" w:rsidRPr="00972460">
        <w:rPr>
          <w:rFonts w:ascii="Times New Roman" w:hAnsi="Times New Roman"/>
          <w:sz w:val="24"/>
          <w:szCs w:val="24"/>
        </w:rPr>
        <w:t>profit and loss account</w:t>
      </w:r>
      <w:r w:rsidR="00982697" w:rsidRPr="00972460">
        <w:rPr>
          <w:rFonts w:ascii="Times New Roman" w:hAnsi="Times New Roman"/>
          <w:sz w:val="24"/>
          <w:szCs w:val="24"/>
        </w:rPr>
        <w:t>s</w:t>
      </w:r>
      <w:r w:rsidR="002277A1" w:rsidRPr="00972460">
        <w:rPr>
          <w:rFonts w:ascii="Times New Roman" w:hAnsi="Times New Roman"/>
          <w:sz w:val="24"/>
          <w:szCs w:val="24"/>
        </w:rPr>
        <w:t xml:space="preserve"> and other financial supporting documents</w:t>
      </w:r>
      <w:r w:rsidR="00786A67" w:rsidRPr="00972460">
        <w:rPr>
          <w:rFonts w:ascii="Times New Roman" w:hAnsi="Times New Roman"/>
          <w:sz w:val="24"/>
          <w:szCs w:val="24"/>
        </w:rPr>
        <w:t xml:space="preserve"> for the last two most recent closed financial years</w:t>
      </w:r>
      <w:r w:rsidR="002277A1" w:rsidRPr="00972460">
        <w:rPr>
          <w:rFonts w:ascii="Times New Roman" w:hAnsi="Times New Roman"/>
          <w:sz w:val="24"/>
          <w:szCs w:val="24"/>
        </w:rPr>
        <w:t>.</w:t>
      </w:r>
      <w:r w:rsidRPr="00972460">
        <w:rPr>
          <w:rFonts w:ascii="Times New Roman" w:hAnsi="Times New Roman"/>
          <w:sz w:val="24"/>
          <w:szCs w:val="24"/>
        </w:rPr>
        <w:t xml:space="preserve"> </w:t>
      </w:r>
      <w:r w:rsidR="002277A1" w:rsidRPr="00972460">
        <w:rPr>
          <w:rFonts w:ascii="Times New Roman" w:hAnsi="Times New Roman"/>
          <w:sz w:val="24"/>
          <w:szCs w:val="24"/>
        </w:rPr>
        <w:t>T</w:t>
      </w:r>
      <w:r w:rsidR="008074A6" w:rsidRPr="00972460">
        <w:rPr>
          <w:rFonts w:ascii="Times New Roman" w:hAnsi="Times New Roman"/>
          <w:sz w:val="24"/>
          <w:szCs w:val="24"/>
        </w:rPr>
        <w:t>he Central Validation Service may contact the participant at any moment during the procedure and ask for supporting documents. The requests will be made through the Participant Register's messaging system to the e-mail address of the participant's contact person indicated in the register. All necessary details and instructions will be provided via this separate notification. The additional documents that may be requested by the Central Validation Service are listed in the</w:t>
      </w:r>
      <w:r w:rsidR="008074A6" w:rsidRPr="00972460">
        <w:rPr>
          <w:sz w:val="24"/>
          <w:szCs w:val="24"/>
        </w:rPr>
        <w:t xml:space="preserve"> </w:t>
      </w:r>
      <w:hyperlink r:id="rId12" w:history="1">
        <w:r w:rsidR="008074A6" w:rsidRPr="00972460">
          <w:rPr>
            <w:rStyle w:val="Hyperlink"/>
            <w:i/>
            <w:iCs/>
            <w:sz w:val="24"/>
            <w:szCs w:val="24"/>
          </w:rPr>
          <w:t>EU Grants and Tenders Rules on Legal Entity Validation, LEAR appointment and Financial Capacity assessment</w:t>
        </w:r>
      </w:hyperlink>
      <w:r w:rsidR="008074A6" w:rsidRPr="00972460">
        <w:rPr>
          <w:rStyle w:val="Hyperlink"/>
          <w:i/>
          <w:iCs/>
          <w:sz w:val="24"/>
          <w:szCs w:val="24"/>
        </w:rPr>
        <w:t>.</w:t>
      </w:r>
    </w:p>
    <w:p w14:paraId="15667DC7" w14:textId="77777777" w:rsidR="008074A6" w:rsidRDefault="008074A6" w:rsidP="00873A28">
      <w:pPr>
        <w:ind w:left="360"/>
        <w:rPr>
          <w:b/>
          <w:sz w:val="24"/>
          <w:szCs w:val="24"/>
        </w:rPr>
      </w:pPr>
      <w:r>
        <w:rPr>
          <w:b/>
          <w:sz w:val="24"/>
          <w:szCs w:val="24"/>
        </w:rPr>
        <w:t xml:space="preserve">Please note that a request for supporting documents by the </w:t>
      </w:r>
      <w:r>
        <w:rPr>
          <w:b/>
          <w:i/>
          <w:sz w:val="24"/>
          <w:szCs w:val="24"/>
        </w:rPr>
        <w:t>Central Validation Service</w:t>
      </w:r>
      <w:r>
        <w:rPr>
          <w:b/>
          <w:sz w:val="24"/>
          <w:szCs w:val="24"/>
        </w:rPr>
        <w:t xml:space="preserve"> in no way implies that the applicant has been successful.</w:t>
      </w:r>
    </w:p>
    <w:p w14:paraId="24E319A2" w14:textId="64F759E6" w:rsidR="009B1E17" w:rsidRDefault="00825730" w:rsidP="00825730">
      <w:pPr>
        <w:tabs>
          <w:tab w:val="left" w:pos="709"/>
        </w:tabs>
        <w:ind w:left="709" w:hanging="425"/>
        <w:rPr>
          <w:rFonts w:ascii="Times New Roman" w:hAnsi="Times New Roman"/>
          <w:b/>
          <w:i/>
          <w:sz w:val="24"/>
          <w:szCs w:val="24"/>
        </w:rPr>
      </w:pPr>
      <w:r>
        <w:rPr>
          <w:rFonts w:ascii="Times New Roman" w:hAnsi="Times New Roman"/>
          <w:b/>
          <w:i/>
          <w:sz w:val="24"/>
        </w:rPr>
        <w:t>3.3.</w:t>
      </w:r>
      <w:r>
        <w:tab/>
      </w:r>
      <w:r>
        <w:rPr>
          <w:rFonts w:ascii="Times New Roman" w:hAnsi="Times New Roman"/>
          <w:b/>
          <w:i/>
          <w:sz w:val="24"/>
        </w:rPr>
        <w:t>Special cases</w:t>
      </w:r>
    </w:p>
    <w:p w14:paraId="375B2F2C" w14:textId="77777777" w:rsidR="00B81E77" w:rsidRPr="001E5320" w:rsidRDefault="00B81E77" w:rsidP="00921119">
      <w:pPr>
        <w:numPr>
          <w:ilvl w:val="1"/>
          <w:numId w:val="29"/>
        </w:numPr>
        <w:tabs>
          <w:tab w:val="left" w:pos="709"/>
          <w:tab w:val="left" w:pos="993"/>
        </w:tabs>
        <w:ind w:left="709" w:hanging="11"/>
        <w:jc w:val="both"/>
        <w:rPr>
          <w:rFonts w:ascii="Times New Roman" w:hAnsi="Times New Roman"/>
          <w:i/>
          <w:sz w:val="24"/>
          <w:szCs w:val="24"/>
          <w:u w:val="single"/>
        </w:rPr>
      </w:pPr>
      <w:r w:rsidRPr="001E5320">
        <w:rPr>
          <w:rFonts w:ascii="Times New Roman" w:hAnsi="Times New Roman"/>
          <w:i/>
          <w:sz w:val="24"/>
          <w:u w:val="single"/>
        </w:rPr>
        <w:t>Grants with multiple beneficiaries</w:t>
      </w:r>
    </w:p>
    <w:p w14:paraId="402D8439" w14:textId="431AA0D6" w:rsidR="00B81E77" w:rsidRDefault="00B81E77" w:rsidP="009951B0">
      <w:pPr>
        <w:tabs>
          <w:tab w:val="left" w:pos="993"/>
        </w:tabs>
        <w:ind w:left="698"/>
        <w:jc w:val="both"/>
        <w:rPr>
          <w:rFonts w:ascii="Times New Roman" w:hAnsi="Times New Roman"/>
          <w:sz w:val="24"/>
          <w:szCs w:val="24"/>
        </w:rPr>
      </w:pPr>
      <w:r>
        <w:rPr>
          <w:rFonts w:ascii="Times New Roman" w:hAnsi="Times New Roman"/>
          <w:sz w:val="24"/>
        </w:rPr>
        <w:t>For grants with multiple beneficiaries and with a pre-financing value greater than EUR 600 000, proof of financial capacity must be provided as follows:</w:t>
      </w:r>
    </w:p>
    <w:p w14:paraId="2D36655C" w14:textId="77777777" w:rsidR="00B81E77" w:rsidRDefault="00B81E77" w:rsidP="001E5320">
      <w:pPr>
        <w:numPr>
          <w:ilvl w:val="0"/>
          <w:numId w:val="26"/>
        </w:numPr>
        <w:tabs>
          <w:tab w:val="left" w:pos="1276"/>
        </w:tabs>
        <w:ind w:left="1003" w:hanging="283"/>
        <w:jc w:val="both"/>
        <w:rPr>
          <w:rFonts w:ascii="Times New Roman" w:hAnsi="Times New Roman"/>
          <w:sz w:val="24"/>
          <w:szCs w:val="24"/>
        </w:rPr>
      </w:pPr>
      <w:r>
        <w:rPr>
          <w:rFonts w:ascii="Times New Roman" w:hAnsi="Times New Roman"/>
          <w:sz w:val="24"/>
        </w:rPr>
        <w:t>For the co-ordinator: the documents provided for in point 3.2 above;</w:t>
      </w:r>
    </w:p>
    <w:p w14:paraId="1ADB4E6B" w14:textId="77777777" w:rsidR="00B81E77" w:rsidRDefault="00B81E77" w:rsidP="001E5320">
      <w:pPr>
        <w:numPr>
          <w:ilvl w:val="0"/>
          <w:numId w:val="26"/>
        </w:numPr>
        <w:tabs>
          <w:tab w:val="left" w:pos="1276"/>
        </w:tabs>
        <w:ind w:left="1003" w:hanging="283"/>
        <w:jc w:val="both"/>
        <w:rPr>
          <w:rFonts w:ascii="Times New Roman" w:hAnsi="Times New Roman"/>
          <w:sz w:val="24"/>
          <w:szCs w:val="24"/>
        </w:rPr>
      </w:pPr>
      <w:r>
        <w:rPr>
          <w:rFonts w:ascii="Times New Roman" w:hAnsi="Times New Roman"/>
          <w:sz w:val="24"/>
        </w:rPr>
        <w:lastRenderedPageBreak/>
        <w:t xml:space="preserve">For the joint beneficiaries: only the declaration </w:t>
      </w:r>
      <w:r w:rsidR="00E01608">
        <w:rPr>
          <w:rFonts w:ascii="Times New Roman" w:hAnsi="Times New Roman"/>
          <w:sz w:val="24"/>
        </w:rPr>
        <w:t xml:space="preserve">on the honour </w:t>
      </w:r>
      <w:r>
        <w:rPr>
          <w:rFonts w:ascii="Times New Roman" w:hAnsi="Times New Roman"/>
          <w:sz w:val="24"/>
        </w:rPr>
        <w:t>provided for in point 3.2 above.</w:t>
      </w:r>
    </w:p>
    <w:p w14:paraId="6A5C2A19" w14:textId="77777777" w:rsidR="004201CE" w:rsidRPr="000D1E82" w:rsidRDefault="004201CE" w:rsidP="001E5320">
      <w:pPr>
        <w:tabs>
          <w:tab w:val="left" w:pos="1276"/>
        </w:tabs>
        <w:ind w:left="436"/>
        <w:jc w:val="both"/>
        <w:rPr>
          <w:rFonts w:ascii="Times New Roman" w:hAnsi="Times New Roman"/>
          <w:sz w:val="24"/>
          <w:szCs w:val="24"/>
        </w:rPr>
      </w:pPr>
      <w:r>
        <w:rPr>
          <w:rFonts w:ascii="Times New Roman" w:hAnsi="Times New Roman"/>
          <w:sz w:val="24"/>
        </w:rPr>
        <w:t xml:space="preserve">If the value of the pre-financing is EUR 600 000 or less, the declaration </w:t>
      </w:r>
      <w:r w:rsidR="00E01608">
        <w:rPr>
          <w:rFonts w:ascii="Times New Roman" w:hAnsi="Times New Roman"/>
          <w:sz w:val="24"/>
        </w:rPr>
        <w:t xml:space="preserve">on the honour </w:t>
      </w:r>
      <w:r>
        <w:rPr>
          <w:rFonts w:ascii="Times New Roman" w:hAnsi="Times New Roman"/>
          <w:sz w:val="24"/>
        </w:rPr>
        <w:t>provided for in point 3.1 is sufficient and must be provided by both the coordinator and the joint beneficiaries.</w:t>
      </w:r>
    </w:p>
    <w:p w14:paraId="6CC7E901" w14:textId="77777777" w:rsidR="009B1E17" w:rsidRPr="00DA6322" w:rsidRDefault="009B1E17" w:rsidP="001E5320">
      <w:pPr>
        <w:numPr>
          <w:ilvl w:val="0"/>
          <w:numId w:val="29"/>
        </w:numPr>
        <w:tabs>
          <w:tab w:val="left" w:pos="993"/>
        </w:tabs>
        <w:ind w:left="447" w:hanging="11"/>
        <w:jc w:val="both"/>
        <w:rPr>
          <w:rFonts w:ascii="Times New Roman" w:hAnsi="Times New Roman"/>
          <w:i/>
          <w:sz w:val="24"/>
          <w:szCs w:val="24"/>
          <w:u w:val="single"/>
        </w:rPr>
      </w:pPr>
      <w:proofErr w:type="gramStart"/>
      <w:r>
        <w:rPr>
          <w:rFonts w:ascii="Times New Roman" w:hAnsi="Times New Roman"/>
          <w:i/>
          <w:sz w:val="24"/>
          <w:u w:val="single"/>
        </w:rPr>
        <w:t>Recently-created</w:t>
      </w:r>
      <w:proofErr w:type="gramEnd"/>
      <w:r>
        <w:rPr>
          <w:rFonts w:ascii="Times New Roman" w:hAnsi="Times New Roman"/>
          <w:i/>
          <w:sz w:val="24"/>
          <w:u w:val="single"/>
        </w:rPr>
        <w:t xml:space="preserve"> entities (in existence less than one year)</w:t>
      </w:r>
    </w:p>
    <w:p w14:paraId="4C42C918" w14:textId="0DFB5DB1" w:rsidR="00264DEC" w:rsidRDefault="000C431D" w:rsidP="001E5320">
      <w:pPr>
        <w:ind w:left="447"/>
        <w:jc w:val="both"/>
        <w:rPr>
          <w:rFonts w:ascii="Times New Roman" w:hAnsi="Times New Roman"/>
          <w:sz w:val="24"/>
          <w:szCs w:val="24"/>
        </w:rPr>
      </w:pPr>
      <w:r>
        <w:rPr>
          <w:rFonts w:ascii="Times New Roman" w:hAnsi="Times New Roman"/>
          <w:sz w:val="24"/>
        </w:rPr>
        <w:t xml:space="preserve">In the case of </w:t>
      </w:r>
      <w:proofErr w:type="gramStart"/>
      <w:r>
        <w:rPr>
          <w:rFonts w:ascii="Times New Roman" w:hAnsi="Times New Roman"/>
          <w:sz w:val="24"/>
        </w:rPr>
        <w:t>recently-created</w:t>
      </w:r>
      <w:proofErr w:type="gramEnd"/>
      <w:r>
        <w:rPr>
          <w:rFonts w:ascii="Times New Roman" w:hAnsi="Times New Roman"/>
          <w:sz w:val="24"/>
        </w:rPr>
        <w:t xml:space="preserve"> undertakings for which no accounts have yet been approved and which are thus considered high-risk, </w:t>
      </w:r>
      <w:r w:rsidR="00D24554">
        <w:rPr>
          <w:rStyle w:val="CommentReference"/>
        </w:rPr>
        <w:t xml:space="preserve">the Central Validation Service will carry out the financial assessment on the </w:t>
      </w:r>
      <w:proofErr w:type="spellStart"/>
      <w:r w:rsidR="00D24554">
        <w:rPr>
          <w:rStyle w:val="CommentReference"/>
        </w:rPr>
        <w:t>baisis</w:t>
      </w:r>
      <w:proofErr w:type="spellEnd"/>
      <w:r w:rsidR="00D24554">
        <w:rPr>
          <w:rStyle w:val="CommentReference"/>
        </w:rPr>
        <w:t xml:space="preserve"> of a business plan. </w:t>
      </w:r>
      <w:r>
        <w:rPr>
          <w:rFonts w:ascii="Times New Roman" w:hAnsi="Times New Roman"/>
          <w:b/>
          <w:sz w:val="24"/>
        </w:rPr>
        <w:t xml:space="preserve"> </w:t>
      </w:r>
    </w:p>
    <w:p w14:paraId="39296FC4" w14:textId="60A4FFC2" w:rsidR="000C79B3" w:rsidRDefault="000C79B3" w:rsidP="001E5320">
      <w:pPr>
        <w:ind w:left="447"/>
        <w:jc w:val="both"/>
        <w:rPr>
          <w:rFonts w:ascii="Times New Roman" w:hAnsi="Times New Roman"/>
          <w:sz w:val="24"/>
        </w:rPr>
      </w:pPr>
      <w:r>
        <w:rPr>
          <w:rFonts w:ascii="Times New Roman" w:hAnsi="Times New Roman"/>
          <w:sz w:val="24"/>
        </w:rPr>
        <w:t>For low-value grants</w:t>
      </w:r>
      <w:r w:rsidR="00D24554">
        <w:rPr>
          <w:rFonts w:ascii="Times New Roman" w:hAnsi="Times New Roman"/>
          <w:sz w:val="24"/>
        </w:rPr>
        <w:t xml:space="preserve"> (grants below EUR 60 000)</w:t>
      </w:r>
      <w:r>
        <w:rPr>
          <w:rFonts w:ascii="Times New Roman" w:hAnsi="Times New Roman"/>
          <w:sz w:val="24"/>
        </w:rPr>
        <w:t xml:space="preserve"> the declaration </w:t>
      </w:r>
      <w:r w:rsidR="00E01608">
        <w:rPr>
          <w:rFonts w:ascii="Times New Roman" w:hAnsi="Times New Roman"/>
          <w:sz w:val="24"/>
        </w:rPr>
        <w:t xml:space="preserve">on the honour </w:t>
      </w:r>
      <w:r>
        <w:rPr>
          <w:rFonts w:ascii="Times New Roman" w:hAnsi="Times New Roman"/>
          <w:sz w:val="24"/>
        </w:rPr>
        <w:t xml:space="preserve">in </w:t>
      </w:r>
      <w:r w:rsidRPr="00B855BC">
        <w:rPr>
          <w:rFonts w:ascii="Times New Roman" w:hAnsi="Times New Roman"/>
          <w:sz w:val="24"/>
        </w:rPr>
        <w:t xml:space="preserve">Annex </w:t>
      </w:r>
      <w:r w:rsidR="0057480A" w:rsidRPr="00B855BC">
        <w:rPr>
          <w:rFonts w:ascii="Times New Roman" w:hAnsi="Times New Roman"/>
          <w:sz w:val="24"/>
        </w:rPr>
        <w:t>2</w:t>
      </w:r>
      <w:r w:rsidR="0057480A" w:rsidRPr="004E70B9">
        <w:rPr>
          <w:rFonts w:ascii="Times New Roman" w:hAnsi="Times New Roman"/>
          <w:sz w:val="24"/>
        </w:rPr>
        <w:t xml:space="preserve"> </w:t>
      </w:r>
      <w:r w:rsidR="0057480A" w:rsidRPr="00B855BC">
        <w:rPr>
          <w:rFonts w:ascii="Times New Roman" w:hAnsi="Times New Roman"/>
          <w:sz w:val="24"/>
        </w:rPr>
        <w:t>of the Call for Proposals, "Declaration on honour on exclusion criteria and selection criteria"</w:t>
      </w:r>
      <w:r>
        <w:rPr>
          <w:rFonts w:ascii="Times New Roman" w:hAnsi="Times New Roman"/>
          <w:sz w:val="24"/>
        </w:rPr>
        <w:t xml:space="preserve"> will suffice. </w:t>
      </w:r>
    </w:p>
    <w:p w14:paraId="05B18813" w14:textId="77777777" w:rsidR="00555E5C" w:rsidRDefault="00215EA5" w:rsidP="001E5320">
      <w:pPr>
        <w:numPr>
          <w:ilvl w:val="0"/>
          <w:numId w:val="29"/>
        </w:numPr>
        <w:tabs>
          <w:tab w:val="left" w:pos="993"/>
        </w:tabs>
        <w:ind w:left="447" w:hanging="11"/>
        <w:jc w:val="both"/>
        <w:rPr>
          <w:rFonts w:ascii="Times New Roman" w:hAnsi="Times New Roman"/>
          <w:i/>
          <w:sz w:val="24"/>
          <w:szCs w:val="24"/>
          <w:u w:val="single"/>
        </w:rPr>
      </w:pPr>
      <w:r>
        <w:rPr>
          <w:rFonts w:ascii="Times New Roman" w:hAnsi="Times New Roman"/>
          <w:i/>
          <w:sz w:val="24"/>
          <w:u w:val="single"/>
        </w:rPr>
        <w:t xml:space="preserve">Applicants without legal personality </w:t>
      </w:r>
    </w:p>
    <w:p w14:paraId="06BDFA87" w14:textId="7E25507C" w:rsidR="00CE51CE" w:rsidRPr="00ED69F8" w:rsidRDefault="00CE51CE" w:rsidP="001E5320">
      <w:pPr>
        <w:ind w:left="447"/>
        <w:jc w:val="both"/>
        <w:rPr>
          <w:rFonts w:ascii="Times New Roman" w:hAnsi="Times New Roman"/>
          <w:sz w:val="24"/>
          <w:szCs w:val="24"/>
        </w:rPr>
      </w:pPr>
      <w:r>
        <w:rPr>
          <w:rFonts w:ascii="Times New Roman" w:hAnsi="Times New Roman"/>
          <w:sz w:val="24"/>
        </w:rPr>
        <w:t xml:space="preserve">In accordance with </w:t>
      </w:r>
      <w:r w:rsidRPr="00B855BC">
        <w:rPr>
          <w:rFonts w:ascii="Times New Roman" w:hAnsi="Times New Roman"/>
          <w:sz w:val="24"/>
        </w:rPr>
        <w:t xml:space="preserve">Article </w:t>
      </w:r>
      <w:r w:rsidR="00972460">
        <w:rPr>
          <w:rFonts w:ascii="Times New Roman" w:hAnsi="Times New Roman"/>
          <w:sz w:val="24"/>
          <w:szCs w:val="24"/>
        </w:rPr>
        <w:t>200</w:t>
      </w:r>
      <w:r w:rsidR="00B855BC">
        <w:rPr>
          <w:rFonts w:ascii="Times New Roman" w:hAnsi="Times New Roman"/>
          <w:sz w:val="24"/>
          <w:szCs w:val="24"/>
        </w:rPr>
        <w:t>(</w:t>
      </w:r>
      <w:r w:rsidR="00B855BC" w:rsidRPr="00DA67D7">
        <w:rPr>
          <w:rFonts w:ascii="Times New Roman" w:hAnsi="Times New Roman"/>
          <w:sz w:val="24"/>
          <w:szCs w:val="24"/>
        </w:rPr>
        <w:t>2</w:t>
      </w:r>
      <w:r w:rsidR="00B855BC">
        <w:rPr>
          <w:rFonts w:ascii="Times New Roman" w:hAnsi="Times New Roman"/>
          <w:sz w:val="24"/>
          <w:szCs w:val="24"/>
        </w:rPr>
        <w:t>) of the FR</w:t>
      </w:r>
      <w:r w:rsidRPr="00B855BC">
        <w:rPr>
          <w:rFonts w:ascii="Times New Roman" w:hAnsi="Times New Roman"/>
          <w:sz w:val="24"/>
        </w:rPr>
        <w:t>,</w:t>
      </w:r>
      <w:r>
        <w:rPr>
          <w:rFonts w:ascii="Times New Roman" w:hAnsi="Times New Roman"/>
          <w:sz w:val="24"/>
        </w:rPr>
        <w:t xml:space="preserve"> in the case of grant applicants without a legal personality, the representatives of this applicant must prove their financial capacity using the documents or means provided for above for legal persons, according to the appropriate hypothetical cases presented in point 3.</w:t>
      </w:r>
    </w:p>
    <w:p w14:paraId="4140B44E" w14:textId="77777777" w:rsidR="00DB3D20" w:rsidRPr="00AE66E3" w:rsidRDefault="002664E7" w:rsidP="001E5320">
      <w:pPr>
        <w:numPr>
          <w:ilvl w:val="0"/>
          <w:numId w:val="29"/>
        </w:numPr>
        <w:tabs>
          <w:tab w:val="left" w:pos="993"/>
        </w:tabs>
        <w:ind w:left="447" w:hanging="11"/>
        <w:jc w:val="both"/>
        <w:rPr>
          <w:rFonts w:ascii="Times New Roman" w:hAnsi="Times New Roman"/>
          <w:i/>
          <w:sz w:val="24"/>
          <w:szCs w:val="24"/>
          <w:u w:val="single"/>
        </w:rPr>
      </w:pPr>
      <w:r>
        <w:rPr>
          <w:rFonts w:ascii="Times New Roman" w:hAnsi="Times New Roman"/>
          <w:i/>
          <w:sz w:val="24"/>
          <w:u w:val="single"/>
        </w:rPr>
        <w:t>E</w:t>
      </w:r>
      <w:r w:rsidR="00DB3D20">
        <w:rPr>
          <w:rFonts w:ascii="Times New Roman" w:hAnsi="Times New Roman"/>
          <w:i/>
          <w:sz w:val="24"/>
          <w:u w:val="single"/>
        </w:rPr>
        <w:t>ntities</w:t>
      </w:r>
      <w:r>
        <w:rPr>
          <w:rFonts w:ascii="Times New Roman" w:hAnsi="Times New Roman"/>
          <w:i/>
          <w:sz w:val="24"/>
          <w:u w:val="single"/>
        </w:rPr>
        <w:t xml:space="preserve"> appl</w:t>
      </w:r>
      <w:r w:rsidR="00773479">
        <w:rPr>
          <w:rFonts w:ascii="Times New Roman" w:hAnsi="Times New Roman"/>
          <w:i/>
          <w:sz w:val="24"/>
          <w:u w:val="single"/>
        </w:rPr>
        <w:t>ying as a group</w:t>
      </w:r>
    </w:p>
    <w:p w14:paraId="6A51F511" w14:textId="77777777" w:rsidR="00DB3D20" w:rsidRDefault="002664E7" w:rsidP="001E5320">
      <w:pPr>
        <w:ind w:left="447"/>
        <w:jc w:val="both"/>
        <w:rPr>
          <w:rFonts w:ascii="Times New Roman" w:hAnsi="Times New Roman"/>
          <w:sz w:val="24"/>
          <w:szCs w:val="24"/>
        </w:rPr>
      </w:pPr>
      <w:r>
        <w:rPr>
          <w:rFonts w:ascii="Times New Roman" w:hAnsi="Times New Roman"/>
          <w:sz w:val="24"/>
        </w:rPr>
        <w:t>I</w:t>
      </w:r>
      <w:r w:rsidRPr="002664E7">
        <w:rPr>
          <w:rFonts w:ascii="Times New Roman" w:hAnsi="Times New Roman"/>
          <w:sz w:val="24"/>
        </w:rPr>
        <w:t xml:space="preserve">f several applicants apply as a group in a multi-beneficiary call and together form one entity, that entity may be treated by the authorising officer responsible as the sole applicant, provided that the application identifies the entities involved in the proposed action or work programme as part of the applicant. </w:t>
      </w:r>
    </w:p>
    <w:p w14:paraId="65337A1F" w14:textId="77777777" w:rsidR="00C50E76" w:rsidRPr="00AE66E3" w:rsidRDefault="00C50E76" w:rsidP="001E5320">
      <w:pPr>
        <w:ind w:left="447"/>
        <w:jc w:val="both"/>
        <w:rPr>
          <w:rFonts w:ascii="Times New Roman" w:hAnsi="Times New Roman"/>
          <w:sz w:val="24"/>
          <w:szCs w:val="24"/>
        </w:rPr>
      </w:pPr>
      <w:r>
        <w:rPr>
          <w:rFonts w:ascii="Times New Roman" w:hAnsi="Times New Roman"/>
          <w:sz w:val="24"/>
        </w:rPr>
        <w:t>Proof of financial capacity will be provided for each of the entities, according to the appropriate hypothetical cases presented in point 3.</w:t>
      </w:r>
    </w:p>
    <w:p w14:paraId="77A00522" w14:textId="77777777" w:rsidR="00B81E77" w:rsidRPr="00921119" w:rsidRDefault="00B81E77" w:rsidP="00921119">
      <w:pPr>
        <w:tabs>
          <w:tab w:val="left" w:pos="709"/>
        </w:tabs>
        <w:ind w:left="284"/>
        <w:jc w:val="both"/>
        <w:rPr>
          <w:rFonts w:ascii="Times New Roman" w:hAnsi="Times New Roman"/>
          <w:b/>
          <w:i/>
          <w:sz w:val="24"/>
          <w:szCs w:val="24"/>
        </w:rPr>
      </w:pPr>
      <w:r>
        <w:rPr>
          <w:rFonts w:ascii="Times New Roman" w:hAnsi="Times New Roman"/>
          <w:b/>
          <w:i/>
          <w:sz w:val="24"/>
        </w:rPr>
        <w:t>3.4. Action grants &gt; EUR 750 000 and operating grants &gt; EUR 100 000</w:t>
      </w:r>
    </w:p>
    <w:p w14:paraId="50F1DA45" w14:textId="788D9AAE" w:rsidR="00B81E77" w:rsidRPr="004E70B9" w:rsidRDefault="00B81E77" w:rsidP="004E70B9">
      <w:pPr>
        <w:pStyle w:val="CM3"/>
        <w:spacing w:before="60" w:after="60"/>
        <w:jc w:val="both"/>
        <w:rPr>
          <w:rFonts w:cs="EUAlbertina"/>
          <w:color w:val="000000"/>
        </w:rPr>
      </w:pPr>
      <w:r>
        <w:rPr>
          <w:rFonts w:ascii="Times New Roman" w:hAnsi="Times New Roman"/>
        </w:rPr>
        <w:t xml:space="preserve">In addition to the documents required in points 3.1, 3.2 and 3.3 above, </w:t>
      </w:r>
      <w:r w:rsidRPr="006F14BD">
        <w:rPr>
          <w:rFonts w:ascii="Times New Roman" w:hAnsi="Times New Roman"/>
        </w:rPr>
        <w:t xml:space="preserve">Article </w:t>
      </w:r>
      <w:r w:rsidR="00972460">
        <w:rPr>
          <w:rFonts w:ascii="Times New Roman" w:hAnsi="Times New Roman"/>
        </w:rPr>
        <w:t>199</w:t>
      </w:r>
      <w:r w:rsidR="006F14BD" w:rsidRPr="004E70B9">
        <w:rPr>
          <w:rFonts w:ascii="Times New Roman" w:hAnsi="Times New Roman"/>
        </w:rPr>
        <w:t>(1)</w:t>
      </w:r>
      <w:r w:rsidR="00B1298F">
        <w:rPr>
          <w:rFonts w:ascii="Times New Roman" w:hAnsi="Times New Roman"/>
        </w:rPr>
        <w:t>(d)</w:t>
      </w:r>
      <w:r w:rsidRPr="006F14BD">
        <w:rPr>
          <w:rFonts w:ascii="Times New Roman" w:hAnsi="Times New Roman"/>
        </w:rPr>
        <w:t xml:space="preserve"> of the </w:t>
      </w:r>
      <w:r w:rsidR="006F14BD" w:rsidRPr="004E70B9">
        <w:rPr>
          <w:rFonts w:ascii="Times New Roman" w:hAnsi="Times New Roman"/>
        </w:rPr>
        <w:t>FR</w:t>
      </w:r>
      <w:r w:rsidRPr="006F14BD">
        <w:rPr>
          <w:rFonts w:ascii="Times New Roman" w:hAnsi="Times New Roman"/>
        </w:rPr>
        <w:t xml:space="preserve"> states</w:t>
      </w:r>
      <w:r>
        <w:rPr>
          <w:rFonts w:ascii="Times New Roman" w:hAnsi="Times New Roman"/>
        </w:rPr>
        <w:t xml:space="preserve"> that for action grants exceeding EUR 750 000 or operating grants exceeding EUR 100 000, an audit report produced by an approved external auditor</w:t>
      </w:r>
      <w:r w:rsidR="0021438A">
        <w:rPr>
          <w:rFonts w:ascii="Times New Roman" w:hAnsi="Times New Roman"/>
        </w:rPr>
        <w:t xml:space="preserve"> shall be provided</w:t>
      </w:r>
      <w:r w:rsidR="006F14BD">
        <w:rPr>
          <w:rFonts w:ascii="Times New Roman" w:hAnsi="Times New Roman"/>
        </w:rPr>
        <w:t>, where it is available,</w:t>
      </w:r>
      <w:r w:rsidR="006F14BD" w:rsidRPr="004E70B9">
        <w:rPr>
          <w:rFonts w:ascii="Times New Roman" w:hAnsi="Times New Roman"/>
        </w:rPr>
        <w:t xml:space="preserve"> and always in cases where a statutory audit is required by Union or national law. In all other cases, the applicant shall provide a self-declaration signed by its authorised representative certifying the validity of its accounts</w:t>
      </w:r>
      <w:r w:rsidRPr="006F14BD">
        <w:rPr>
          <w:rFonts w:ascii="Times New Roman" w:hAnsi="Times New Roman"/>
        </w:rPr>
        <w:t xml:space="preserve">.  </w:t>
      </w:r>
      <w:r w:rsidR="0021438A">
        <w:rPr>
          <w:rFonts w:ascii="Times New Roman" w:hAnsi="Times New Roman"/>
        </w:rPr>
        <w:t xml:space="preserve">The audit report, </w:t>
      </w:r>
      <w:r w:rsidR="00936E11">
        <w:rPr>
          <w:rFonts w:ascii="Times New Roman" w:hAnsi="Times New Roman"/>
        </w:rPr>
        <w:t>or</w:t>
      </w:r>
      <w:r w:rsidR="0021438A">
        <w:rPr>
          <w:rFonts w:ascii="Times New Roman" w:hAnsi="Times New Roman"/>
        </w:rPr>
        <w:t xml:space="preserve"> the </w:t>
      </w:r>
      <w:r w:rsidR="0021438A" w:rsidRPr="004E70B9">
        <w:rPr>
          <w:rFonts w:ascii="Times New Roman" w:hAnsi="Times New Roman"/>
        </w:rPr>
        <w:t>self-declaration</w:t>
      </w:r>
      <w:r w:rsidR="0021438A" w:rsidRPr="006F14BD">
        <w:rPr>
          <w:rFonts w:ascii="Times New Roman" w:hAnsi="Times New Roman"/>
        </w:rPr>
        <w:t xml:space="preserve"> </w:t>
      </w:r>
      <w:r w:rsidR="0021438A" w:rsidRPr="004E70B9">
        <w:rPr>
          <w:rFonts w:ascii="Times New Roman" w:hAnsi="Times New Roman"/>
        </w:rPr>
        <w:t>certifying the validity of its accounts</w:t>
      </w:r>
      <w:r w:rsidR="0021438A">
        <w:rPr>
          <w:rFonts w:ascii="Times New Roman" w:hAnsi="Times New Roman"/>
        </w:rPr>
        <w:t>, shall be provided for the</w:t>
      </w:r>
      <w:r w:rsidR="0021438A" w:rsidRPr="0021438A">
        <w:rPr>
          <w:rFonts w:ascii="Times New Roman" w:hAnsi="Times New Roman"/>
        </w:rPr>
        <w:t xml:space="preserve"> </w:t>
      </w:r>
      <w:r w:rsidR="0021438A">
        <w:rPr>
          <w:rFonts w:ascii="Times New Roman" w:hAnsi="Times New Roman"/>
        </w:rPr>
        <w:t xml:space="preserve">last two most recent closed financial years. </w:t>
      </w:r>
      <w:r w:rsidRPr="006F14BD">
        <w:rPr>
          <w:rFonts w:ascii="Times New Roman" w:hAnsi="Times New Roman"/>
        </w:rPr>
        <w:t>It also provides for exceptions:</w:t>
      </w:r>
    </w:p>
    <w:p w14:paraId="694F58B7" w14:textId="6BF82BC7" w:rsidR="00B81E77" w:rsidRPr="00CA698D" w:rsidRDefault="00B81E77" w:rsidP="00B81E77">
      <w:pPr>
        <w:numPr>
          <w:ilvl w:val="0"/>
          <w:numId w:val="6"/>
        </w:numPr>
        <w:tabs>
          <w:tab w:val="left" w:pos="1276"/>
        </w:tabs>
        <w:spacing w:after="120"/>
        <w:ind w:left="1276" w:hanging="284"/>
        <w:jc w:val="both"/>
        <w:rPr>
          <w:rFonts w:ascii="Times New Roman" w:hAnsi="Times New Roman"/>
          <w:sz w:val="24"/>
          <w:szCs w:val="24"/>
        </w:rPr>
      </w:pPr>
      <w:r>
        <w:rPr>
          <w:rFonts w:ascii="Times New Roman" w:hAnsi="Times New Roman"/>
          <w:sz w:val="24"/>
        </w:rPr>
        <w:t>the obligation to provide an audit report applies only to the first application</w:t>
      </w:r>
      <w:r w:rsidR="009951B0">
        <w:rPr>
          <w:rFonts w:ascii="Times New Roman" w:hAnsi="Times New Roman"/>
          <w:sz w:val="24"/>
        </w:rPr>
        <w:t xml:space="preserve"> for a grant </w:t>
      </w:r>
      <w:r w:rsidR="009951B0">
        <w:t>above the thresholds stated in 3.4</w:t>
      </w:r>
      <w:r>
        <w:rPr>
          <w:rFonts w:ascii="Times New Roman" w:hAnsi="Times New Roman"/>
          <w:sz w:val="24"/>
        </w:rPr>
        <w:t xml:space="preserve"> by a given beneficiary in a</w:t>
      </w:r>
      <w:r w:rsidR="00B1298F">
        <w:rPr>
          <w:rFonts w:ascii="Times New Roman" w:hAnsi="Times New Roman"/>
          <w:sz w:val="24"/>
        </w:rPr>
        <w:t>ny one financial</w:t>
      </w:r>
      <w:r>
        <w:rPr>
          <w:rFonts w:ascii="Times New Roman" w:hAnsi="Times New Roman"/>
          <w:sz w:val="24"/>
        </w:rPr>
        <w:t xml:space="preserve"> year;</w:t>
      </w:r>
    </w:p>
    <w:p w14:paraId="240B418B" w14:textId="5E08F95B" w:rsidR="00B81E77" w:rsidRPr="005F1EA4" w:rsidRDefault="00B81E77" w:rsidP="00B81E77">
      <w:pPr>
        <w:numPr>
          <w:ilvl w:val="0"/>
          <w:numId w:val="6"/>
        </w:numPr>
        <w:tabs>
          <w:tab w:val="left" w:pos="1276"/>
        </w:tabs>
        <w:spacing w:after="120"/>
        <w:ind w:left="1276" w:hanging="284"/>
        <w:jc w:val="both"/>
        <w:rPr>
          <w:rFonts w:ascii="Times New Roman" w:hAnsi="Times New Roman"/>
          <w:sz w:val="24"/>
          <w:szCs w:val="24"/>
        </w:rPr>
      </w:pPr>
      <w:r>
        <w:rPr>
          <w:rFonts w:ascii="Times New Roman" w:hAnsi="Times New Roman"/>
          <w:sz w:val="24"/>
        </w:rPr>
        <w:lastRenderedPageBreak/>
        <w:t xml:space="preserve">it does not apply to public bodies or to the international organisations referred to in </w:t>
      </w:r>
      <w:r w:rsidRPr="005F1EA4">
        <w:rPr>
          <w:rFonts w:ascii="Times New Roman" w:hAnsi="Times New Roman"/>
          <w:sz w:val="24"/>
        </w:rPr>
        <w:t xml:space="preserve">Article </w:t>
      </w:r>
      <w:r w:rsidR="00972460">
        <w:rPr>
          <w:rFonts w:ascii="Times New Roman" w:hAnsi="Times New Roman"/>
          <w:sz w:val="24"/>
        </w:rPr>
        <w:t>159</w:t>
      </w:r>
      <w:r w:rsidR="00972460" w:rsidRPr="005F1EA4">
        <w:rPr>
          <w:rFonts w:ascii="Times New Roman" w:hAnsi="Times New Roman"/>
          <w:sz w:val="24"/>
        </w:rPr>
        <w:t xml:space="preserve"> </w:t>
      </w:r>
      <w:r w:rsidRPr="005F1EA4">
        <w:rPr>
          <w:rFonts w:ascii="Times New Roman" w:hAnsi="Times New Roman"/>
          <w:sz w:val="24"/>
        </w:rPr>
        <w:t xml:space="preserve">of the </w:t>
      </w:r>
      <w:r w:rsidR="00B1298F" w:rsidRPr="004E70B9">
        <w:rPr>
          <w:rFonts w:ascii="Times New Roman" w:hAnsi="Times New Roman"/>
          <w:sz w:val="24"/>
        </w:rPr>
        <w:t>F</w:t>
      </w:r>
      <w:r w:rsidRPr="005F1EA4">
        <w:rPr>
          <w:rFonts w:ascii="Times New Roman" w:hAnsi="Times New Roman"/>
          <w:sz w:val="24"/>
        </w:rPr>
        <w:t>R;</w:t>
      </w:r>
    </w:p>
    <w:p w14:paraId="5EDE3BE6" w14:textId="43676512" w:rsidR="00B81E77" w:rsidRPr="006C400E" w:rsidRDefault="00427185" w:rsidP="00B81E77">
      <w:pPr>
        <w:numPr>
          <w:ilvl w:val="0"/>
          <w:numId w:val="6"/>
        </w:numPr>
        <w:tabs>
          <w:tab w:val="left" w:pos="1276"/>
        </w:tabs>
        <w:ind w:left="1276" w:hanging="283"/>
        <w:jc w:val="both"/>
        <w:rPr>
          <w:rFonts w:ascii="Times New Roman" w:hAnsi="Times New Roman"/>
          <w:sz w:val="24"/>
          <w:szCs w:val="24"/>
        </w:rPr>
      </w:pPr>
      <w:r w:rsidRPr="00456967">
        <w:rPr>
          <w:rFonts w:ascii="Times New Roman" w:hAnsi="Times New Roman"/>
          <w:sz w:val="24"/>
        </w:rPr>
        <w:t xml:space="preserve">it is possible to decide, depending on a risk assessment, to wave this obligation for education and training establishments and, in the case of agreements with </w:t>
      </w:r>
      <w:proofErr w:type="gramStart"/>
      <w:r w:rsidRPr="00456967">
        <w:rPr>
          <w:rFonts w:ascii="Times New Roman" w:hAnsi="Times New Roman"/>
          <w:sz w:val="24"/>
        </w:rPr>
        <w:t>a number of</w:t>
      </w:r>
      <w:proofErr w:type="gramEnd"/>
      <w:r w:rsidRPr="00456967">
        <w:rPr>
          <w:rFonts w:ascii="Times New Roman" w:hAnsi="Times New Roman"/>
          <w:sz w:val="24"/>
        </w:rPr>
        <w:t xml:space="preserve"> beneficiaries, beneficiaries who have accepted joint and several liabilities or who do not bear any financial responsibility</w:t>
      </w:r>
      <w:r w:rsidR="00B81E77">
        <w:rPr>
          <w:rFonts w:ascii="Times New Roman" w:hAnsi="Times New Roman"/>
          <w:sz w:val="24"/>
        </w:rPr>
        <w:t>.</w:t>
      </w:r>
    </w:p>
    <w:p w14:paraId="709D458B" w14:textId="77777777" w:rsidR="006C400E" w:rsidRDefault="006C400E" w:rsidP="006C400E">
      <w:pPr>
        <w:tabs>
          <w:tab w:val="left" w:pos="1276"/>
        </w:tabs>
        <w:ind w:left="1276"/>
        <w:jc w:val="both"/>
        <w:rPr>
          <w:rFonts w:ascii="Times New Roman" w:hAnsi="Times New Roman"/>
          <w:sz w:val="24"/>
          <w:szCs w:val="24"/>
        </w:rPr>
      </w:pPr>
    </w:p>
    <w:p w14:paraId="167CFBEC" w14:textId="7CFD9EB2" w:rsidR="000C1608" w:rsidRPr="00CA698D" w:rsidRDefault="00D53E3F" w:rsidP="00F3568C">
      <w:pPr>
        <w:numPr>
          <w:ilvl w:val="0"/>
          <w:numId w:val="34"/>
        </w:numPr>
        <w:tabs>
          <w:tab w:val="left" w:pos="284"/>
        </w:tabs>
        <w:spacing w:after="240"/>
        <w:jc w:val="both"/>
        <w:rPr>
          <w:rFonts w:ascii="Times New Roman" w:hAnsi="Times New Roman"/>
          <w:b/>
          <w:smallCaps/>
          <w:sz w:val="24"/>
          <w:szCs w:val="24"/>
          <w:u w:val="single"/>
        </w:rPr>
      </w:pPr>
      <w:bookmarkStart w:id="1" w:name="_Hlk102141434"/>
      <w:r>
        <w:rPr>
          <w:rFonts w:ascii="Times New Roman" w:hAnsi="Times New Roman"/>
          <w:b/>
          <w:smallCaps/>
          <w:sz w:val="24"/>
          <w:u w:val="single"/>
        </w:rPr>
        <w:t>Financial analysis and interpretation of the results</w:t>
      </w:r>
    </w:p>
    <w:p w14:paraId="53D95A82" w14:textId="5CEAEF8B" w:rsidR="000C1608" w:rsidRPr="008F4976" w:rsidRDefault="003F1532" w:rsidP="001E5320">
      <w:pPr>
        <w:jc w:val="both"/>
        <w:rPr>
          <w:rFonts w:ascii="Times New Roman" w:hAnsi="Times New Roman"/>
          <w:sz w:val="24"/>
          <w:szCs w:val="24"/>
        </w:rPr>
      </w:pPr>
      <w:r>
        <w:rPr>
          <w:rFonts w:ascii="Times New Roman" w:hAnsi="Times New Roman"/>
          <w:sz w:val="24"/>
        </w:rPr>
        <w:t xml:space="preserve">The financial analysis involves calculating a series of financial ratios based on the data declared </w:t>
      </w:r>
      <w:r w:rsidR="00B1298F">
        <w:rPr>
          <w:rFonts w:ascii="Times New Roman" w:hAnsi="Times New Roman"/>
          <w:sz w:val="24"/>
        </w:rPr>
        <w:t>on</w:t>
      </w:r>
      <w:r>
        <w:rPr>
          <w:rFonts w:ascii="Times New Roman" w:hAnsi="Times New Roman"/>
          <w:sz w:val="24"/>
        </w:rPr>
        <w:t xml:space="preserve"> the </w:t>
      </w:r>
      <w:r w:rsidR="00936E11">
        <w:rPr>
          <w:rFonts w:ascii="Times New Roman" w:hAnsi="Times New Roman"/>
          <w:sz w:val="24"/>
        </w:rPr>
        <w:t xml:space="preserve">provided </w:t>
      </w:r>
      <w:r>
        <w:rPr>
          <w:rFonts w:ascii="Times New Roman" w:hAnsi="Times New Roman"/>
          <w:sz w:val="24"/>
        </w:rPr>
        <w:t>financial documents.</w:t>
      </w:r>
    </w:p>
    <w:p w14:paraId="742AE8A9" w14:textId="488B236C" w:rsidR="00F3568C" w:rsidRPr="00F3568C" w:rsidRDefault="00861231" w:rsidP="00F3568C">
      <w:pPr>
        <w:numPr>
          <w:ilvl w:val="1"/>
          <w:numId w:val="12"/>
        </w:numPr>
        <w:tabs>
          <w:tab w:val="left" w:pos="709"/>
        </w:tabs>
        <w:ind w:left="709" w:hanging="425"/>
        <w:jc w:val="both"/>
        <w:rPr>
          <w:rFonts w:ascii="Times New Roman" w:hAnsi="Times New Roman"/>
          <w:b/>
          <w:i/>
          <w:sz w:val="24"/>
          <w:szCs w:val="24"/>
        </w:rPr>
      </w:pPr>
      <w:r>
        <w:rPr>
          <w:rFonts w:ascii="Times New Roman" w:hAnsi="Times New Roman"/>
          <w:b/>
          <w:i/>
          <w:sz w:val="24"/>
        </w:rPr>
        <w:t>Financial ratios</w:t>
      </w:r>
    </w:p>
    <w:p w14:paraId="2AB579BB" w14:textId="6CE60E90" w:rsidR="00C659AC" w:rsidRDefault="00C659AC" w:rsidP="00C659AC">
      <w:pPr>
        <w:spacing w:after="0"/>
        <w:jc w:val="both"/>
        <w:rPr>
          <w:rFonts w:ascii="Times New Roman" w:hAnsi="Times New Roman"/>
          <w:b/>
          <w:color w:val="000000"/>
          <w:sz w:val="24"/>
        </w:rPr>
      </w:pPr>
      <w:r w:rsidRPr="00C659AC">
        <w:rPr>
          <w:rFonts w:ascii="Times New Roman" w:hAnsi="Times New Roman"/>
          <w:b/>
          <w:color w:val="000000"/>
          <w:sz w:val="24"/>
        </w:rPr>
        <w:t>LIQUIDITY</w:t>
      </w:r>
    </w:p>
    <w:p w14:paraId="50C99F20" w14:textId="77777777" w:rsidR="00C659AC" w:rsidRDefault="00C659AC" w:rsidP="00C659AC">
      <w:pPr>
        <w:spacing w:after="0"/>
        <w:jc w:val="both"/>
        <w:rPr>
          <w:rFonts w:ascii="Times New Roman" w:hAnsi="Times New Roman"/>
          <w:b/>
          <w:color w:val="000000"/>
          <w:sz w:val="24"/>
        </w:rPr>
      </w:pPr>
    </w:p>
    <w:p w14:paraId="73B859F6" w14:textId="52FE8474" w:rsidR="00C659AC" w:rsidRPr="00C659AC" w:rsidRDefault="00C659AC" w:rsidP="00C659AC">
      <w:pPr>
        <w:spacing w:after="0"/>
        <w:jc w:val="both"/>
        <w:rPr>
          <w:rFonts w:ascii="Times New Roman" w:hAnsi="Times New Roman"/>
          <w:b/>
          <w:color w:val="000000"/>
          <w:sz w:val="24"/>
        </w:rPr>
      </w:pPr>
      <w:r w:rsidRPr="00C659AC">
        <w:rPr>
          <w:rFonts w:ascii="Times New Roman" w:hAnsi="Times New Roman"/>
          <w:bCs/>
          <w:color w:val="000000"/>
          <w:sz w:val="24"/>
        </w:rPr>
        <w:t xml:space="preserve">The liquidity ratio shows the entities’ </w:t>
      </w:r>
      <w:r w:rsidRPr="00C659AC">
        <w:rPr>
          <w:rFonts w:ascii="Times New Roman" w:hAnsi="Times New Roman"/>
          <w:b/>
          <w:color w:val="000000"/>
          <w:sz w:val="24"/>
        </w:rPr>
        <w:t>ability to cover its immediate short-term</w:t>
      </w:r>
      <w:r>
        <w:rPr>
          <w:rFonts w:ascii="Times New Roman" w:hAnsi="Times New Roman"/>
          <w:b/>
          <w:color w:val="000000"/>
          <w:sz w:val="24"/>
        </w:rPr>
        <w:t xml:space="preserve"> </w:t>
      </w:r>
      <w:r w:rsidRPr="00C659AC">
        <w:rPr>
          <w:rFonts w:ascii="Times New Roman" w:hAnsi="Times New Roman"/>
          <w:b/>
          <w:color w:val="000000"/>
          <w:sz w:val="24"/>
        </w:rPr>
        <w:t>commitments</w:t>
      </w:r>
      <w:r w:rsidRPr="00C659AC">
        <w:rPr>
          <w:rFonts w:ascii="Times New Roman" w:hAnsi="Times New Roman"/>
          <w:bCs/>
          <w:color w:val="000000"/>
          <w:sz w:val="24"/>
        </w:rPr>
        <w:t>, respond to emergencies and exploit immediate short-term financial</w:t>
      </w:r>
      <w:r>
        <w:rPr>
          <w:rFonts w:ascii="Times New Roman" w:hAnsi="Times New Roman"/>
          <w:b/>
          <w:color w:val="000000"/>
          <w:sz w:val="24"/>
        </w:rPr>
        <w:t xml:space="preserve"> </w:t>
      </w:r>
      <w:r w:rsidRPr="00C659AC">
        <w:rPr>
          <w:rFonts w:ascii="Times New Roman" w:hAnsi="Times New Roman"/>
          <w:bCs/>
          <w:color w:val="000000"/>
          <w:sz w:val="24"/>
        </w:rPr>
        <w:t>opportunities.</w:t>
      </w:r>
    </w:p>
    <w:p w14:paraId="4CCFC431" w14:textId="77777777" w:rsidR="00C659AC" w:rsidRPr="00C659AC" w:rsidRDefault="00C659AC" w:rsidP="00C659AC">
      <w:pPr>
        <w:spacing w:after="0"/>
        <w:jc w:val="both"/>
        <w:rPr>
          <w:rFonts w:ascii="Times New Roman" w:hAnsi="Times New Roman"/>
          <w:bCs/>
          <w:color w:val="000000"/>
          <w:sz w:val="24"/>
        </w:rPr>
      </w:pPr>
    </w:p>
    <w:p w14:paraId="6EDFE2CA" w14:textId="59A67B85" w:rsidR="00C659AC" w:rsidRDefault="00C659AC" w:rsidP="00C659AC">
      <w:pPr>
        <w:spacing w:after="0"/>
        <w:jc w:val="both"/>
        <w:rPr>
          <w:rFonts w:ascii="Times New Roman" w:hAnsi="Times New Roman"/>
          <w:b/>
          <w:color w:val="000000"/>
          <w:sz w:val="24"/>
        </w:rPr>
      </w:pPr>
      <w:r w:rsidRPr="00C659AC">
        <w:rPr>
          <w:rFonts w:ascii="Times New Roman" w:hAnsi="Times New Roman"/>
          <w:bCs/>
          <w:color w:val="000000"/>
          <w:sz w:val="24"/>
        </w:rPr>
        <w:t xml:space="preserve">It is calculated by taking the value of </w:t>
      </w:r>
      <w:r w:rsidRPr="00C659AC">
        <w:rPr>
          <w:rFonts w:ascii="Times New Roman" w:hAnsi="Times New Roman"/>
          <w:b/>
          <w:color w:val="000000"/>
          <w:sz w:val="24"/>
        </w:rPr>
        <w:t>Current assets</w:t>
      </w:r>
      <w:r w:rsidRPr="00C659AC">
        <w:rPr>
          <w:rFonts w:ascii="Times New Roman" w:hAnsi="Times New Roman"/>
          <w:bCs/>
          <w:color w:val="000000"/>
          <w:sz w:val="24"/>
        </w:rPr>
        <w:t xml:space="preserve"> less </w:t>
      </w:r>
      <w:r w:rsidRPr="00C659AC">
        <w:rPr>
          <w:rFonts w:ascii="Times New Roman" w:hAnsi="Times New Roman"/>
          <w:b/>
          <w:color w:val="000000"/>
          <w:sz w:val="24"/>
        </w:rPr>
        <w:t>Stocks</w:t>
      </w:r>
      <w:r w:rsidRPr="00C659AC">
        <w:rPr>
          <w:rFonts w:ascii="Times New Roman" w:hAnsi="Times New Roman"/>
          <w:bCs/>
          <w:color w:val="000000"/>
          <w:sz w:val="24"/>
        </w:rPr>
        <w:t xml:space="preserve"> and less </w:t>
      </w:r>
      <w:r w:rsidRPr="00C659AC">
        <w:rPr>
          <w:rFonts w:ascii="Times New Roman" w:hAnsi="Times New Roman"/>
          <w:b/>
          <w:color w:val="000000"/>
          <w:sz w:val="24"/>
        </w:rPr>
        <w:t>Debtors due after 1 year</w:t>
      </w:r>
      <w:r w:rsidRPr="00C659AC">
        <w:rPr>
          <w:rFonts w:ascii="Times New Roman" w:hAnsi="Times New Roman"/>
          <w:bCs/>
          <w:color w:val="000000"/>
          <w:sz w:val="24"/>
        </w:rPr>
        <w:t xml:space="preserve"> and dividing this amount by </w:t>
      </w:r>
      <w:r w:rsidRPr="00C659AC">
        <w:rPr>
          <w:rFonts w:ascii="Times New Roman" w:hAnsi="Times New Roman"/>
          <w:b/>
          <w:color w:val="000000"/>
          <w:sz w:val="24"/>
        </w:rPr>
        <w:t>Short-term debt (bank and non-bank).</w:t>
      </w:r>
    </w:p>
    <w:p w14:paraId="5D28CE83" w14:textId="77777777" w:rsidR="00C659AC" w:rsidRPr="00C659AC" w:rsidRDefault="00C659AC" w:rsidP="00C659AC">
      <w:pPr>
        <w:spacing w:after="0"/>
        <w:jc w:val="both"/>
        <w:rPr>
          <w:rFonts w:ascii="Times New Roman" w:hAnsi="Times New Roman"/>
          <w:bCs/>
          <w:color w:val="000000"/>
          <w:sz w:val="24"/>
        </w:rPr>
      </w:pPr>
    </w:p>
    <w:p w14:paraId="6206F91B" w14:textId="77777777" w:rsidR="00C659AC" w:rsidRDefault="00C659AC" w:rsidP="00C659AC">
      <w:pPr>
        <w:spacing w:after="0"/>
        <w:jc w:val="both"/>
        <w:rPr>
          <w:rFonts w:ascii="Times New Roman" w:hAnsi="Times New Roman"/>
          <w:bCs/>
          <w:color w:val="000000"/>
          <w:sz w:val="24"/>
        </w:rPr>
      </w:pPr>
      <w:r w:rsidRPr="00C659AC">
        <w:rPr>
          <w:rFonts w:ascii="Times New Roman" w:hAnsi="Times New Roman"/>
          <w:b/>
          <w:color w:val="000000"/>
          <w:sz w:val="24"/>
        </w:rPr>
        <w:t xml:space="preserve">Current assets </w:t>
      </w:r>
      <w:r w:rsidRPr="00C659AC">
        <w:rPr>
          <w:rFonts w:ascii="Times New Roman" w:hAnsi="Times New Roman"/>
          <w:bCs/>
          <w:color w:val="000000"/>
          <w:sz w:val="24"/>
        </w:rPr>
        <w:t>(i.e. related to the daily operations) include:</w:t>
      </w:r>
    </w:p>
    <w:p w14:paraId="57F5FAB1" w14:textId="44789C0A" w:rsidR="00C659AC" w:rsidRPr="00C659AC" w:rsidRDefault="00C659AC" w:rsidP="00C659AC">
      <w:pPr>
        <w:numPr>
          <w:ilvl w:val="0"/>
          <w:numId w:val="32"/>
        </w:numPr>
        <w:spacing w:after="0"/>
        <w:jc w:val="both"/>
        <w:rPr>
          <w:rFonts w:ascii="Times New Roman" w:hAnsi="Times New Roman"/>
          <w:bCs/>
          <w:color w:val="000000"/>
          <w:sz w:val="24"/>
        </w:rPr>
      </w:pPr>
      <w:r w:rsidRPr="00C659AC">
        <w:rPr>
          <w:rFonts w:ascii="Times New Roman" w:hAnsi="Times New Roman"/>
          <w:bCs/>
          <w:color w:val="000000"/>
          <w:sz w:val="24"/>
        </w:rPr>
        <w:t>Cash equivalent funds (cash register and current bank account) available immediately</w:t>
      </w:r>
    </w:p>
    <w:p w14:paraId="01D76F4C" w14:textId="6B6A1572" w:rsidR="00C659AC" w:rsidRPr="00C659AC" w:rsidRDefault="00C659AC" w:rsidP="00C659AC">
      <w:pPr>
        <w:numPr>
          <w:ilvl w:val="0"/>
          <w:numId w:val="32"/>
        </w:numPr>
        <w:spacing w:after="0"/>
        <w:jc w:val="both"/>
        <w:rPr>
          <w:rFonts w:ascii="Times New Roman" w:hAnsi="Times New Roman"/>
          <w:bCs/>
          <w:color w:val="000000"/>
          <w:sz w:val="24"/>
        </w:rPr>
      </w:pPr>
      <w:r w:rsidRPr="00C659AC">
        <w:rPr>
          <w:rFonts w:ascii="Times New Roman" w:hAnsi="Times New Roman"/>
          <w:bCs/>
          <w:color w:val="000000"/>
          <w:sz w:val="24"/>
        </w:rPr>
        <w:t>Stocks (raw materials and products, “work in progress” not covered by deposits or</w:t>
      </w:r>
      <w:r>
        <w:rPr>
          <w:rFonts w:ascii="Times New Roman" w:hAnsi="Times New Roman"/>
          <w:bCs/>
          <w:color w:val="000000"/>
          <w:sz w:val="24"/>
        </w:rPr>
        <w:t xml:space="preserve"> </w:t>
      </w:r>
      <w:r w:rsidRPr="00C659AC">
        <w:rPr>
          <w:rFonts w:ascii="Times New Roman" w:hAnsi="Times New Roman"/>
          <w:bCs/>
          <w:color w:val="000000"/>
          <w:sz w:val="24"/>
        </w:rPr>
        <w:t>orders)</w:t>
      </w:r>
    </w:p>
    <w:p w14:paraId="535FA1AE" w14:textId="0A83E324" w:rsidR="00C659AC" w:rsidRPr="00C659AC" w:rsidRDefault="00C659AC" w:rsidP="00C659AC">
      <w:pPr>
        <w:numPr>
          <w:ilvl w:val="0"/>
          <w:numId w:val="32"/>
        </w:numPr>
        <w:spacing w:after="0"/>
        <w:jc w:val="both"/>
        <w:rPr>
          <w:rFonts w:ascii="Times New Roman" w:hAnsi="Times New Roman"/>
          <w:bCs/>
          <w:color w:val="000000"/>
          <w:sz w:val="24"/>
        </w:rPr>
      </w:pPr>
      <w:r w:rsidRPr="00C659AC">
        <w:rPr>
          <w:rFonts w:ascii="Times New Roman" w:hAnsi="Times New Roman"/>
          <w:bCs/>
          <w:color w:val="000000"/>
          <w:sz w:val="24"/>
        </w:rPr>
        <w:t>Debtors (short-term (funds that will be available within 1 year) and long-term (funds</w:t>
      </w:r>
      <w:r>
        <w:rPr>
          <w:rFonts w:ascii="Times New Roman" w:hAnsi="Times New Roman"/>
          <w:bCs/>
          <w:color w:val="000000"/>
          <w:sz w:val="24"/>
        </w:rPr>
        <w:t xml:space="preserve"> </w:t>
      </w:r>
      <w:r w:rsidRPr="00C659AC">
        <w:rPr>
          <w:rFonts w:ascii="Times New Roman" w:hAnsi="Times New Roman"/>
          <w:bCs/>
          <w:color w:val="000000"/>
          <w:sz w:val="24"/>
        </w:rPr>
        <w:t>that will be available after more than 1 year)</w:t>
      </w:r>
    </w:p>
    <w:p w14:paraId="6D6790FF" w14:textId="5FC5AE39" w:rsidR="00C659AC" w:rsidRDefault="00C659AC" w:rsidP="00C659AC">
      <w:pPr>
        <w:numPr>
          <w:ilvl w:val="0"/>
          <w:numId w:val="32"/>
        </w:numPr>
        <w:spacing w:after="0"/>
        <w:jc w:val="both"/>
        <w:rPr>
          <w:rFonts w:ascii="Times New Roman" w:hAnsi="Times New Roman"/>
          <w:bCs/>
          <w:color w:val="000000"/>
          <w:sz w:val="24"/>
        </w:rPr>
      </w:pPr>
      <w:r w:rsidRPr="00C659AC">
        <w:rPr>
          <w:rFonts w:ascii="Times New Roman" w:hAnsi="Times New Roman"/>
          <w:bCs/>
          <w:color w:val="000000"/>
          <w:sz w:val="24"/>
        </w:rPr>
        <w:t>Other current assets, provided they are clearly short term (due within 1 year), i.e.</w:t>
      </w:r>
      <w:r>
        <w:rPr>
          <w:rFonts w:ascii="Times New Roman" w:hAnsi="Times New Roman"/>
          <w:bCs/>
          <w:color w:val="000000"/>
          <w:sz w:val="24"/>
        </w:rPr>
        <w:t xml:space="preserve"> </w:t>
      </w:r>
      <w:r w:rsidRPr="00C659AC">
        <w:rPr>
          <w:rFonts w:ascii="Times New Roman" w:hAnsi="Times New Roman"/>
          <w:bCs/>
          <w:color w:val="000000"/>
          <w:sz w:val="24"/>
        </w:rPr>
        <w:t>securities, accrued expenses.</w:t>
      </w:r>
    </w:p>
    <w:p w14:paraId="3DB9ABA1" w14:textId="77777777" w:rsidR="00C659AC" w:rsidRPr="00C659AC" w:rsidRDefault="00C659AC" w:rsidP="00C659AC">
      <w:pPr>
        <w:spacing w:after="0"/>
        <w:ind w:left="720"/>
        <w:jc w:val="both"/>
        <w:rPr>
          <w:rFonts w:ascii="Times New Roman" w:hAnsi="Times New Roman"/>
          <w:bCs/>
          <w:color w:val="000000"/>
          <w:sz w:val="24"/>
        </w:rPr>
      </w:pPr>
    </w:p>
    <w:p w14:paraId="3BFCAA9A" w14:textId="696B1A68" w:rsidR="00C659AC" w:rsidRDefault="00C659AC" w:rsidP="00C659AC">
      <w:pPr>
        <w:spacing w:after="0"/>
        <w:jc w:val="both"/>
        <w:rPr>
          <w:rFonts w:ascii="Times New Roman" w:hAnsi="Times New Roman"/>
          <w:bCs/>
          <w:color w:val="000000"/>
          <w:sz w:val="24"/>
        </w:rPr>
      </w:pPr>
      <w:r w:rsidRPr="00C659AC">
        <w:rPr>
          <w:rFonts w:ascii="Times New Roman" w:hAnsi="Times New Roman"/>
          <w:b/>
          <w:color w:val="000000"/>
          <w:sz w:val="24"/>
        </w:rPr>
        <w:t xml:space="preserve">The stocks </w:t>
      </w:r>
      <w:r w:rsidRPr="00C659AC">
        <w:rPr>
          <w:rFonts w:ascii="Times New Roman" w:hAnsi="Times New Roman"/>
          <w:bCs/>
          <w:color w:val="000000"/>
          <w:sz w:val="24"/>
        </w:rPr>
        <w:t xml:space="preserve">are deducted from the current assets because, </w:t>
      </w:r>
      <w:proofErr w:type="gramStart"/>
      <w:r w:rsidRPr="00C659AC">
        <w:rPr>
          <w:rFonts w:ascii="Times New Roman" w:hAnsi="Times New Roman"/>
          <w:bCs/>
          <w:color w:val="000000"/>
          <w:sz w:val="24"/>
        </w:rPr>
        <w:t>in order to</w:t>
      </w:r>
      <w:proofErr w:type="gramEnd"/>
      <w:r w:rsidRPr="00C659AC">
        <w:rPr>
          <w:rFonts w:ascii="Times New Roman" w:hAnsi="Times New Roman"/>
          <w:bCs/>
          <w:color w:val="000000"/>
          <w:sz w:val="24"/>
        </w:rPr>
        <w:t xml:space="preserve"> have the money</w:t>
      </w:r>
      <w:r>
        <w:rPr>
          <w:rFonts w:ascii="Times New Roman" w:hAnsi="Times New Roman"/>
          <w:bCs/>
          <w:color w:val="000000"/>
          <w:sz w:val="24"/>
        </w:rPr>
        <w:t xml:space="preserve"> </w:t>
      </w:r>
      <w:r w:rsidRPr="00C659AC">
        <w:rPr>
          <w:rFonts w:ascii="Times New Roman" w:hAnsi="Times New Roman"/>
          <w:bCs/>
          <w:color w:val="000000"/>
          <w:sz w:val="24"/>
        </w:rPr>
        <w:t>available, the stocks need to be sold and the clients need to pay for them. “Work in</w:t>
      </w:r>
      <w:r>
        <w:rPr>
          <w:rFonts w:ascii="Times New Roman" w:hAnsi="Times New Roman"/>
          <w:bCs/>
          <w:color w:val="000000"/>
          <w:sz w:val="24"/>
        </w:rPr>
        <w:t xml:space="preserve"> </w:t>
      </w:r>
      <w:r w:rsidRPr="00C659AC">
        <w:rPr>
          <w:rFonts w:ascii="Times New Roman" w:hAnsi="Times New Roman"/>
          <w:bCs/>
          <w:color w:val="000000"/>
          <w:sz w:val="24"/>
        </w:rPr>
        <w:t xml:space="preserve">progress” clearly covered by deposits or orders are less </w:t>
      </w:r>
      <w:proofErr w:type="gramStart"/>
      <w:r w:rsidRPr="00C659AC">
        <w:rPr>
          <w:rFonts w:ascii="Times New Roman" w:hAnsi="Times New Roman"/>
          <w:bCs/>
          <w:color w:val="000000"/>
          <w:sz w:val="24"/>
        </w:rPr>
        <w:t>risky, and</w:t>
      </w:r>
      <w:proofErr w:type="gramEnd"/>
      <w:r w:rsidRPr="00C659AC">
        <w:rPr>
          <w:rFonts w:ascii="Times New Roman" w:hAnsi="Times New Roman"/>
          <w:bCs/>
          <w:color w:val="000000"/>
          <w:sz w:val="24"/>
        </w:rPr>
        <w:t xml:space="preserve"> may as such be considered as Debtors</w:t>
      </w:r>
      <w:r>
        <w:rPr>
          <w:rFonts w:ascii="Times New Roman" w:hAnsi="Times New Roman"/>
          <w:bCs/>
          <w:color w:val="000000"/>
          <w:sz w:val="24"/>
        </w:rPr>
        <w:t xml:space="preserve"> </w:t>
      </w:r>
      <w:r w:rsidRPr="00C659AC">
        <w:rPr>
          <w:rFonts w:ascii="Times New Roman" w:hAnsi="Times New Roman"/>
          <w:bCs/>
          <w:color w:val="000000"/>
          <w:sz w:val="24"/>
        </w:rPr>
        <w:t>less than 1 year.</w:t>
      </w:r>
    </w:p>
    <w:p w14:paraId="4CE0E6B7" w14:textId="77777777" w:rsidR="00C659AC" w:rsidRPr="00C659AC" w:rsidRDefault="00C659AC" w:rsidP="00C659AC">
      <w:pPr>
        <w:spacing w:after="0"/>
        <w:jc w:val="both"/>
        <w:rPr>
          <w:rFonts w:ascii="Times New Roman" w:hAnsi="Times New Roman"/>
          <w:bCs/>
          <w:color w:val="000000"/>
          <w:sz w:val="24"/>
        </w:rPr>
      </w:pPr>
    </w:p>
    <w:p w14:paraId="49EF3F9B" w14:textId="77777777" w:rsidR="004F35DC" w:rsidRDefault="00C659AC" w:rsidP="00C659AC">
      <w:pPr>
        <w:spacing w:after="0"/>
        <w:jc w:val="both"/>
        <w:rPr>
          <w:rFonts w:ascii="Times New Roman" w:hAnsi="Times New Roman"/>
          <w:b/>
          <w:color w:val="000000"/>
          <w:sz w:val="24"/>
        </w:rPr>
      </w:pPr>
      <w:r w:rsidRPr="00C659AC">
        <w:rPr>
          <w:rFonts w:ascii="Times New Roman" w:hAnsi="Times New Roman"/>
          <w:b/>
          <w:color w:val="000000"/>
          <w:sz w:val="24"/>
        </w:rPr>
        <w:t xml:space="preserve">The debtors </w:t>
      </w:r>
      <w:r w:rsidRPr="004F35DC">
        <w:rPr>
          <w:rFonts w:ascii="Times New Roman" w:hAnsi="Times New Roman"/>
          <w:bCs/>
          <w:color w:val="000000"/>
          <w:sz w:val="24"/>
        </w:rPr>
        <w:t>more than 1 year are excluded from the current assets, because they represent funds to be available only in a long-term.</w:t>
      </w:r>
    </w:p>
    <w:p w14:paraId="00A6C84F" w14:textId="77777777" w:rsidR="004F35DC" w:rsidRDefault="004F35DC" w:rsidP="00C659AC">
      <w:pPr>
        <w:spacing w:after="0"/>
        <w:jc w:val="both"/>
        <w:rPr>
          <w:rFonts w:ascii="Times New Roman" w:hAnsi="Times New Roman"/>
          <w:b/>
          <w:color w:val="000000"/>
          <w:sz w:val="24"/>
        </w:rPr>
      </w:pPr>
    </w:p>
    <w:p w14:paraId="79E81631" w14:textId="74FAAFAC" w:rsidR="00C659AC" w:rsidRPr="00C659AC" w:rsidRDefault="00C659AC" w:rsidP="00C659AC">
      <w:pPr>
        <w:spacing w:after="0"/>
        <w:jc w:val="both"/>
        <w:rPr>
          <w:rFonts w:ascii="Times New Roman" w:hAnsi="Times New Roman"/>
          <w:b/>
          <w:color w:val="000000"/>
          <w:sz w:val="24"/>
        </w:rPr>
      </w:pPr>
      <w:r w:rsidRPr="00C659AC">
        <w:rPr>
          <w:rFonts w:ascii="Times New Roman" w:hAnsi="Times New Roman"/>
          <w:b/>
          <w:color w:val="000000"/>
          <w:sz w:val="24"/>
        </w:rPr>
        <w:t xml:space="preserve">A short-term debt </w:t>
      </w:r>
      <w:r w:rsidRPr="004F35DC">
        <w:rPr>
          <w:rFonts w:ascii="Times New Roman" w:hAnsi="Times New Roman"/>
          <w:bCs/>
          <w:color w:val="000000"/>
          <w:sz w:val="24"/>
        </w:rPr>
        <w:t>presents the funds which are due to be paid by the entity within 1 year. It</w:t>
      </w:r>
      <w:r w:rsidR="004F35DC" w:rsidRPr="004F35DC">
        <w:rPr>
          <w:rFonts w:ascii="Times New Roman" w:hAnsi="Times New Roman"/>
          <w:bCs/>
          <w:color w:val="000000"/>
          <w:sz w:val="24"/>
        </w:rPr>
        <w:t xml:space="preserve"> </w:t>
      </w:r>
      <w:r w:rsidRPr="004F35DC">
        <w:rPr>
          <w:rFonts w:ascii="Times New Roman" w:hAnsi="Times New Roman"/>
          <w:bCs/>
          <w:color w:val="000000"/>
          <w:sz w:val="24"/>
        </w:rPr>
        <w:t>includes:</w:t>
      </w:r>
    </w:p>
    <w:p w14:paraId="57A84BA9" w14:textId="36BFA5E2" w:rsidR="00C659AC" w:rsidRPr="004F35DC" w:rsidRDefault="00C659AC" w:rsidP="004F35DC">
      <w:pPr>
        <w:numPr>
          <w:ilvl w:val="0"/>
          <w:numId w:val="32"/>
        </w:numPr>
        <w:spacing w:after="0"/>
        <w:jc w:val="both"/>
        <w:rPr>
          <w:rFonts w:ascii="Times New Roman" w:hAnsi="Times New Roman"/>
          <w:bCs/>
          <w:color w:val="000000"/>
          <w:sz w:val="24"/>
        </w:rPr>
      </w:pPr>
      <w:r w:rsidRPr="004F35DC">
        <w:rPr>
          <w:rFonts w:ascii="Times New Roman" w:hAnsi="Times New Roman"/>
          <w:bCs/>
          <w:color w:val="000000"/>
          <w:sz w:val="24"/>
        </w:rPr>
        <w:t xml:space="preserve">Bank debt (short-term bank loans, bank overdrafts, other </w:t>
      </w:r>
      <w:proofErr w:type="gramStart"/>
      <w:r w:rsidRPr="004F35DC">
        <w:rPr>
          <w:rFonts w:ascii="Times New Roman" w:hAnsi="Times New Roman"/>
          <w:bCs/>
          <w:color w:val="000000"/>
          <w:sz w:val="24"/>
        </w:rPr>
        <w:t>interest bearing</w:t>
      </w:r>
      <w:proofErr w:type="gramEnd"/>
      <w:r w:rsidRPr="004F35DC">
        <w:rPr>
          <w:rFonts w:ascii="Times New Roman" w:hAnsi="Times New Roman"/>
          <w:bCs/>
          <w:color w:val="000000"/>
          <w:sz w:val="24"/>
        </w:rPr>
        <w:t xml:space="preserve"> debts)</w:t>
      </w:r>
    </w:p>
    <w:p w14:paraId="2E4B9B9F" w14:textId="17F9E8C7" w:rsidR="00C659AC" w:rsidRPr="004F35DC" w:rsidRDefault="00C659AC" w:rsidP="004F35DC">
      <w:pPr>
        <w:numPr>
          <w:ilvl w:val="0"/>
          <w:numId w:val="32"/>
        </w:numPr>
        <w:spacing w:after="0"/>
        <w:jc w:val="both"/>
        <w:rPr>
          <w:rFonts w:ascii="Times New Roman" w:hAnsi="Times New Roman"/>
          <w:bCs/>
          <w:color w:val="000000"/>
          <w:sz w:val="24"/>
        </w:rPr>
      </w:pPr>
      <w:r w:rsidRPr="004F35DC">
        <w:rPr>
          <w:rFonts w:ascii="Times New Roman" w:hAnsi="Times New Roman"/>
          <w:bCs/>
          <w:color w:val="000000"/>
          <w:sz w:val="24"/>
        </w:rPr>
        <w:lastRenderedPageBreak/>
        <w:t>Non-bank debt (short term provisions, money to be paid within 1 year to suppliers,</w:t>
      </w:r>
      <w:r w:rsidR="004F35DC">
        <w:rPr>
          <w:rFonts w:ascii="Times New Roman" w:hAnsi="Times New Roman"/>
          <w:bCs/>
          <w:color w:val="000000"/>
          <w:sz w:val="24"/>
        </w:rPr>
        <w:t xml:space="preserve"> </w:t>
      </w:r>
      <w:r w:rsidRPr="004F35DC">
        <w:rPr>
          <w:rFonts w:ascii="Times New Roman" w:hAnsi="Times New Roman"/>
          <w:bCs/>
          <w:color w:val="000000"/>
          <w:sz w:val="24"/>
        </w:rPr>
        <w:t>staff, taxes, deposits from clients, deferred income such as EC pre-financing).</w:t>
      </w:r>
    </w:p>
    <w:p w14:paraId="34E5AAF6" w14:textId="77777777" w:rsidR="004F35DC" w:rsidRDefault="004F35DC" w:rsidP="00C659AC">
      <w:pPr>
        <w:spacing w:after="0"/>
        <w:jc w:val="both"/>
        <w:rPr>
          <w:rFonts w:ascii="Times New Roman" w:hAnsi="Times New Roman"/>
          <w:b/>
          <w:color w:val="000000"/>
          <w:sz w:val="24"/>
        </w:rPr>
      </w:pPr>
    </w:p>
    <w:p w14:paraId="588B1636" w14:textId="02E39924" w:rsidR="00C659AC" w:rsidRPr="00C659AC" w:rsidRDefault="00C659AC" w:rsidP="00C659AC">
      <w:pPr>
        <w:spacing w:after="0"/>
        <w:jc w:val="both"/>
        <w:rPr>
          <w:rFonts w:ascii="Times New Roman" w:hAnsi="Times New Roman"/>
          <w:b/>
          <w:color w:val="000000"/>
          <w:sz w:val="24"/>
        </w:rPr>
      </w:pPr>
      <w:r w:rsidRPr="00C659AC">
        <w:rPr>
          <w:rFonts w:ascii="Times New Roman" w:hAnsi="Times New Roman"/>
          <w:b/>
          <w:color w:val="000000"/>
          <w:sz w:val="24"/>
        </w:rPr>
        <w:t>If the entity has less than 50 cents of current assets (excluding stocks and long-term</w:t>
      </w:r>
      <w:r w:rsidR="004F35DC">
        <w:rPr>
          <w:rFonts w:ascii="Times New Roman" w:hAnsi="Times New Roman"/>
          <w:b/>
          <w:color w:val="000000"/>
          <w:sz w:val="24"/>
        </w:rPr>
        <w:t xml:space="preserve"> </w:t>
      </w:r>
      <w:r w:rsidRPr="00C659AC">
        <w:rPr>
          <w:rFonts w:ascii="Times New Roman" w:hAnsi="Times New Roman"/>
          <w:b/>
          <w:color w:val="000000"/>
          <w:sz w:val="24"/>
        </w:rPr>
        <w:t>debtors) to cover each euro of its short-term debt, its liquidity is considered</w:t>
      </w:r>
      <w:r w:rsidR="004F35DC">
        <w:rPr>
          <w:rFonts w:ascii="Times New Roman" w:hAnsi="Times New Roman"/>
          <w:b/>
          <w:color w:val="000000"/>
          <w:sz w:val="24"/>
        </w:rPr>
        <w:t xml:space="preserve"> </w:t>
      </w:r>
      <w:r w:rsidRPr="00C659AC">
        <w:rPr>
          <w:rFonts w:ascii="Times New Roman" w:hAnsi="Times New Roman"/>
          <w:b/>
          <w:color w:val="000000"/>
          <w:sz w:val="24"/>
        </w:rPr>
        <w:t>“weak/insufficient”.</w:t>
      </w:r>
    </w:p>
    <w:p w14:paraId="1548C29D" w14:textId="77777777" w:rsidR="004F35DC" w:rsidRDefault="004F35DC" w:rsidP="00C659AC">
      <w:pPr>
        <w:spacing w:after="0"/>
        <w:jc w:val="both"/>
        <w:rPr>
          <w:rFonts w:ascii="Times New Roman" w:hAnsi="Times New Roman"/>
          <w:b/>
          <w:color w:val="000000"/>
          <w:sz w:val="24"/>
        </w:rPr>
      </w:pPr>
    </w:p>
    <w:p w14:paraId="150B49A8" w14:textId="0FADFBAC" w:rsidR="00C659AC" w:rsidRDefault="00C659AC" w:rsidP="00C659AC">
      <w:pPr>
        <w:spacing w:after="0"/>
        <w:jc w:val="both"/>
        <w:rPr>
          <w:rFonts w:ascii="Times New Roman" w:hAnsi="Times New Roman"/>
          <w:bCs/>
          <w:color w:val="000000"/>
          <w:sz w:val="24"/>
        </w:rPr>
      </w:pPr>
      <w:r w:rsidRPr="004F35DC">
        <w:rPr>
          <w:rFonts w:ascii="Times New Roman" w:hAnsi="Times New Roman"/>
          <w:bCs/>
          <w:color w:val="000000"/>
          <w:sz w:val="24"/>
        </w:rPr>
        <w:t>If the “most prudent approach” is applied, (considered that all receivables (debtors) are</w:t>
      </w:r>
      <w:r w:rsidR="004F35DC" w:rsidRPr="004F35DC">
        <w:rPr>
          <w:rFonts w:ascii="Times New Roman" w:hAnsi="Times New Roman"/>
          <w:bCs/>
          <w:color w:val="000000"/>
          <w:sz w:val="24"/>
        </w:rPr>
        <w:t xml:space="preserve"> </w:t>
      </w:r>
      <w:r w:rsidRPr="004F35DC">
        <w:rPr>
          <w:rFonts w:ascii="Times New Roman" w:hAnsi="Times New Roman"/>
          <w:bCs/>
          <w:color w:val="000000"/>
          <w:sz w:val="24"/>
        </w:rPr>
        <w:t>long-term and that all debts are short term), the liquidity ratio is lowered.</w:t>
      </w:r>
    </w:p>
    <w:p w14:paraId="209CB626" w14:textId="1CDAAF4B" w:rsidR="00030E0E" w:rsidRDefault="00030E0E" w:rsidP="00C659AC">
      <w:pPr>
        <w:spacing w:after="0"/>
        <w:jc w:val="both"/>
        <w:rPr>
          <w:rFonts w:ascii="Times New Roman" w:hAnsi="Times New Roman"/>
          <w:bCs/>
          <w:color w:val="000000"/>
          <w:sz w:val="24"/>
        </w:rPr>
      </w:pPr>
    </w:p>
    <w:p w14:paraId="0C83878C" w14:textId="77777777" w:rsidR="00F3568C" w:rsidRDefault="00F3568C" w:rsidP="00C659AC">
      <w:pPr>
        <w:spacing w:after="0"/>
        <w:jc w:val="both"/>
        <w:rPr>
          <w:rFonts w:ascii="Times New Roman" w:hAnsi="Times New Roman"/>
          <w:bCs/>
          <w:color w:val="000000"/>
          <w:sz w:val="24"/>
        </w:rPr>
      </w:pPr>
    </w:p>
    <w:p w14:paraId="6B8A1FE7" w14:textId="4CC3C9A1" w:rsidR="00030E0E" w:rsidRDefault="00030E0E" w:rsidP="00030E0E">
      <w:pPr>
        <w:spacing w:after="0"/>
        <w:jc w:val="both"/>
        <w:rPr>
          <w:rFonts w:ascii="Times New Roman" w:hAnsi="Times New Roman"/>
          <w:b/>
          <w:color w:val="000000"/>
          <w:sz w:val="24"/>
        </w:rPr>
      </w:pPr>
      <w:r>
        <w:rPr>
          <w:rFonts w:ascii="Times New Roman" w:hAnsi="Times New Roman"/>
          <w:b/>
          <w:color w:val="000000"/>
          <w:sz w:val="24"/>
        </w:rPr>
        <w:t>SOLVENCY</w:t>
      </w:r>
    </w:p>
    <w:p w14:paraId="0E1B09F8" w14:textId="3E5A38D3" w:rsidR="00030E0E" w:rsidRDefault="00030E0E" w:rsidP="00030E0E">
      <w:pPr>
        <w:spacing w:after="0"/>
        <w:jc w:val="both"/>
        <w:rPr>
          <w:rFonts w:ascii="Times New Roman" w:hAnsi="Times New Roman"/>
          <w:b/>
          <w:color w:val="000000"/>
          <w:sz w:val="24"/>
        </w:rPr>
      </w:pPr>
    </w:p>
    <w:p w14:paraId="47AD227C" w14:textId="77777777" w:rsidR="00030E0E" w:rsidRPr="00030E0E" w:rsidRDefault="00030E0E" w:rsidP="00030E0E">
      <w:pPr>
        <w:spacing w:after="0"/>
        <w:jc w:val="both"/>
        <w:rPr>
          <w:rFonts w:ascii="Times New Roman" w:hAnsi="Times New Roman"/>
          <w:b/>
          <w:color w:val="000000"/>
          <w:sz w:val="24"/>
        </w:rPr>
      </w:pPr>
      <w:r w:rsidRPr="00030E0E">
        <w:rPr>
          <w:rFonts w:ascii="Times New Roman" w:hAnsi="Times New Roman"/>
          <w:bCs/>
          <w:color w:val="000000"/>
          <w:sz w:val="24"/>
        </w:rPr>
        <w:t>The solvency ratio represents the entities’</w:t>
      </w:r>
      <w:r w:rsidRPr="00030E0E">
        <w:rPr>
          <w:rFonts w:ascii="Times New Roman" w:hAnsi="Times New Roman"/>
          <w:b/>
          <w:color w:val="000000"/>
          <w:sz w:val="24"/>
        </w:rPr>
        <w:t xml:space="preserve"> ability to cover its medium and long-term</w:t>
      </w:r>
    </w:p>
    <w:p w14:paraId="2642C64E" w14:textId="7382D867" w:rsidR="00030E0E" w:rsidRDefault="00030E0E" w:rsidP="00030E0E">
      <w:pPr>
        <w:spacing w:after="0"/>
        <w:jc w:val="both"/>
        <w:rPr>
          <w:rFonts w:ascii="Times New Roman" w:hAnsi="Times New Roman"/>
          <w:b/>
          <w:color w:val="000000"/>
          <w:sz w:val="24"/>
        </w:rPr>
      </w:pPr>
      <w:r w:rsidRPr="00030E0E">
        <w:rPr>
          <w:rFonts w:ascii="Times New Roman" w:hAnsi="Times New Roman"/>
          <w:b/>
          <w:color w:val="000000"/>
          <w:sz w:val="24"/>
        </w:rPr>
        <w:t>commitments.</w:t>
      </w:r>
    </w:p>
    <w:p w14:paraId="7DB4EB10" w14:textId="77777777" w:rsidR="00030E0E" w:rsidRDefault="00030E0E" w:rsidP="00030E0E">
      <w:pPr>
        <w:spacing w:after="0"/>
        <w:jc w:val="both"/>
        <w:rPr>
          <w:rFonts w:ascii="Times New Roman" w:hAnsi="Times New Roman"/>
          <w:b/>
          <w:color w:val="000000"/>
          <w:sz w:val="24"/>
        </w:rPr>
      </w:pPr>
    </w:p>
    <w:p w14:paraId="50069432" w14:textId="77777777" w:rsidR="00030E0E" w:rsidRDefault="00030E0E" w:rsidP="00030E0E">
      <w:pPr>
        <w:spacing w:after="0"/>
        <w:jc w:val="both"/>
        <w:rPr>
          <w:rFonts w:ascii="Times New Roman" w:hAnsi="Times New Roman"/>
          <w:b/>
          <w:color w:val="000000"/>
          <w:sz w:val="24"/>
        </w:rPr>
      </w:pPr>
      <w:r w:rsidRPr="00030E0E">
        <w:rPr>
          <w:rFonts w:ascii="Times New Roman" w:hAnsi="Times New Roman"/>
          <w:bCs/>
          <w:color w:val="000000"/>
          <w:sz w:val="24"/>
        </w:rPr>
        <w:t>It is calculated by dividing the</w:t>
      </w:r>
      <w:r w:rsidRPr="00030E0E">
        <w:rPr>
          <w:rFonts w:ascii="Times New Roman" w:hAnsi="Times New Roman"/>
          <w:b/>
          <w:color w:val="000000"/>
          <w:sz w:val="24"/>
        </w:rPr>
        <w:t xml:space="preserve"> Total </w:t>
      </w:r>
      <w:r w:rsidRPr="00030E0E">
        <w:rPr>
          <w:rFonts w:ascii="Times New Roman" w:hAnsi="Times New Roman"/>
          <w:bCs/>
          <w:color w:val="000000"/>
          <w:sz w:val="24"/>
        </w:rPr>
        <w:t xml:space="preserve">debt by the </w:t>
      </w:r>
      <w:r w:rsidRPr="00030E0E">
        <w:rPr>
          <w:rFonts w:ascii="Times New Roman" w:hAnsi="Times New Roman"/>
          <w:b/>
          <w:color w:val="000000"/>
          <w:sz w:val="24"/>
        </w:rPr>
        <w:t>Equity.</w:t>
      </w:r>
      <w:r>
        <w:rPr>
          <w:rFonts w:ascii="Times New Roman" w:hAnsi="Times New Roman"/>
          <w:b/>
          <w:color w:val="000000"/>
          <w:sz w:val="24"/>
        </w:rPr>
        <w:t xml:space="preserve"> </w:t>
      </w:r>
    </w:p>
    <w:p w14:paraId="082FAF8C" w14:textId="26060550" w:rsidR="00030E0E" w:rsidRPr="00030E0E" w:rsidRDefault="00030E0E" w:rsidP="00030E0E">
      <w:pPr>
        <w:spacing w:after="0"/>
        <w:jc w:val="both"/>
        <w:rPr>
          <w:rFonts w:ascii="Times New Roman" w:hAnsi="Times New Roman"/>
          <w:bCs/>
          <w:i/>
          <w:iCs/>
          <w:color w:val="000000"/>
          <w:sz w:val="24"/>
        </w:rPr>
      </w:pPr>
      <w:r w:rsidRPr="00030E0E">
        <w:rPr>
          <w:rFonts w:ascii="Times New Roman" w:hAnsi="Times New Roman"/>
          <w:bCs/>
          <w:i/>
          <w:iCs/>
          <w:color w:val="000000"/>
          <w:sz w:val="24"/>
        </w:rPr>
        <w:t>* Equity = Capital and reserves – 50% of intangible assets</w:t>
      </w:r>
    </w:p>
    <w:p w14:paraId="2DFB085B" w14:textId="27701C9B" w:rsidR="00030E0E" w:rsidRDefault="00030E0E" w:rsidP="00C659AC">
      <w:pPr>
        <w:spacing w:after="0"/>
        <w:jc w:val="both"/>
        <w:rPr>
          <w:rFonts w:ascii="Times New Roman" w:hAnsi="Times New Roman"/>
          <w:bCs/>
          <w:color w:val="000000"/>
          <w:sz w:val="24"/>
        </w:rPr>
      </w:pPr>
    </w:p>
    <w:p w14:paraId="1367C428" w14:textId="77777777" w:rsidR="00030E0E" w:rsidRPr="00030E0E" w:rsidRDefault="00030E0E" w:rsidP="00030E0E">
      <w:pPr>
        <w:spacing w:after="0"/>
        <w:jc w:val="both"/>
        <w:rPr>
          <w:rFonts w:ascii="Times New Roman" w:hAnsi="Times New Roman"/>
          <w:b/>
          <w:color w:val="000000"/>
          <w:sz w:val="24"/>
        </w:rPr>
      </w:pPr>
      <w:r w:rsidRPr="00030E0E">
        <w:rPr>
          <w:rFonts w:ascii="Times New Roman" w:hAnsi="Times New Roman"/>
          <w:b/>
          <w:color w:val="000000"/>
          <w:sz w:val="24"/>
        </w:rPr>
        <w:t xml:space="preserve">Total debt </w:t>
      </w:r>
      <w:r w:rsidRPr="00030E0E">
        <w:rPr>
          <w:rFonts w:ascii="Times New Roman" w:hAnsi="Times New Roman"/>
          <w:bCs/>
          <w:color w:val="000000"/>
          <w:sz w:val="24"/>
        </w:rPr>
        <w:t>is external funding, which consists of:</w:t>
      </w:r>
    </w:p>
    <w:p w14:paraId="4C34239B" w14:textId="78692BF2" w:rsidR="00030E0E" w:rsidRPr="00030E0E" w:rsidRDefault="00030E0E" w:rsidP="00030E0E">
      <w:pPr>
        <w:numPr>
          <w:ilvl w:val="0"/>
          <w:numId w:val="32"/>
        </w:numPr>
        <w:spacing w:after="0"/>
        <w:jc w:val="both"/>
        <w:rPr>
          <w:rFonts w:ascii="Times New Roman" w:hAnsi="Times New Roman"/>
          <w:bCs/>
          <w:color w:val="000000"/>
          <w:sz w:val="24"/>
        </w:rPr>
      </w:pPr>
      <w:r w:rsidRPr="00030E0E">
        <w:rPr>
          <w:rFonts w:ascii="Times New Roman" w:hAnsi="Times New Roman"/>
          <w:bCs/>
          <w:color w:val="000000"/>
          <w:sz w:val="24"/>
        </w:rPr>
        <w:t xml:space="preserve">Short-term debt (money which an entity </w:t>
      </w:r>
      <w:proofErr w:type="gramStart"/>
      <w:r w:rsidRPr="00030E0E">
        <w:rPr>
          <w:rFonts w:ascii="Times New Roman" w:hAnsi="Times New Roman"/>
          <w:bCs/>
          <w:color w:val="000000"/>
          <w:sz w:val="24"/>
        </w:rPr>
        <w:t>has to</w:t>
      </w:r>
      <w:proofErr w:type="gramEnd"/>
      <w:r w:rsidRPr="00030E0E">
        <w:rPr>
          <w:rFonts w:ascii="Times New Roman" w:hAnsi="Times New Roman"/>
          <w:bCs/>
          <w:color w:val="000000"/>
          <w:sz w:val="24"/>
        </w:rPr>
        <w:t xml:space="preserve"> pay within 1 year after the current</w:t>
      </w:r>
      <w:r>
        <w:rPr>
          <w:rFonts w:ascii="Times New Roman" w:hAnsi="Times New Roman"/>
          <w:bCs/>
          <w:color w:val="000000"/>
          <w:sz w:val="24"/>
        </w:rPr>
        <w:t xml:space="preserve"> </w:t>
      </w:r>
      <w:r w:rsidRPr="00030E0E">
        <w:rPr>
          <w:rFonts w:ascii="Times New Roman" w:hAnsi="Times New Roman"/>
          <w:bCs/>
          <w:color w:val="000000"/>
          <w:sz w:val="24"/>
        </w:rPr>
        <w:t>financial period), e.g. EC-prefinancing to be implemented Y+1</w:t>
      </w:r>
    </w:p>
    <w:p w14:paraId="401A976D" w14:textId="78C5A9EB" w:rsidR="00030E0E" w:rsidRPr="00030E0E" w:rsidRDefault="00030E0E" w:rsidP="00030E0E">
      <w:pPr>
        <w:numPr>
          <w:ilvl w:val="0"/>
          <w:numId w:val="32"/>
        </w:numPr>
        <w:spacing w:after="0"/>
        <w:jc w:val="both"/>
        <w:rPr>
          <w:rFonts w:ascii="Times New Roman" w:hAnsi="Times New Roman"/>
          <w:bCs/>
          <w:color w:val="000000"/>
          <w:sz w:val="24"/>
        </w:rPr>
      </w:pPr>
      <w:r w:rsidRPr="00030E0E">
        <w:rPr>
          <w:rFonts w:ascii="Times New Roman" w:hAnsi="Times New Roman"/>
          <w:bCs/>
          <w:color w:val="000000"/>
          <w:sz w:val="24"/>
        </w:rPr>
        <w:t xml:space="preserve">Long-term debt (money which an entity </w:t>
      </w:r>
      <w:proofErr w:type="gramStart"/>
      <w:r w:rsidRPr="00030E0E">
        <w:rPr>
          <w:rFonts w:ascii="Times New Roman" w:hAnsi="Times New Roman"/>
          <w:bCs/>
          <w:color w:val="000000"/>
          <w:sz w:val="24"/>
        </w:rPr>
        <w:t>has to</w:t>
      </w:r>
      <w:proofErr w:type="gramEnd"/>
      <w:r w:rsidRPr="00030E0E">
        <w:rPr>
          <w:rFonts w:ascii="Times New Roman" w:hAnsi="Times New Roman"/>
          <w:bCs/>
          <w:color w:val="000000"/>
          <w:sz w:val="24"/>
        </w:rPr>
        <w:t xml:space="preserve"> pay later than 1 year after the current</w:t>
      </w:r>
      <w:r>
        <w:rPr>
          <w:rFonts w:ascii="Times New Roman" w:hAnsi="Times New Roman"/>
          <w:bCs/>
          <w:color w:val="000000"/>
          <w:sz w:val="24"/>
        </w:rPr>
        <w:t xml:space="preserve"> </w:t>
      </w:r>
      <w:r w:rsidRPr="00030E0E">
        <w:rPr>
          <w:rFonts w:ascii="Times New Roman" w:hAnsi="Times New Roman"/>
          <w:bCs/>
          <w:color w:val="000000"/>
          <w:sz w:val="24"/>
        </w:rPr>
        <w:t>financial period), e.g. long-term part of EC-prefinancing.</w:t>
      </w:r>
    </w:p>
    <w:p w14:paraId="0CE88FAF" w14:textId="77777777" w:rsidR="00030E0E" w:rsidRDefault="00030E0E" w:rsidP="00030E0E">
      <w:pPr>
        <w:spacing w:after="0"/>
        <w:jc w:val="both"/>
        <w:rPr>
          <w:rFonts w:ascii="Times New Roman" w:hAnsi="Times New Roman"/>
          <w:bCs/>
          <w:color w:val="000000"/>
          <w:sz w:val="24"/>
        </w:rPr>
      </w:pPr>
    </w:p>
    <w:p w14:paraId="5730196C" w14:textId="75C7CBF6" w:rsidR="00030E0E" w:rsidRPr="00030E0E" w:rsidRDefault="00030E0E" w:rsidP="00030E0E">
      <w:pPr>
        <w:spacing w:after="0"/>
        <w:jc w:val="both"/>
        <w:rPr>
          <w:rFonts w:ascii="Times New Roman" w:hAnsi="Times New Roman"/>
          <w:bCs/>
          <w:color w:val="000000"/>
          <w:sz w:val="24"/>
        </w:rPr>
      </w:pPr>
      <w:r w:rsidRPr="00030E0E">
        <w:rPr>
          <w:rFonts w:ascii="Times New Roman" w:hAnsi="Times New Roman"/>
          <w:b/>
          <w:color w:val="000000"/>
          <w:sz w:val="24"/>
        </w:rPr>
        <w:t>Equity</w:t>
      </w:r>
      <w:r w:rsidRPr="00030E0E">
        <w:rPr>
          <w:rFonts w:ascii="Times New Roman" w:hAnsi="Times New Roman"/>
          <w:bCs/>
          <w:color w:val="000000"/>
          <w:sz w:val="24"/>
        </w:rPr>
        <w:t xml:space="preserve"> consists of the capital, unrestricted reserves and retained earnings, less 50% of the</w:t>
      </w:r>
    </w:p>
    <w:p w14:paraId="6B4C227E" w14:textId="77777777" w:rsidR="00030E0E" w:rsidRPr="00030E0E" w:rsidRDefault="00030E0E" w:rsidP="00030E0E">
      <w:pPr>
        <w:spacing w:after="0"/>
        <w:jc w:val="both"/>
        <w:rPr>
          <w:rFonts w:ascii="Times New Roman" w:hAnsi="Times New Roman"/>
          <w:bCs/>
          <w:color w:val="000000"/>
          <w:sz w:val="24"/>
        </w:rPr>
      </w:pPr>
      <w:r w:rsidRPr="00030E0E">
        <w:rPr>
          <w:rFonts w:ascii="Times New Roman" w:hAnsi="Times New Roman"/>
          <w:bCs/>
          <w:color w:val="000000"/>
          <w:sz w:val="24"/>
        </w:rPr>
        <w:t>fixed intangible assets. The reduction by 50% of intangible assets is applied because the</w:t>
      </w:r>
    </w:p>
    <w:p w14:paraId="62D428F1" w14:textId="4691744A" w:rsidR="00030E0E" w:rsidRDefault="00030E0E" w:rsidP="00030E0E">
      <w:pPr>
        <w:spacing w:after="0"/>
        <w:jc w:val="both"/>
        <w:rPr>
          <w:rFonts w:ascii="Times New Roman" w:hAnsi="Times New Roman"/>
          <w:bCs/>
          <w:color w:val="000000"/>
          <w:sz w:val="24"/>
        </w:rPr>
      </w:pPr>
      <w:r w:rsidRPr="00030E0E">
        <w:rPr>
          <w:rFonts w:ascii="Times New Roman" w:hAnsi="Times New Roman"/>
          <w:bCs/>
          <w:color w:val="000000"/>
          <w:sz w:val="24"/>
        </w:rPr>
        <w:t>estimated value can fluctuate.</w:t>
      </w:r>
    </w:p>
    <w:p w14:paraId="55271492" w14:textId="77777777" w:rsidR="00030E0E" w:rsidRPr="00030E0E" w:rsidRDefault="00030E0E" w:rsidP="00030E0E">
      <w:pPr>
        <w:spacing w:after="0"/>
        <w:jc w:val="both"/>
        <w:rPr>
          <w:rFonts w:ascii="Times New Roman" w:hAnsi="Times New Roman"/>
          <w:bCs/>
          <w:color w:val="000000"/>
          <w:sz w:val="24"/>
        </w:rPr>
      </w:pPr>
    </w:p>
    <w:p w14:paraId="0FB18AAB" w14:textId="281C2975" w:rsidR="00030E0E" w:rsidRDefault="00030E0E" w:rsidP="00030E0E">
      <w:pPr>
        <w:spacing w:after="0"/>
        <w:jc w:val="both"/>
        <w:rPr>
          <w:rFonts w:ascii="Times New Roman" w:hAnsi="Times New Roman"/>
          <w:bCs/>
          <w:color w:val="000000"/>
          <w:sz w:val="24"/>
        </w:rPr>
      </w:pPr>
      <w:r w:rsidRPr="00030E0E">
        <w:rPr>
          <w:rFonts w:ascii="Times New Roman" w:hAnsi="Times New Roman"/>
          <w:b/>
          <w:color w:val="000000"/>
          <w:sz w:val="24"/>
        </w:rPr>
        <w:t>Capital and reserves</w:t>
      </w:r>
      <w:r w:rsidRPr="00030E0E">
        <w:rPr>
          <w:rFonts w:ascii="Times New Roman" w:hAnsi="Times New Roman"/>
          <w:bCs/>
          <w:color w:val="000000"/>
          <w:sz w:val="24"/>
        </w:rPr>
        <w:t xml:space="preserve"> </w:t>
      </w:r>
      <w:proofErr w:type="gramStart"/>
      <w:r w:rsidRPr="00030E0E">
        <w:rPr>
          <w:rFonts w:ascii="Times New Roman" w:hAnsi="Times New Roman"/>
          <w:bCs/>
          <w:color w:val="000000"/>
          <w:sz w:val="24"/>
        </w:rPr>
        <w:t>refers</w:t>
      </w:r>
      <w:proofErr w:type="gramEnd"/>
      <w:r w:rsidRPr="00030E0E">
        <w:rPr>
          <w:rFonts w:ascii="Times New Roman" w:hAnsi="Times New Roman"/>
          <w:bCs/>
          <w:color w:val="000000"/>
          <w:sz w:val="24"/>
        </w:rPr>
        <w:t xml:space="preserve"> to own funds, and is the difference between an entity’s total</w:t>
      </w:r>
      <w:r>
        <w:rPr>
          <w:rFonts w:ascii="Times New Roman" w:hAnsi="Times New Roman"/>
          <w:bCs/>
          <w:color w:val="000000"/>
          <w:sz w:val="24"/>
        </w:rPr>
        <w:t xml:space="preserve"> </w:t>
      </w:r>
      <w:r w:rsidRPr="00030E0E">
        <w:rPr>
          <w:rFonts w:ascii="Times New Roman" w:hAnsi="Times New Roman"/>
          <w:bCs/>
          <w:color w:val="000000"/>
          <w:sz w:val="24"/>
        </w:rPr>
        <w:t>assets and its total debts (= external funds). It should at least cover the total of the fixed</w:t>
      </w:r>
      <w:r>
        <w:rPr>
          <w:rFonts w:ascii="Times New Roman" w:hAnsi="Times New Roman"/>
          <w:bCs/>
          <w:color w:val="000000"/>
          <w:sz w:val="24"/>
        </w:rPr>
        <w:t xml:space="preserve"> </w:t>
      </w:r>
      <w:r w:rsidRPr="00030E0E">
        <w:rPr>
          <w:rFonts w:ascii="Times New Roman" w:hAnsi="Times New Roman"/>
          <w:bCs/>
          <w:color w:val="000000"/>
          <w:sz w:val="24"/>
        </w:rPr>
        <w:t>assets, the balance being the so-called “working capital”. It is also the amount available to</w:t>
      </w:r>
      <w:r>
        <w:rPr>
          <w:rFonts w:ascii="Times New Roman" w:hAnsi="Times New Roman"/>
          <w:bCs/>
          <w:color w:val="000000"/>
          <w:sz w:val="24"/>
        </w:rPr>
        <w:t xml:space="preserve"> </w:t>
      </w:r>
      <w:r w:rsidRPr="00030E0E">
        <w:rPr>
          <w:rFonts w:ascii="Times New Roman" w:hAnsi="Times New Roman"/>
          <w:bCs/>
          <w:color w:val="000000"/>
          <w:sz w:val="24"/>
        </w:rPr>
        <w:t>absorb unidentified losses.</w:t>
      </w:r>
    </w:p>
    <w:p w14:paraId="424A9359" w14:textId="77777777" w:rsidR="00030E0E" w:rsidRPr="00030E0E" w:rsidRDefault="00030E0E" w:rsidP="00030E0E">
      <w:pPr>
        <w:spacing w:after="0"/>
        <w:jc w:val="both"/>
        <w:rPr>
          <w:rFonts w:ascii="Times New Roman" w:hAnsi="Times New Roman"/>
          <w:bCs/>
          <w:color w:val="000000"/>
          <w:sz w:val="24"/>
        </w:rPr>
      </w:pPr>
    </w:p>
    <w:p w14:paraId="02C90A58" w14:textId="776DDE00" w:rsidR="00030E0E" w:rsidRDefault="00030E0E" w:rsidP="00030E0E">
      <w:pPr>
        <w:spacing w:after="0"/>
        <w:jc w:val="both"/>
        <w:rPr>
          <w:rFonts w:ascii="Times New Roman" w:hAnsi="Times New Roman"/>
          <w:bCs/>
          <w:color w:val="000000"/>
          <w:sz w:val="24"/>
        </w:rPr>
      </w:pPr>
      <w:r w:rsidRPr="00030E0E">
        <w:rPr>
          <w:rFonts w:ascii="Times New Roman" w:hAnsi="Times New Roman"/>
          <w:b/>
          <w:color w:val="000000"/>
          <w:sz w:val="24"/>
        </w:rPr>
        <w:t>Intangible assets</w:t>
      </w:r>
      <w:r w:rsidRPr="00030E0E">
        <w:rPr>
          <w:rFonts w:ascii="Times New Roman" w:hAnsi="Times New Roman"/>
          <w:bCs/>
          <w:color w:val="000000"/>
          <w:sz w:val="24"/>
        </w:rPr>
        <w:t xml:space="preserve"> are the assets which are not physical in nature (e.g. goodwill, brand</w:t>
      </w:r>
      <w:r>
        <w:rPr>
          <w:rFonts w:ascii="Times New Roman" w:hAnsi="Times New Roman"/>
          <w:bCs/>
          <w:color w:val="000000"/>
          <w:sz w:val="24"/>
        </w:rPr>
        <w:t xml:space="preserve"> </w:t>
      </w:r>
      <w:r w:rsidRPr="00030E0E">
        <w:rPr>
          <w:rFonts w:ascii="Times New Roman" w:hAnsi="Times New Roman"/>
          <w:bCs/>
          <w:color w:val="000000"/>
          <w:sz w:val="24"/>
        </w:rPr>
        <w:t>recognition, copyrights, patents, trademarks, intellectual property, software etc.).</w:t>
      </w:r>
    </w:p>
    <w:p w14:paraId="1CF0F9FF" w14:textId="77777777" w:rsidR="00030E0E" w:rsidRPr="00030E0E" w:rsidRDefault="00030E0E" w:rsidP="00030E0E">
      <w:pPr>
        <w:spacing w:after="0"/>
        <w:jc w:val="both"/>
        <w:rPr>
          <w:rFonts w:ascii="Times New Roman" w:hAnsi="Times New Roman"/>
          <w:bCs/>
          <w:color w:val="000000"/>
          <w:sz w:val="24"/>
        </w:rPr>
      </w:pPr>
    </w:p>
    <w:p w14:paraId="759E9387" w14:textId="77777777" w:rsidR="00030E0E" w:rsidRPr="00030E0E" w:rsidRDefault="00030E0E" w:rsidP="00030E0E">
      <w:pPr>
        <w:spacing w:after="0"/>
        <w:jc w:val="both"/>
        <w:rPr>
          <w:rFonts w:ascii="Times New Roman" w:hAnsi="Times New Roman"/>
          <w:b/>
          <w:color w:val="000000"/>
          <w:sz w:val="24"/>
        </w:rPr>
      </w:pPr>
      <w:r w:rsidRPr="00030E0E">
        <w:rPr>
          <w:rFonts w:ascii="Times New Roman" w:hAnsi="Times New Roman"/>
          <w:b/>
          <w:color w:val="000000"/>
          <w:sz w:val="24"/>
        </w:rPr>
        <w:t>If the total debt exceeds the equity by more than 6 times or if the equity is negative, the</w:t>
      </w:r>
    </w:p>
    <w:p w14:paraId="13062301" w14:textId="330B15D2" w:rsidR="00030E0E" w:rsidRDefault="00030E0E" w:rsidP="00030E0E">
      <w:pPr>
        <w:spacing w:after="0"/>
        <w:jc w:val="both"/>
        <w:rPr>
          <w:rFonts w:ascii="Times New Roman" w:hAnsi="Times New Roman"/>
          <w:b/>
          <w:color w:val="000000"/>
          <w:sz w:val="24"/>
        </w:rPr>
      </w:pPr>
      <w:r w:rsidRPr="00030E0E">
        <w:rPr>
          <w:rFonts w:ascii="Times New Roman" w:hAnsi="Times New Roman"/>
          <w:b/>
          <w:color w:val="000000"/>
          <w:sz w:val="24"/>
        </w:rPr>
        <w:t>entities’ solvency is considered “weak/insufficient”.</w:t>
      </w:r>
    </w:p>
    <w:p w14:paraId="4B50E5F1" w14:textId="2D4BE2A5" w:rsidR="00030E0E" w:rsidRDefault="00030E0E" w:rsidP="00030E0E">
      <w:pPr>
        <w:spacing w:after="0"/>
        <w:jc w:val="both"/>
        <w:rPr>
          <w:rFonts w:ascii="Times New Roman" w:hAnsi="Times New Roman"/>
          <w:b/>
          <w:color w:val="000000"/>
          <w:sz w:val="24"/>
        </w:rPr>
      </w:pPr>
    </w:p>
    <w:p w14:paraId="40CE8942" w14:textId="77777777" w:rsidR="00030E0E" w:rsidRDefault="00030E0E" w:rsidP="00030E0E">
      <w:pPr>
        <w:spacing w:after="0"/>
        <w:jc w:val="both"/>
        <w:rPr>
          <w:rFonts w:ascii="Times New Roman" w:hAnsi="Times New Roman"/>
          <w:b/>
          <w:color w:val="000000"/>
          <w:sz w:val="24"/>
        </w:rPr>
      </w:pPr>
    </w:p>
    <w:p w14:paraId="2DB9A20A" w14:textId="25797D74" w:rsidR="00030E0E" w:rsidRDefault="00030E0E" w:rsidP="00030E0E">
      <w:pPr>
        <w:spacing w:after="0"/>
        <w:jc w:val="both"/>
        <w:rPr>
          <w:rFonts w:ascii="Times New Roman" w:hAnsi="Times New Roman"/>
          <w:b/>
          <w:color w:val="000000"/>
          <w:sz w:val="24"/>
        </w:rPr>
      </w:pPr>
      <w:r>
        <w:rPr>
          <w:rFonts w:ascii="Times New Roman" w:hAnsi="Times New Roman"/>
          <w:b/>
          <w:color w:val="000000"/>
          <w:sz w:val="24"/>
        </w:rPr>
        <w:t>FINANCIAL AUTONOMY</w:t>
      </w:r>
    </w:p>
    <w:p w14:paraId="56D7A52F" w14:textId="29E8D82A" w:rsidR="00030E0E" w:rsidRDefault="00030E0E" w:rsidP="00030E0E">
      <w:pPr>
        <w:spacing w:after="0"/>
        <w:jc w:val="both"/>
        <w:rPr>
          <w:rFonts w:ascii="Times New Roman" w:hAnsi="Times New Roman"/>
          <w:b/>
          <w:color w:val="000000"/>
          <w:sz w:val="24"/>
        </w:rPr>
      </w:pPr>
    </w:p>
    <w:p w14:paraId="64B97FCC" w14:textId="0050504E" w:rsidR="00030E0E" w:rsidRPr="00030E0E" w:rsidRDefault="00030E0E" w:rsidP="00030E0E">
      <w:pPr>
        <w:spacing w:after="0"/>
        <w:jc w:val="both"/>
        <w:rPr>
          <w:rFonts w:ascii="Times New Roman" w:hAnsi="Times New Roman"/>
          <w:b/>
          <w:color w:val="000000"/>
          <w:sz w:val="24"/>
        </w:rPr>
      </w:pPr>
      <w:r w:rsidRPr="00030E0E">
        <w:rPr>
          <w:rFonts w:ascii="Times New Roman" w:hAnsi="Times New Roman"/>
          <w:bCs/>
          <w:color w:val="000000"/>
          <w:sz w:val="24"/>
        </w:rPr>
        <w:lastRenderedPageBreak/>
        <w:t xml:space="preserve">The financial autonomy ratio shows the entities’ </w:t>
      </w:r>
      <w:r w:rsidRPr="00030E0E">
        <w:rPr>
          <w:rFonts w:ascii="Times New Roman" w:hAnsi="Times New Roman"/>
          <w:b/>
          <w:color w:val="000000"/>
          <w:sz w:val="24"/>
        </w:rPr>
        <w:t>dependency on the interests bearing</w:t>
      </w:r>
      <w:r>
        <w:rPr>
          <w:rFonts w:ascii="Times New Roman" w:hAnsi="Times New Roman"/>
          <w:b/>
          <w:color w:val="000000"/>
          <w:sz w:val="24"/>
        </w:rPr>
        <w:t xml:space="preserve"> </w:t>
      </w:r>
      <w:r w:rsidRPr="00030E0E">
        <w:rPr>
          <w:rFonts w:ascii="Times New Roman" w:hAnsi="Times New Roman"/>
          <w:b/>
          <w:color w:val="000000"/>
          <w:sz w:val="24"/>
        </w:rPr>
        <w:t>funding</w:t>
      </w:r>
    </w:p>
    <w:p w14:paraId="534290C8" w14:textId="785E90BA" w:rsidR="00030E0E" w:rsidRPr="00030E0E" w:rsidRDefault="00030E0E" w:rsidP="00030E0E">
      <w:pPr>
        <w:spacing w:after="0"/>
        <w:jc w:val="both"/>
        <w:rPr>
          <w:rFonts w:ascii="Times New Roman" w:hAnsi="Times New Roman"/>
          <w:bCs/>
          <w:color w:val="000000"/>
          <w:sz w:val="24"/>
        </w:rPr>
      </w:pPr>
    </w:p>
    <w:p w14:paraId="7C5F9980" w14:textId="77777777" w:rsidR="00030E0E" w:rsidRPr="00030E0E" w:rsidRDefault="00030E0E" w:rsidP="00030E0E">
      <w:pPr>
        <w:spacing w:after="0"/>
        <w:jc w:val="both"/>
        <w:rPr>
          <w:rFonts w:ascii="Times New Roman" w:hAnsi="Times New Roman"/>
          <w:bCs/>
          <w:color w:val="000000"/>
          <w:sz w:val="24"/>
        </w:rPr>
      </w:pPr>
      <w:r w:rsidRPr="00030E0E">
        <w:rPr>
          <w:rFonts w:ascii="Times New Roman" w:hAnsi="Times New Roman"/>
          <w:bCs/>
          <w:color w:val="000000"/>
          <w:sz w:val="24"/>
        </w:rPr>
        <w:t xml:space="preserve">It is calculated by dividing the </w:t>
      </w:r>
      <w:r w:rsidRPr="00030E0E">
        <w:rPr>
          <w:rFonts w:ascii="Times New Roman" w:hAnsi="Times New Roman"/>
          <w:b/>
          <w:color w:val="000000"/>
          <w:sz w:val="24"/>
        </w:rPr>
        <w:t>Interest paid</w:t>
      </w:r>
      <w:r w:rsidRPr="00030E0E">
        <w:rPr>
          <w:rFonts w:ascii="Times New Roman" w:hAnsi="Times New Roman"/>
          <w:bCs/>
          <w:color w:val="000000"/>
          <w:sz w:val="24"/>
        </w:rPr>
        <w:t xml:space="preserve"> by the </w:t>
      </w:r>
      <w:r w:rsidRPr="00030E0E">
        <w:rPr>
          <w:rFonts w:ascii="Times New Roman" w:hAnsi="Times New Roman"/>
          <w:b/>
          <w:color w:val="000000"/>
          <w:sz w:val="24"/>
        </w:rPr>
        <w:t>Gross operating profit.</w:t>
      </w:r>
    </w:p>
    <w:p w14:paraId="42E3B59B" w14:textId="77777777" w:rsidR="00030E0E" w:rsidRDefault="00030E0E" w:rsidP="00030E0E">
      <w:pPr>
        <w:spacing w:after="0"/>
        <w:jc w:val="both"/>
        <w:rPr>
          <w:rFonts w:ascii="Times New Roman" w:hAnsi="Times New Roman"/>
          <w:b/>
          <w:color w:val="000000"/>
          <w:sz w:val="24"/>
        </w:rPr>
      </w:pPr>
    </w:p>
    <w:p w14:paraId="6026B6FD" w14:textId="40D670A2" w:rsidR="00030E0E" w:rsidRDefault="00030E0E" w:rsidP="00030E0E">
      <w:pPr>
        <w:spacing w:after="0"/>
        <w:jc w:val="both"/>
        <w:rPr>
          <w:rFonts w:ascii="Times New Roman" w:hAnsi="Times New Roman"/>
          <w:bCs/>
          <w:color w:val="000000"/>
          <w:sz w:val="24"/>
        </w:rPr>
      </w:pPr>
      <w:r w:rsidRPr="00030E0E">
        <w:rPr>
          <w:rFonts w:ascii="Times New Roman" w:hAnsi="Times New Roman"/>
          <w:b/>
          <w:color w:val="000000"/>
          <w:sz w:val="24"/>
        </w:rPr>
        <w:t>Gross operating profit</w:t>
      </w:r>
      <w:r w:rsidRPr="00030E0E">
        <w:rPr>
          <w:rFonts w:ascii="Times New Roman" w:hAnsi="Times New Roman"/>
          <w:bCs/>
          <w:color w:val="000000"/>
          <w:sz w:val="24"/>
        </w:rPr>
        <w:t xml:space="preserve"> represents the economic surplus generated by the entity’s business</w:t>
      </w:r>
      <w:r>
        <w:rPr>
          <w:rFonts w:ascii="Times New Roman" w:hAnsi="Times New Roman"/>
          <w:bCs/>
          <w:color w:val="000000"/>
          <w:sz w:val="24"/>
        </w:rPr>
        <w:t xml:space="preserve"> </w:t>
      </w:r>
      <w:r w:rsidRPr="00030E0E">
        <w:rPr>
          <w:rFonts w:ascii="Times New Roman" w:hAnsi="Times New Roman"/>
          <w:bCs/>
          <w:color w:val="000000"/>
          <w:sz w:val="24"/>
        </w:rPr>
        <w:t>operation after deduction of operating expenses (e.g. rent, equipment, inventory, payroll</w:t>
      </w:r>
      <w:r>
        <w:rPr>
          <w:rFonts w:ascii="Times New Roman" w:hAnsi="Times New Roman"/>
          <w:bCs/>
          <w:color w:val="000000"/>
          <w:sz w:val="24"/>
        </w:rPr>
        <w:t xml:space="preserve"> </w:t>
      </w:r>
      <w:r w:rsidRPr="00030E0E">
        <w:rPr>
          <w:rFonts w:ascii="Times New Roman" w:hAnsi="Times New Roman"/>
          <w:bCs/>
          <w:color w:val="000000"/>
          <w:sz w:val="24"/>
        </w:rPr>
        <w:t>costs, funds allocated for research and innovation etc.). These funds must be sufficient to</w:t>
      </w:r>
      <w:r>
        <w:rPr>
          <w:rFonts w:ascii="Times New Roman" w:hAnsi="Times New Roman"/>
          <w:bCs/>
          <w:color w:val="000000"/>
          <w:sz w:val="24"/>
        </w:rPr>
        <w:t xml:space="preserve"> </w:t>
      </w:r>
      <w:r w:rsidRPr="00030E0E">
        <w:rPr>
          <w:rFonts w:ascii="Times New Roman" w:hAnsi="Times New Roman"/>
          <w:bCs/>
          <w:color w:val="000000"/>
          <w:sz w:val="24"/>
        </w:rPr>
        <w:t>cover depreciation, financial and other charges, the need for a business to make a profit etc.</w:t>
      </w:r>
    </w:p>
    <w:p w14:paraId="7DABC06D" w14:textId="77777777" w:rsidR="00030E0E" w:rsidRPr="00030E0E" w:rsidRDefault="00030E0E" w:rsidP="00030E0E">
      <w:pPr>
        <w:spacing w:after="0"/>
        <w:jc w:val="both"/>
        <w:rPr>
          <w:rFonts w:ascii="Times New Roman" w:hAnsi="Times New Roman"/>
          <w:bCs/>
          <w:color w:val="000000"/>
          <w:sz w:val="24"/>
        </w:rPr>
      </w:pPr>
    </w:p>
    <w:p w14:paraId="678AD827" w14:textId="07C87AEE" w:rsidR="00030E0E" w:rsidRDefault="00030E0E" w:rsidP="00030E0E">
      <w:pPr>
        <w:spacing w:after="0"/>
        <w:jc w:val="both"/>
        <w:rPr>
          <w:rFonts w:ascii="Times New Roman" w:hAnsi="Times New Roman"/>
          <w:bCs/>
          <w:color w:val="000000"/>
          <w:sz w:val="24"/>
        </w:rPr>
      </w:pPr>
      <w:r w:rsidRPr="00030E0E">
        <w:rPr>
          <w:rFonts w:ascii="Times New Roman" w:hAnsi="Times New Roman"/>
          <w:bCs/>
          <w:color w:val="000000"/>
          <w:sz w:val="24"/>
        </w:rPr>
        <w:t>Interest paid on the current bank account, included in the operational costs, are not</w:t>
      </w:r>
      <w:r>
        <w:rPr>
          <w:rFonts w:ascii="Times New Roman" w:hAnsi="Times New Roman"/>
          <w:bCs/>
          <w:color w:val="000000"/>
          <w:sz w:val="24"/>
        </w:rPr>
        <w:t xml:space="preserve"> </w:t>
      </w:r>
      <w:r w:rsidRPr="00030E0E">
        <w:rPr>
          <w:rFonts w:ascii="Times New Roman" w:hAnsi="Times New Roman"/>
          <w:bCs/>
          <w:color w:val="000000"/>
          <w:sz w:val="24"/>
        </w:rPr>
        <w:t>included.</w:t>
      </w:r>
    </w:p>
    <w:p w14:paraId="3120C106" w14:textId="77777777" w:rsidR="00030E0E" w:rsidRPr="00030E0E" w:rsidRDefault="00030E0E" w:rsidP="00030E0E">
      <w:pPr>
        <w:spacing w:after="0"/>
        <w:jc w:val="both"/>
        <w:rPr>
          <w:rFonts w:ascii="Times New Roman" w:hAnsi="Times New Roman"/>
          <w:bCs/>
          <w:color w:val="000000"/>
          <w:sz w:val="24"/>
        </w:rPr>
      </w:pPr>
    </w:p>
    <w:p w14:paraId="4FCEE666" w14:textId="5A06ACDC" w:rsidR="00030E0E" w:rsidRDefault="00030E0E" w:rsidP="00030E0E">
      <w:pPr>
        <w:spacing w:after="0"/>
        <w:jc w:val="both"/>
        <w:rPr>
          <w:rFonts w:ascii="Times New Roman" w:hAnsi="Times New Roman"/>
          <w:bCs/>
          <w:color w:val="000000"/>
          <w:sz w:val="24"/>
        </w:rPr>
      </w:pPr>
      <w:r w:rsidRPr="00030E0E">
        <w:rPr>
          <w:rFonts w:ascii="Times New Roman" w:hAnsi="Times New Roman"/>
          <w:bCs/>
          <w:color w:val="000000"/>
          <w:sz w:val="24"/>
        </w:rPr>
        <w:t>It should be kept in mind that if the “most prudent approach” is applied for the calculation</w:t>
      </w:r>
      <w:r>
        <w:rPr>
          <w:rFonts w:ascii="Times New Roman" w:hAnsi="Times New Roman"/>
          <w:bCs/>
          <w:color w:val="000000"/>
          <w:sz w:val="24"/>
        </w:rPr>
        <w:t xml:space="preserve"> </w:t>
      </w:r>
      <w:r w:rsidRPr="00030E0E">
        <w:rPr>
          <w:rFonts w:ascii="Times New Roman" w:hAnsi="Times New Roman"/>
          <w:bCs/>
          <w:color w:val="000000"/>
          <w:sz w:val="24"/>
        </w:rPr>
        <w:t>of the financial autonomy indicator, all non-identified financial costs are considered as</w:t>
      </w:r>
      <w:r>
        <w:rPr>
          <w:rFonts w:ascii="Times New Roman" w:hAnsi="Times New Roman"/>
          <w:bCs/>
          <w:color w:val="000000"/>
          <w:sz w:val="24"/>
        </w:rPr>
        <w:t xml:space="preserve"> </w:t>
      </w:r>
      <w:r w:rsidRPr="00030E0E">
        <w:rPr>
          <w:rFonts w:ascii="Times New Roman" w:hAnsi="Times New Roman"/>
          <w:bCs/>
          <w:color w:val="000000"/>
          <w:sz w:val="24"/>
        </w:rPr>
        <w:t>interests paid which makes the indicator less favourable.</w:t>
      </w:r>
    </w:p>
    <w:p w14:paraId="4D2259E6" w14:textId="77777777" w:rsidR="00030E0E" w:rsidRPr="00030E0E" w:rsidRDefault="00030E0E" w:rsidP="00030E0E">
      <w:pPr>
        <w:spacing w:after="0"/>
        <w:jc w:val="both"/>
        <w:rPr>
          <w:rFonts w:ascii="Times New Roman" w:hAnsi="Times New Roman"/>
          <w:bCs/>
          <w:color w:val="000000"/>
          <w:sz w:val="24"/>
        </w:rPr>
      </w:pPr>
    </w:p>
    <w:p w14:paraId="57A051FE" w14:textId="77777777" w:rsidR="00030E0E" w:rsidRDefault="00030E0E" w:rsidP="00030E0E">
      <w:pPr>
        <w:spacing w:after="0"/>
        <w:jc w:val="both"/>
        <w:rPr>
          <w:rFonts w:ascii="Times New Roman" w:hAnsi="Times New Roman"/>
          <w:b/>
          <w:color w:val="000000"/>
          <w:sz w:val="24"/>
        </w:rPr>
      </w:pPr>
      <w:r w:rsidRPr="00030E0E">
        <w:rPr>
          <w:rFonts w:ascii="Times New Roman" w:hAnsi="Times New Roman"/>
          <w:b/>
          <w:color w:val="000000"/>
          <w:sz w:val="24"/>
        </w:rPr>
        <w:t>If for each euro of its generated gross operating profit, the entity pays more than 40 cents</w:t>
      </w:r>
      <w:r>
        <w:rPr>
          <w:rFonts w:ascii="Times New Roman" w:hAnsi="Times New Roman"/>
          <w:b/>
          <w:color w:val="000000"/>
          <w:sz w:val="24"/>
        </w:rPr>
        <w:t xml:space="preserve"> </w:t>
      </w:r>
      <w:r w:rsidRPr="00030E0E">
        <w:rPr>
          <w:rFonts w:ascii="Times New Roman" w:hAnsi="Times New Roman"/>
          <w:b/>
          <w:color w:val="000000"/>
          <w:sz w:val="24"/>
        </w:rPr>
        <w:t>of interests or the gross operating profit is negative, the financial autonomy is considered</w:t>
      </w:r>
      <w:r>
        <w:rPr>
          <w:rFonts w:ascii="Times New Roman" w:hAnsi="Times New Roman"/>
          <w:b/>
          <w:color w:val="000000"/>
          <w:sz w:val="24"/>
        </w:rPr>
        <w:t xml:space="preserve"> </w:t>
      </w:r>
      <w:r w:rsidRPr="00030E0E">
        <w:rPr>
          <w:rFonts w:ascii="Times New Roman" w:hAnsi="Times New Roman"/>
          <w:b/>
          <w:color w:val="000000"/>
          <w:sz w:val="24"/>
        </w:rPr>
        <w:t>“weak/insufficient”.</w:t>
      </w:r>
    </w:p>
    <w:p w14:paraId="3C765B9C" w14:textId="67556355" w:rsidR="00030E0E" w:rsidRDefault="00030E0E" w:rsidP="00030E0E">
      <w:pPr>
        <w:spacing w:after="0"/>
        <w:jc w:val="both"/>
        <w:rPr>
          <w:rFonts w:ascii="Times New Roman" w:hAnsi="Times New Roman"/>
          <w:b/>
          <w:color w:val="000000"/>
          <w:sz w:val="24"/>
        </w:rPr>
      </w:pPr>
    </w:p>
    <w:p w14:paraId="51D09283" w14:textId="77777777" w:rsidR="00030E0E" w:rsidRDefault="00030E0E" w:rsidP="00030E0E">
      <w:pPr>
        <w:spacing w:after="0"/>
        <w:jc w:val="both"/>
        <w:rPr>
          <w:rFonts w:ascii="Times New Roman" w:hAnsi="Times New Roman"/>
          <w:b/>
          <w:color w:val="000000"/>
          <w:sz w:val="24"/>
        </w:rPr>
      </w:pPr>
    </w:p>
    <w:p w14:paraId="23A53D73" w14:textId="4AFAB9A4" w:rsidR="00030E0E" w:rsidRDefault="00030E0E" w:rsidP="00030E0E">
      <w:pPr>
        <w:spacing w:after="0"/>
        <w:jc w:val="both"/>
        <w:rPr>
          <w:rFonts w:ascii="Times New Roman" w:hAnsi="Times New Roman"/>
          <w:b/>
          <w:color w:val="000000"/>
          <w:sz w:val="24"/>
        </w:rPr>
      </w:pPr>
      <w:r>
        <w:rPr>
          <w:rFonts w:ascii="Times New Roman" w:hAnsi="Times New Roman"/>
          <w:b/>
          <w:color w:val="000000"/>
          <w:sz w:val="24"/>
        </w:rPr>
        <w:t>PROFITABILITY (1)</w:t>
      </w:r>
    </w:p>
    <w:p w14:paraId="0FB0B54D" w14:textId="3CD346A4" w:rsidR="00030E0E" w:rsidRDefault="00030E0E" w:rsidP="00030E0E">
      <w:pPr>
        <w:spacing w:after="0"/>
        <w:jc w:val="both"/>
        <w:rPr>
          <w:rFonts w:ascii="Times New Roman" w:hAnsi="Times New Roman"/>
          <w:b/>
          <w:color w:val="000000"/>
          <w:sz w:val="24"/>
        </w:rPr>
      </w:pPr>
    </w:p>
    <w:p w14:paraId="1049DC9F" w14:textId="38D8D3D4" w:rsidR="00030E0E" w:rsidRPr="00030E0E" w:rsidRDefault="00030E0E" w:rsidP="00030E0E">
      <w:pPr>
        <w:spacing w:after="0"/>
        <w:jc w:val="both"/>
        <w:rPr>
          <w:rFonts w:ascii="Times New Roman" w:hAnsi="Times New Roman"/>
          <w:bCs/>
          <w:color w:val="000000"/>
          <w:sz w:val="24"/>
        </w:rPr>
      </w:pPr>
      <w:r w:rsidRPr="00030E0E">
        <w:rPr>
          <w:rFonts w:ascii="Times New Roman" w:hAnsi="Times New Roman"/>
          <w:bCs/>
          <w:color w:val="000000"/>
          <w:sz w:val="24"/>
        </w:rPr>
        <w:t>The profitability (1) ratio shows the entities’ ability to generate a positive operating result.</w:t>
      </w:r>
    </w:p>
    <w:p w14:paraId="570B7123" w14:textId="71434374" w:rsidR="00030E0E" w:rsidRPr="00030E0E" w:rsidRDefault="00030E0E" w:rsidP="00030E0E">
      <w:pPr>
        <w:spacing w:after="0"/>
        <w:jc w:val="both"/>
        <w:rPr>
          <w:rFonts w:ascii="Times New Roman" w:hAnsi="Times New Roman"/>
          <w:bCs/>
          <w:color w:val="000000"/>
          <w:sz w:val="24"/>
        </w:rPr>
      </w:pPr>
    </w:p>
    <w:p w14:paraId="6A7858A0" w14:textId="77777777" w:rsidR="00030E0E" w:rsidRPr="00030E0E" w:rsidRDefault="00030E0E" w:rsidP="00030E0E">
      <w:pPr>
        <w:spacing w:after="0"/>
        <w:jc w:val="both"/>
        <w:rPr>
          <w:rFonts w:ascii="Times New Roman" w:hAnsi="Times New Roman"/>
          <w:bCs/>
          <w:color w:val="000000"/>
          <w:sz w:val="24"/>
        </w:rPr>
      </w:pPr>
      <w:r w:rsidRPr="00030E0E">
        <w:rPr>
          <w:rFonts w:ascii="Times New Roman" w:hAnsi="Times New Roman"/>
          <w:bCs/>
          <w:color w:val="000000"/>
          <w:sz w:val="24"/>
        </w:rPr>
        <w:t xml:space="preserve">It is calculated by dividing the </w:t>
      </w:r>
      <w:r w:rsidRPr="00030E0E">
        <w:rPr>
          <w:rFonts w:ascii="Times New Roman" w:hAnsi="Times New Roman"/>
          <w:b/>
          <w:color w:val="000000"/>
          <w:sz w:val="24"/>
        </w:rPr>
        <w:t>Gross operating profit</w:t>
      </w:r>
      <w:r w:rsidRPr="00030E0E">
        <w:rPr>
          <w:rFonts w:ascii="Times New Roman" w:hAnsi="Times New Roman"/>
          <w:bCs/>
          <w:color w:val="000000"/>
          <w:sz w:val="24"/>
        </w:rPr>
        <w:t xml:space="preserve"> by </w:t>
      </w:r>
      <w:r w:rsidRPr="00030E0E">
        <w:rPr>
          <w:rFonts w:ascii="Times New Roman" w:hAnsi="Times New Roman"/>
          <w:b/>
          <w:color w:val="000000"/>
          <w:sz w:val="24"/>
        </w:rPr>
        <w:t>Turnover.</w:t>
      </w:r>
    </w:p>
    <w:p w14:paraId="7404B85F" w14:textId="190D6FB3" w:rsidR="00030E0E" w:rsidRPr="00030E0E" w:rsidRDefault="00030E0E" w:rsidP="00030E0E">
      <w:pPr>
        <w:spacing w:after="0"/>
        <w:jc w:val="both"/>
        <w:rPr>
          <w:rFonts w:ascii="Times New Roman" w:hAnsi="Times New Roman"/>
          <w:bCs/>
          <w:color w:val="000000"/>
          <w:sz w:val="24"/>
        </w:rPr>
      </w:pPr>
      <w:r w:rsidRPr="00030E0E">
        <w:rPr>
          <w:rFonts w:ascii="Times New Roman" w:hAnsi="Times New Roman"/>
          <w:b/>
          <w:color w:val="000000"/>
          <w:sz w:val="24"/>
        </w:rPr>
        <w:t>Gross operating profit</w:t>
      </w:r>
      <w:r w:rsidRPr="00030E0E">
        <w:rPr>
          <w:rFonts w:ascii="Times New Roman" w:hAnsi="Times New Roman"/>
          <w:bCs/>
          <w:color w:val="000000"/>
          <w:sz w:val="24"/>
        </w:rPr>
        <w:t xml:space="preserve"> represents the economic surplus generated by the entity’s business</w:t>
      </w:r>
      <w:r>
        <w:rPr>
          <w:rFonts w:ascii="Times New Roman" w:hAnsi="Times New Roman"/>
          <w:bCs/>
          <w:color w:val="000000"/>
          <w:sz w:val="24"/>
        </w:rPr>
        <w:t xml:space="preserve"> </w:t>
      </w:r>
      <w:r w:rsidRPr="00030E0E">
        <w:rPr>
          <w:rFonts w:ascii="Times New Roman" w:hAnsi="Times New Roman"/>
          <w:bCs/>
          <w:color w:val="000000"/>
          <w:sz w:val="24"/>
        </w:rPr>
        <w:t>operation once operating expenses (e.g. rent, equipment, inventory, payroll costs, funds</w:t>
      </w:r>
      <w:r>
        <w:rPr>
          <w:rFonts w:ascii="Times New Roman" w:hAnsi="Times New Roman"/>
          <w:bCs/>
          <w:color w:val="000000"/>
          <w:sz w:val="24"/>
        </w:rPr>
        <w:t xml:space="preserve"> </w:t>
      </w:r>
      <w:r w:rsidRPr="00030E0E">
        <w:rPr>
          <w:rFonts w:ascii="Times New Roman" w:hAnsi="Times New Roman"/>
          <w:bCs/>
          <w:color w:val="000000"/>
          <w:sz w:val="24"/>
        </w:rPr>
        <w:t xml:space="preserve">allocated for research and innovation, etc.) have been deducted. </w:t>
      </w:r>
      <w:proofErr w:type="gramStart"/>
      <w:r w:rsidRPr="00030E0E">
        <w:rPr>
          <w:rFonts w:ascii="Times New Roman" w:hAnsi="Times New Roman"/>
          <w:bCs/>
          <w:color w:val="000000"/>
          <w:sz w:val="24"/>
        </w:rPr>
        <w:t>In order to</w:t>
      </w:r>
      <w:proofErr w:type="gramEnd"/>
      <w:r w:rsidRPr="00030E0E">
        <w:rPr>
          <w:rFonts w:ascii="Times New Roman" w:hAnsi="Times New Roman"/>
          <w:bCs/>
          <w:color w:val="000000"/>
          <w:sz w:val="24"/>
        </w:rPr>
        <w:t xml:space="preserve"> make a profit,</w:t>
      </w:r>
      <w:r>
        <w:rPr>
          <w:rFonts w:ascii="Times New Roman" w:hAnsi="Times New Roman"/>
          <w:bCs/>
          <w:color w:val="000000"/>
          <w:sz w:val="24"/>
        </w:rPr>
        <w:t xml:space="preserve"> </w:t>
      </w:r>
      <w:r w:rsidRPr="00030E0E">
        <w:rPr>
          <w:rFonts w:ascii="Times New Roman" w:hAnsi="Times New Roman"/>
          <w:bCs/>
          <w:color w:val="000000"/>
          <w:sz w:val="24"/>
        </w:rPr>
        <w:t>this amount must be sufficient to cover the depreciation and amortization (the decrease of</w:t>
      </w:r>
      <w:r>
        <w:rPr>
          <w:rFonts w:ascii="Times New Roman" w:hAnsi="Times New Roman"/>
          <w:bCs/>
          <w:color w:val="000000"/>
          <w:sz w:val="24"/>
        </w:rPr>
        <w:t xml:space="preserve"> </w:t>
      </w:r>
      <w:r w:rsidRPr="00030E0E">
        <w:rPr>
          <w:rFonts w:ascii="Times New Roman" w:hAnsi="Times New Roman"/>
          <w:bCs/>
          <w:color w:val="000000"/>
          <w:sz w:val="24"/>
        </w:rPr>
        <w:t>the value of fixed non-financial assets), the impairment of financial assets and other financial</w:t>
      </w:r>
      <w:r>
        <w:rPr>
          <w:rFonts w:ascii="Times New Roman" w:hAnsi="Times New Roman"/>
          <w:bCs/>
          <w:color w:val="000000"/>
          <w:sz w:val="24"/>
        </w:rPr>
        <w:t xml:space="preserve"> </w:t>
      </w:r>
      <w:r w:rsidRPr="00030E0E">
        <w:rPr>
          <w:rFonts w:ascii="Times New Roman" w:hAnsi="Times New Roman"/>
          <w:bCs/>
          <w:color w:val="000000"/>
          <w:sz w:val="24"/>
        </w:rPr>
        <w:t>costs which are not related to the core operations, the extraordinary charges and the tax on</w:t>
      </w:r>
      <w:r>
        <w:rPr>
          <w:rFonts w:ascii="Times New Roman" w:hAnsi="Times New Roman"/>
          <w:bCs/>
          <w:color w:val="000000"/>
          <w:sz w:val="24"/>
        </w:rPr>
        <w:t xml:space="preserve"> </w:t>
      </w:r>
      <w:r w:rsidRPr="00030E0E">
        <w:rPr>
          <w:rFonts w:ascii="Times New Roman" w:hAnsi="Times New Roman"/>
          <w:bCs/>
          <w:color w:val="000000"/>
          <w:sz w:val="24"/>
        </w:rPr>
        <w:t>income.</w:t>
      </w:r>
    </w:p>
    <w:p w14:paraId="41D2CE03" w14:textId="77777777" w:rsidR="00030E0E" w:rsidRDefault="00030E0E" w:rsidP="00030E0E">
      <w:pPr>
        <w:spacing w:after="0"/>
        <w:jc w:val="both"/>
        <w:rPr>
          <w:rFonts w:ascii="Times New Roman" w:hAnsi="Times New Roman"/>
          <w:b/>
          <w:color w:val="000000"/>
          <w:sz w:val="24"/>
        </w:rPr>
      </w:pPr>
    </w:p>
    <w:p w14:paraId="147A3504" w14:textId="6BE98A7E" w:rsidR="00030E0E" w:rsidRPr="00030E0E" w:rsidRDefault="00030E0E" w:rsidP="00030E0E">
      <w:pPr>
        <w:spacing w:after="0"/>
        <w:jc w:val="both"/>
        <w:rPr>
          <w:rFonts w:ascii="Times New Roman" w:hAnsi="Times New Roman"/>
          <w:bCs/>
          <w:color w:val="000000"/>
          <w:sz w:val="24"/>
        </w:rPr>
      </w:pPr>
      <w:r w:rsidRPr="00030E0E">
        <w:rPr>
          <w:rFonts w:ascii="Times New Roman" w:hAnsi="Times New Roman"/>
          <w:b/>
          <w:color w:val="000000"/>
          <w:sz w:val="24"/>
        </w:rPr>
        <w:t>Turnover</w:t>
      </w:r>
      <w:r w:rsidRPr="00030E0E">
        <w:rPr>
          <w:rFonts w:ascii="Times New Roman" w:hAnsi="Times New Roman"/>
          <w:bCs/>
          <w:color w:val="000000"/>
          <w:sz w:val="24"/>
        </w:rPr>
        <w:t xml:space="preserve"> represents the total income of the entity’s economic activities. Income from grants</w:t>
      </w:r>
      <w:r>
        <w:rPr>
          <w:rFonts w:ascii="Times New Roman" w:hAnsi="Times New Roman"/>
          <w:bCs/>
          <w:color w:val="000000"/>
          <w:sz w:val="24"/>
        </w:rPr>
        <w:t xml:space="preserve"> </w:t>
      </w:r>
      <w:r w:rsidRPr="00030E0E">
        <w:rPr>
          <w:rFonts w:ascii="Times New Roman" w:hAnsi="Times New Roman"/>
          <w:bCs/>
          <w:color w:val="000000"/>
          <w:sz w:val="24"/>
        </w:rPr>
        <w:t>and membership fees is not included.</w:t>
      </w:r>
    </w:p>
    <w:p w14:paraId="62D18A83" w14:textId="77777777" w:rsidR="00030E0E" w:rsidRPr="00030E0E" w:rsidRDefault="00030E0E" w:rsidP="00030E0E">
      <w:pPr>
        <w:spacing w:after="0"/>
        <w:jc w:val="both"/>
        <w:rPr>
          <w:rFonts w:ascii="Times New Roman" w:hAnsi="Times New Roman"/>
          <w:b/>
          <w:color w:val="000000"/>
          <w:sz w:val="24"/>
        </w:rPr>
      </w:pPr>
    </w:p>
    <w:p w14:paraId="3C7FB85F" w14:textId="0759D939" w:rsidR="00030E0E" w:rsidRDefault="00030E0E" w:rsidP="00030E0E">
      <w:pPr>
        <w:spacing w:after="0"/>
        <w:jc w:val="both"/>
        <w:rPr>
          <w:rFonts w:ascii="Times New Roman" w:hAnsi="Times New Roman"/>
          <w:b/>
          <w:color w:val="000000"/>
          <w:sz w:val="24"/>
        </w:rPr>
      </w:pPr>
      <w:r w:rsidRPr="00030E0E">
        <w:rPr>
          <w:rFonts w:ascii="Times New Roman" w:hAnsi="Times New Roman"/>
          <w:b/>
          <w:color w:val="000000"/>
          <w:sz w:val="24"/>
        </w:rPr>
        <w:t>If each euro of the entity’s turnover generates less than 5 cents of the gross operating</w:t>
      </w:r>
      <w:r>
        <w:rPr>
          <w:rFonts w:ascii="Times New Roman" w:hAnsi="Times New Roman"/>
          <w:b/>
          <w:color w:val="000000"/>
          <w:sz w:val="24"/>
        </w:rPr>
        <w:t xml:space="preserve"> </w:t>
      </w:r>
      <w:r w:rsidRPr="00030E0E">
        <w:rPr>
          <w:rFonts w:ascii="Times New Roman" w:hAnsi="Times New Roman"/>
          <w:b/>
          <w:color w:val="000000"/>
          <w:sz w:val="24"/>
        </w:rPr>
        <w:t>profit, its profitability (1) is “weak/insufficient”.</w:t>
      </w:r>
    </w:p>
    <w:p w14:paraId="61924E55" w14:textId="7972E9E6" w:rsidR="00030E0E" w:rsidRDefault="00030E0E" w:rsidP="00030E0E">
      <w:pPr>
        <w:spacing w:after="0"/>
        <w:jc w:val="both"/>
        <w:rPr>
          <w:rFonts w:ascii="Times New Roman" w:hAnsi="Times New Roman"/>
          <w:b/>
          <w:color w:val="000000"/>
          <w:sz w:val="24"/>
        </w:rPr>
      </w:pPr>
    </w:p>
    <w:p w14:paraId="48840C93" w14:textId="77777777" w:rsidR="00030E0E" w:rsidRDefault="00030E0E" w:rsidP="00030E0E">
      <w:pPr>
        <w:spacing w:after="0"/>
        <w:jc w:val="both"/>
        <w:rPr>
          <w:rFonts w:ascii="Times New Roman" w:hAnsi="Times New Roman"/>
          <w:b/>
          <w:color w:val="000000"/>
          <w:sz w:val="24"/>
        </w:rPr>
      </w:pPr>
    </w:p>
    <w:p w14:paraId="6F8CC27C" w14:textId="617ABDE1" w:rsidR="00030E0E" w:rsidRDefault="00030E0E" w:rsidP="00030E0E">
      <w:pPr>
        <w:spacing w:after="0"/>
        <w:jc w:val="both"/>
        <w:rPr>
          <w:rFonts w:ascii="Times New Roman" w:hAnsi="Times New Roman"/>
          <w:b/>
          <w:color w:val="000000"/>
          <w:sz w:val="24"/>
        </w:rPr>
      </w:pPr>
      <w:r>
        <w:rPr>
          <w:rFonts w:ascii="Times New Roman" w:hAnsi="Times New Roman"/>
          <w:b/>
          <w:color w:val="000000"/>
          <w:sz w:val="24"/>
        </w:rPr>
        <w:t>PROFITABILITY (2)</w:t>
      </w:r>
    </w:p>
    <w:p w14:paraId="1215F60B" w14:textId="1429A92F" w:rsidR="00030E0E" w:rsidRDefault="00030E0E" w:rsidP="00030E0E">
      <w:pPr>
        <w:spacing w:after="0"/>
        <w:jc w:val="both"/>
        <w:rPr>
          <w:rFonts w:ascii="Times New Roman" w:hAnsi="Times New Roman"/>
          <w:b/>
          <w:color w:val="000000"/>
          <w:sz w:val="24"/>
        </w:rPr>
      </w:pPr>
    </w:p>
    <w:p w14:paraId="1D4C298C" w14:textId="5D33135C" w:rsidR="00EE3EE6" w:rsidRPr="00EE3EE6" w:rsidRDefault="00EE3EE6" w:rsidP="00EE3EE6">
      <w:pPr>
        <w:spacing w:after="0"/>
        <w:jc w:val="both"/>
        <w:rPr>
          <w:rFonts w:ascii="Times New Roman" w:hAnsi="Times New Roman"/>
          <w:bCs/>
          <w:color w:val="000000"/>
          <w:sz w:val="24"/>
        </w:rPr>
      </w:pPr>
      <w:r w:rsidRPr="00EE3EE6">
        <w:rPr>
          <w:rFonts w:ascii="Times New Roman" w:hAnsi="Times New Roman"/>
          <w:bCs/>
          <w:color w:val="000000"/>
          <w:sz w:val="24"/>
        </w:rPr>
        <w:lastRenderedPageBreak/>
        <w:t>The profitability (2) ratio also shows the entities’ ability to generate a positive operating</w:t>
      </w:r>
      <w:r>
        <w:rPr>
          <w:rFonts w:ascii="Times New Roman" w:hAnsi="Times New Roman"/>
          <w:bCs/>
          <w:color w:val="000000"/>
          <w:sz w:val="24"/>
        </w:rPr>
        <w:t xml:space="preserve"> </w:t>
      </w:r>
      <w:r w:rsidRPr="00EE3EE6">
        <w:rPr>
          <w:rFonts w:ascii="Times New Roman" w:hAnsi="Times New Roman"/>
          <w:bCs/>
          <w:color w:val="000000"/>
          <w:sz w:val="24"/>
        </w:rPr>
        <w:t>result. The difference between the gross and the net operating profit is that depreciation</w:t>
      </w:r>
      <w:r>
        <w:rPr>
          <w:rFonts w:ascii="Times New Roman" w:hAnsi="Times New Roman"/>
          <w:bCs/>
          <w:color w:val="000000"/>
          <w:sz w:val="24"/>
        </w:rPr>
        <w:t xml:space="preserve"> </w:t>
      </w:r>
      <w:r w:rsidRPr="00EE3EE6">
        <w:rPr>
          <w:rFonts w:ascii="Times New Roman" w:hAnsi="Times New Roman"/>
          <w:bCs/>
          <w:color w:val="000000"/>
          <w:sz w:val="24"/>
        </w:rPr>
        <w:t>and amortisation expenses are excluded from the net operating profit. The depreciation</w:t>
      </w:r>
      <w:r>
        <w:rPr>
          <w:rFonts w:ascii="Times New Roman" w:hAnsi="Times New Roman"/>
          <w:bCs/>
          <w:color w:val="000000"/>
          <w:sz w:val="24"/>
        </w:rPr>
        <w:t xml:space="preserve"> </w:t>
      </w:r>
      <w:r w:rsidRPr="00EE3EE6">
        <w:rPr>
          <w:rFonts w:ascii="Times New Roman" w:hAnsi="Times New Roman"/>
          <w:bCs/>
          <w:color w:val="000000"/>
          <w:sz w:val="24"/>
        </w:rPr>
        <w:t>expenses represent the cost of tangible assets being used over time whereas amortisation</w:t>
      </w:r>
      <w:r>
        <w:rPr>
          <w:rFonts w:ascii="Times New Roman" w:hAnsi="Times New Roman"/>
          <w:bCs/>
          <w:color w:val="000000"/>
          <w:sz w:val="24"/>
        </w:rPr>
        <w:t xml:space="preserve"> </w:t>
      </w:r>
      <w:r w:rsidRPr="00EE3EE6">
        <w:rPr>
          <w:rFonts w:ascii="Times New Roman" w:hAnsi="Times New Roman"/>
          <w:bCs/>
          <w:color w:val="000000"/>
          <w:sz w:val="24"/>
        </w:rPr>
        <w:t>expenses - the costs of using intangible assets over time.</w:t>
      </w:r>
    </w:p>
    <w:p w14:paraId="0D768C4F" w14:textId="77777777" w:rsidR="00EE3EE6" w:rsidRPr="00EE3EE6" w:rsidRDefault="00EE3EE6" w:rsidP="00EE3EE6">
      <w:pPr>
        <w:spacing w:after="0"/>
        <w:jc w:val="both"/>
        <w:rPr>
          <w:rFonts w:ascii="Times New Roman" w:hAnsi="Times New Roman"/>
          <w:bCs/>
          <w:color w:val="000000"/>
          <w:sz w:val="24"/>
        </w:rPr>
      </w:pPr>
    </w:p>
    <w:p w14:paraId="14098B3F" w14:textId="17F171DE" w:rsidR="00EE3EE6" w:rsidRPr="00EE3EE6" w:rsidRDefault="00EE3EE6" w:rsidP="00EE3EE6">
      <w:pPr>
        <w:spacing w:after="0"/>
        <w:jc w:val="both"/>
        <w:rPr>
          <w:rFonts w:ascii="Times New Roman" w:hAnsi="Times New Roman"/>
          <w:bCs/>
          <w:color w:val="000000"/>
          <w:sz w:val="24"/>
        </w:rPr>
      </w:pPr>
      <w:r w:rsidRPr="00EE3EE6">
        <w:rPr>
          <w:rFonts w:ascii="Times New Roman" w:hAnsi="Times New Roman"/>
          <w:bCs/>
          <w:color w:val="000000"/>
          <w:sz w:val="24"/>
        </w:rPr>
        <w:t xml:space="preserve">It is calculated by dividing </w:t>
      </w:r>
      <w:r w:rsidRPr="00EE3EE6">
        <w:rPr>
          <w:rFonts w:ascii="Times New Roman" w:hAnsi="Times New Roman"/>
          <w:b/>
          <w:color w:val="000000"/>
          <w:sz w:val="24"/>
        </w:rPr>
        <w:t>Net operating profit</w:t>
      </w:r>
      <w:r w:rsidRPr="00EE3EE6">
        <w:rPr>
          <w:rFonts w:ascii="Times New Roman" w:hAnsi="Times New Roman"/>
          <w:bCs/>
          <w:color w:val="000000"/>
          <w:sz w:val="24"/>
        </w:rPr>
        <w:t xml:space="preserve"> by </w:t>
      </w:r>
      <w:r w:rsidRPr="00EE3EE6">
        <w:rPr>
          <w:rFonts w:ascii="Times New Roman" w:hAnsi="Times New Roman"/>
          <w:b/>
          <w:color w:val="000000"/>
          <w:sz w:val="24"/>
        </w:rPr>
        <w:t>Turnover.</w:t>
      </w:r>
    </w:p>
    <w:p w14:paraId="24AA09D9" w14:textId="77777777" w:rsidR="00EE3EE6" w:rsidRPr="00EE3EE6" w:rsidRDefault="00EE3EE6" w:rsidP="00EE3EE6">
      <w:pPr>
        <w:spacing w:after="0"/>
        <w:jc w:val="both"/>
        <w:rPr>
          <w:rFonts w:ascii="Times New Roman" w:hAnsi="Times New Roman"/>
          <w:bCs/>
          <w:color w:val="000000"/>
          <w:sz w:val="24"/>
        </w:rPr>
      </w:pPr>
    </w:p>
    <w:p w14:paraId="5EE3335E" w14:textId="0B7A914F" w:rsidR="00030E0E" w:rsidRPr="00030E0E" w:rsidRDefault="00EE3EE6" w:rsidP="00030E0E">
      <w:pPr>
        <w:spacing w:after="0"/>
        <w:jc w:val="both"/>
        <w:rPr>
          <w:rFonts w:ascii="Times New Roman" w:hAnsi="Times New Roman"/>
          <w:b/>
          <w:color w:val="000000"/>
          <w:sz w:val="24"/>
        </w:rPr>
      </w:pPr>
      <w:r w:rsidRPr="00EE3EE6">
        <w:rPr>
          <w:rFonts w:ascii="Times New Roman" w:hAnsi="Times New Roman"/>
          <w:b/>
          <w:color w:val="000000"/>
          <w:sz w:val="24"/>
        </w:rPr>
        <w:t>If each euro of the entity’s turnover generates less than 2 cents or its net operating profit is negative, the profitability (2) is considered “weak/insufficient”.</w:t>
      </w:r>
    </w:p>
    <w:bookmarkEnd w:id="1"/>
    <w:p w14:paraId="6FD7BAF8" w14:textId="4BE0A270" w:rsidR="00B909A3" w:rsidRDefault="00F35811" w:rsidP="00D53E3F">
      <w:pPr>
        <w:spacing w:before="480" w:after="100" w:afterAutospacing="1"/>
        <w:jc w:val="center"/>
        <w:rPr>
          <w:noProof/>
          <w:lang w:val="en-US" w:eastAsia="en-US" w:bidi="ar-SA"/>
        </w:rPr>
      </w:pPr>
      <w:r>
        <w:rPr>
          <w:noProof/>
          <w:lang w:val="en-US" w:eastAsia="en-US" w:bidi="ar-SA"/>
        </w:rPr>
        <w:pict w14:anchorId="43CDC81C">
          <v:shape id="Picture 2" o:spid="_x0000_i1026" type="#_x0000_t75" style="width:480.85pt;height:278.6pt;visibility:visible;mso-wrap-style:square">
            <v:imagedata r:id="rId13" o:title=""/>
          </v:shape>
        </w:pict>
      </w:r>
    </w:p>
    <w:p w14:paraId="6F3DC145" w14:textId="77777777" w:rsidR="00C02BE8" w:rsidRPr="00C02BE8" w:rsidRDefault="00C02BE8" w:rsidP="00C02BE8">
      <w:pPr>
        <w:rPr>
          <w:rFonts w:ascii="Times New Roman" w:hAnsi="Times New Roman"/>
          <w:sz w:val="24"/>
          <w:highlight w:val="yellow"/>
        </w:rPr>
      </w:pPr>
      <w:proofErr w:type="gramStart"/>
      <w:r w:rsidRPr="00C02BE8">
        <w:rPr>
          <w:rFonts w:ascii="Times New Roman" w:hAnsi="Times New Roman"/>
          <w:sz w:val="24"/>
          <w:highlight w:val="yellow"/>
        </w:rPr>
        <w:t>On the basis of</w:t>
      </w:r>
      <w:proofErr w:type="gramEnd"/>
      <w:r w:rsidRPr="00C02BE8">
        <w:rPr>
          <w:rFonts w:ascii="Times New Roman" w:hAnsi="Times New Roman"/>
          <w:sz w:val="24"/>
          <w:highlight w:val="yellow"/>
        </w:rPr>
        <w:t xml:space="preserve"> the sum of the points for the five financial indicators, the entity’s financial capacity is considered positive (= good or acceptable) or negative (= weak or insufficient). The financial capacity is negative if the total score of the last year available does not exceed 3. </w:t>
      </w:r>
    </w:p>
    <w:p w14:paraId="5953A451" w14:textId="77777777" w:rsidR="00047AB6" w:rsidRPr="00C02BE8" w:rsidRDefault="00047AB6" w:rsidP="00C02BE8">
      <w:pPr>
        <w:rPr>
          <w:rFonts w:ascii="Times New Roman" w:hAnsi="Times New Roman"/>
          <w:sz w:val="24"/>
          <w:highlight w:val="yellow"/>
        </w:rPr>
      </w:pPr>
      <w:r w:rsidRPr="0085347E">
        <w:rPr>
          <w:rFonts w:ascii="Times New Roman" w:hAnsi="Times New Roman"/>
          <w:sz w:val="24"/>
          <w:highlight w:val="yellow"/>
        </w:rPr>
        <w:t xml:space="preserve">The overall financial capacity assessment result has </w:t>
      </w:r>
      <w:r w:rsidRPr="00C02BE8">
        <w:rPr>
          <w:rFonts w:ascii="Times New Roman" w:hAnsi="Times New Roman"/>
          <w:sz w:val="24"/>
          <w:highlight w:val="yellow"/>
        </w:rPr>
        <w:t>been</w:t>
      </w:r>
      <w:r w:rsidRPr="0085347E">
        <w:rPr>
          <w:rFonts w:ascii="Times New Roman" w:hAnsi="Times New Roman"/>
          <w:sz w:val="24"/>
          <w:highlight w:val="yellow"/>
        </w:rPr>
        <w:t xml:space="preserve"> summarised in the table below</w:t>
      </w:r>
      <w:r w:rsidRPr="00C02BE8">
        <w:rPr>
          <w:rFonts w:ascii="Times New Roman" w:hAnsi="Times New Roman"/>
          <w:sz w:val="24"/>
          <w:highlight w:val="yellow"/>
        </w:rPr>
        <w:t>:</w:t>
      </w:r>
    </w:p>
    <w:p w14:paraId="03C46E85" w14:textId="2DC5827B" w:rsidR="00047AB6" w:rsidRPr="00ED69F8" w:rsidRDefault="00F35811" w:rsidP="00047AB6">
      <w:pPr>
        <w:spacing w:before="480" w:after="100" w:afterAutospacing="1"/>
        <w:rPr>
          <w:rFonts w:ascii="Times New Roman" w:hAnsi="Times New Roman"/>
          <w:sz w:val="24"/>
          <w:szCs w:val="24"/>
        </w:rPr>
      </w:pPr>
      <w:r>
        <w:rPr>
          <w:rFonts w:ascii="Times New Roman" w:hAnsi="Times New Roman"/>
          <w:sz w:val="24"/>
          <w:szCs w:val="24"/>
        </w:rPr>
        <w:pict w14:anchorId="0D2B848D">
          <v:shape id="_x0000_i1027" type="#_x0000_t75" style="width:328.7pt;height:57.6pt">
            <v:imagedata r:id="rId14" o:title="2022-12-05 17_58_53-Window"/>
          </v:shape>
        </w:pict>
      </w:r>
    </w:p>
    <w:sectPr w:rsidR="00047AB6" w:rsidRPr="00ED69F8" w:rsidSect="00D53E3F">
      <w:headerReference w:type="even" r:id="rId15"/>
      <w:headerReference w:type="default" r:id="rId16"/>
      <w:footerReference w:type="even" r:id="rId17"/>
      <w:footerReference w:type="default" r:id="rId18"/>
      <w:headerReference w:type="first" r:id="rId19"/>
      <w:footerReference w:type="first" r:id="rId20"/>
      <w:pgSz w:w="11906" w:h="16838"/>
      <w:pgMar w:top="993" w:right="1417" w:bottom="1417" w:left="1417" w:header="708" w:footer="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87B60" w14:textId="77777777" w:rsidR="00CB6777" w:rsidRDefault="00CB6777" w:rsidP="00D03076">
      <w:pPr>
        <w:spacing w:after="0" w:line="240" w:lineRule="auto"/>
      </w:pPr>
      <w:r>
        <w:separator/>
      </w:r>
    </w:p>
  </w:endnote>
  <w:endnote w:type="continuationSeparator" w:id="0">
    <w:p w14:paraId="12E7CBC5" w14:textId="77777777" w:rsidR="00CB6777" w:rsidRDefault="00CB6777" w:rsidP="00D03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CA8F" w14:textId="77777777" w:rsidR="003D4F12" w:rsidRDefault="003D4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7ED0B" w14:textId="3EB44AF0" w:rsidR="00B909A3" w:rsidRDefault="00B909A3">
    <w:pPr>
      <w:pStyle w:val="Footer"/>
      <w:jc w:val="center"/>
    </w:pPr>
    <w:r>
      <w:fldChar w:fldCharType="begin"/>
    </w:r>
    <w:r>
      <w:instrText xml:space="preserve"> PAGE   \* MERGEFORMAT </w:instrText>
    </w:r>
    <w:r>
      <w:fldChar w:fldCharType="separate"/>
    </w:r>
    <w:r w:rsidR="00B83E6C">
      <w:rPr>
        <w:noProof/>
      </w:rPr>
      <w:t>1</w:t>
    </w:r>
    <w:r>
      <w:rPr>
        <w:noProof/>
      </w:rPr>
      <w:fldChar w:fldCharType="end"/>
    </w:r>
  </w:p>
  <w:p w14:paraId="29ADAC51" w14:textId="77777777" w:rsidR="00B909A3" w:rsidRDefault="00B909A3">
    <w:pPr>
      <w:pStyle w:val="Footer"/>
    </w:pPr>
  </w:p>
  <w:p w14:paraId="06B879CB" w14:textId="77777777" w:rsidR="00B32DA2" w:rsidRDefault="00B32DA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BF72E" w14:textId="77777777" w:rsidR="003D4F12" w:rsidRDefault="003D4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91330" w14:textId="77777777" w:rsidR="00CB6777" w:rsidRDefault="00CB6777" w:rsidP="00D03076">
      <w:pPr>
        <w:spacing w:after="0" w:line="240" w:lineRule="auto"/>
      </w:pPr>
      <w:r>
        <w:separator/>
      </w:r>
    </w:p>
  </w:footnote>
  <w:footnote w:type="continuationSeparator" w:id="0">
    <w:p w14:paraId="7354FEF6" w14:textId="77777777" w:rsidR="00CB6777" w:rsidRDefault="00CB6777" w:rsidP="00D03076">
      <w:pPr>
        <w:spacing w:after="0" w:line="240" w:lineRule="auto"/>
      </w:pPr>
      <w:r>
        <w:continuationSeparator/>
      </w:r>
    </w:p>
  </w:footnote>
  <w:footnote w:id="1">
    <w:p w14:paraId="50A6EB59" w14:textId="3278031A" w:rsidR="00D01C27" w:rsidRPr="00D01C27" w:rsidRDefault="00D01C27">
      <w:pPr>
        <w:pStyle w:val="FootnoteText"/>
      </w:pPr>
      <w:r>
        <w:rPr>
          <w:rStyle w:val="FootnoteReference"/>
        </w:rPr>
        <w:footnoteRef/>
      </w:r>
      <w:r>
        <w:t xml:space="preserve"> </w:t>
      </w:r>
      <w:r w:rsidR="00F21658" w:rsidRPr="009B0B25">
        <w:rPr>
          <w:lang w:bidi="ar-SA"/>
        </w:rPr>
        <w:t>Regulation (EU, Euratom) 2024/2509 of the European Parliament and of the Council of 23 September 2024 on the financial rules applicable to the general budget of the Union (recast)</w:t>
      </w:r>
      <w:r w:rsidR="00F21658" w:rsidRPr="009B0B25">
        <w:rPr>
          <w:bCs/>
          <w:lang w:val="en-US" w:bidi="ar-SA"/>
        </w:rPr>
        <w:t xml:space="preserve"> (‘</w:t>
      </w:r>
      <w:r w:rsidR="00F21658" w:rsidRPr="009B0B25">
        <w:rPr>
          <w:bCs/>
          <w:color w:val="0000FF"/>
          <w:u w:val="single"/>
          <w:lang w:val="en-US" w:bidi="ar-SA"/>
        </w:rPr>
        <w:t xml:space="preserve"> </w:t>
      </w:r>
      <w:hyperlink r:id="rId1" w:history="1">
        <w:r w:rsidR="00F21658" w:rsidRPr="009B0B25">
          <w:rPr>
            <w:bCs/>
            <w:color w:val="0000FF"/>
            <w:u w:val="single"/>
            <w:lang w:val="en-US" w:bidi="ar-SA"/>
          </w:rPr>
          <w:t>EU Financial Regulation’</w:t>
        </w:r>
      </w:hyperlink>
      <w:r w:rsidR="00F21658" w:rsidRPr="009B0B25">
        <w:rPr>
          <w:bCs/>
          <w:lang w:val="en-US" w:bidi="ar-SA"/>
        </w:rPr>
        <w:t>) (</w:t>
      </w:r>
      <w:r w:rsidR="00F21658" w:rsidRPr="009B0B25">
        <w:rPr>
          <w:rFonts w:cs="Lucida Grande"/>
          <w:iCs/>
          <w:lang w:val="en" w:bidi="ar-SA"/>
        </w:rPr>
        <w:t>OJ L, 2024/2509, 26.9.2024)</w:t>
      </w:r>
      <w:r w:rsidR="00F21658" w:rsidRPr="009B0B25">
        <w:rPr>
          <w:lang w:bidi="ar-SA"/>
        </w:rPr>
        <w:t>.</w:t>
      </w:r>
    </w:p>
  </w:footnote>
  <w:footnote w:id="2">
    <w:p w14:paraId="02DC9F8C" w14:textId="46FD5BA4" w:rsidR="001609E3" w:rsidRPr="001609E3" w:rsidRDefault="001609E3">
      <w:pPr>
        <w:pStyle w:val="FootnoteText"/>
        <w:rPr>
          <w:lang w:val="en-IE"/>
        </w:rPr>
      </w:pPr>
      <w:r>
        <w:rPr>
          <w:rStyle w:val="FootnoteReference"/>
        </w:rPr>
        <w:footnoteRef/>
      </w:r>
      <w:r>
        <w:t xml:space="preserve"> </w:t>
      </w:r>
      <w:r>
        <w:rPr>
          <w:lang w:val="en-IE"/>
        </w:rPr>
        <w:t>As of 1 January 2028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A5F19" w14:textId="77777777" w:rsidR="003D4F12" w:rsidRDefault="003D4F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5012" w14:textId="2DDA8048" w:rsidR="00D61D63" w:rsidRPr="00D61D63" w:rsidRDefault="00D61D63" w:rsidP="00D61D63">
    <w:pPr>
      <w:pStyle w:val="Header"/>
      <w:jc w:val="right"/>
      <w:rPr>
        <w:lang w:val="fr-BE"/>
      </w:rPr>
    </w:pPr>
    <w:r>
      <w:rPr>
        <w:lang w:val="fr-BE"/>
      </w:rPr>
      <w:t xml:space="preserve">VERSION </w:t>
    </w:r>
    <w:r w:rsidR="00972460">
      <w:rPr>
        <w:lang w:val="fr-BE"/>
      </w:rPr>
      <w:t xml:space="preserve">JANUARY </w:t>
    </w:r>
    <w:r w:rsidR="003D4F12">
      <w:rPr>
        <w:lang w:val="fr-BE"/>
      </w:rPr>
      <w:t>20</w:t>
    </w:r>
    <w:r w:rsidR="00E2402C">
      <w:rPr>
        <w:lang w:val="fr-BE"/>
      </w:rPr>
      <w:t>2</w:t>
    </w:r>
    <w:r w:rsidR="00972460">
      <w:rPr>
        <w:lang w:val="fr-BE"/>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7B43A" w14:textId="77777777" w:rsidR="003D4F12" w:rsidRDefault="003D4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21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A5718"/>
    <w:multiLevelType w:val="hybridMultilevel"/>
    <w:tmpl w:val="988226DA"/>
    <w:lvl w:ilvl="0" w:tplc="1809000F">
      <w:start w:val="1"/>
      <w:numFmt w:val="decimal"/>
      <w:lvlText w:val="%1."/>
      <w:lvlJc w:val="left"/>
      <w:pPr>
        <w:ind w:left="360" w:hanging="360"/>
      </w:pPr>
      <w:rPr>
        <w:rFonts w:hint="default"/>
        <w:b w:val="0"/>
        <w:u w:val="no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C9A202C"/>
    <w:multiLevelType w:val="hybridMultilevel"/>
    <w:tmpl w:val="ECC84CB0"/>
    <w:lvl w:ilvl="0" w:tplc="08090017">
      <w:start w:val="1"/>
      <w:numFmt w:val="lowerLetter"/>
      <w:lvlText w:val="%1)"/>
      <w:lvlJc w:val="left"/>
      <w:pPr>
        <w:ind w:left="1065" w:hanging="360"/>
      </w:p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 w15:restartNumberingAfterBreak="0">
    <w:nsid w:val="0E870D27"/>
    <w:multiLevelType w:val="hybridMultilevel"/>
    <w:tmpl w:val="795AE32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 w15:restartNumberingAfterBreak="0">
    <w:nsid w:val="0EEC38ED"/>
    <w:multiLevelType w:val="hybridMultilevel"/>
    <w:tmpl w:val="7FB49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7B6089"/>
    <w:multiLevelType w:val="hybridMultilevel"/>
    <w:tmpl w:val="A2180D8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13D33CAD"/>
    <w:multiLevelType w:val="hybridMultilevel"/>
    <w:tmpl w:val="E5FC7FE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14B0698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367FBD"/>
    <w:multiLevelType w:val="hybridMultilevel"/>
    <w:tmpl w:val="7562B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F119A5"/>
    <w:multiLevelType w:val="hybridMultilevel"/>
    <w:tmpl w:val="0B3AF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B2E98"/>
    <w:multiLevelType w:val="hybridMultilevel"/>
    <w:tmpl w:val="484E5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1258F"/>
    <w:multiLevelType w:val="hybridMultilevel"/>
    <w:tmpl w:val="173833DA"/>
    <w:lvl w:ilvl="0" w:tplc="A336D5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F07C23"/>
    <w:multiLevelType w:val="hybridMultilevel"/>
    <w:tmpl w:val="4B3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020733"/>
    <w:multiLevelType w:val="hybridMultilevel"/>
    <w:tmpl w:val="D74E66A8"/>
    <w:lvl w:ilvl="0" w:tplc="7D9EB51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4344EE"/>
    <w:multiLevelType w:val="hybridMultilevel"/>
    <w:tmpl w:val="9976F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8E5B46"/>
    <w:multiLevelType w:val="hybridMultilevel"/>
    <w:tmpl w:val="9642F2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8790D7E"/>
    <w:multiLevelType w:val="hybridMultilevel"/>
    <w:tmpl w:val="7E5AD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1D3391"/>
    <w:multiLevelType w:val="multilevel"/>
    <w:tmpl w:val="092AE37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5351693"/>
    <w:multiLevelType w:val="hybridMultilevel"/>
    <w:tmpl w:val="2F10C826"/>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D21B89"/>
    <w:multiLevelType w:val="hybridMultilevel"/>
    <w:tmpl w:val="F44814F0"/>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5AC50E09"/>
    <w:multiLevelType w:val="hybridMultilevel"/>
    <w:tmpl w:val="3F92196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287B26"/>
    <w:multiLevelType w:val="hybridMultilevel"/>
    <w:tmpl w:val="F2A8BA9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10247D"/>
    <w:multiLevelType w:val="hybridMultilevel"/>
    <w:tmpl w:val="21A409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61670493"/>
    <w:multiLevelType w:val="hybridMultilevel"/>
    <w:tmpl w:val="13261EC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9042BC"/>
    <w:multiLevelType w:val="hybridMultilevel"/>
    <w:tmpl w:val="BA168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F61FC9"/>
    <w:multiLevelType w:val="hybridMultilevel"/>
    <w:tmpl w:val="5052BA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19506A"/>
    <w:multiLevelType w:val="hybridMultilevel"/>
    <w:tmpl w:val="6B12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36582D"/>
    <w:multiLevelType w:val="hybridMultilevel"/>
    <w:tmpl w:val="E1226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1" w15:restartNumberingAfterBreak="0">
    <w:nsid w:val="738F09F3"/>
    <w:multiLevelType w:val="hybridMultilevel"/>
    <w:tmpl w:val="D2DCDD3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2345832">
    <w:abstractNumId w:val="28"/>
  </w:num>
  <w:num w:numId="2" w16cid:durableId="1961374773">
    <w:abstractNumId w:val="8"/>
  </w:num>
  <w:num w:numId="3" w16cid:durableId="721028718">
    <w:abstractNumId w:val="15"/>
  </w:num>
  <w:num w:numId="4" w16cid:durableId="1430663733">
    <w:abstractNumId w:val="9"/>
  </w:num>
  <w:num w:numId="5" w16cid:durableId="2035492097">
    <w:abstractNumId w:val="14"/>
  </w:num>
  <w:num w:numId="6" w16cid:durableId="1094203715">
    <w:abstractNumId w:val="26"/>
  </w:num>
  <w:num w:numId="7" w16cid:durableId="1641302449">
    <w:abstractNumId w:val="31"/>
  </w:num>
  <w:num w:numId="8" w16cid:durableId="835996376">
    <w:abstractNumId w:val="25"/>
  </w:num>
  <w:num w:numId="9" w16cid:durableId="1436249103">
    <w:abstractNumId w:val="29"/>
  </w:num>
  <w:num w:numId="10" w16cid:durableId="1425760753">
    <w:abstractNumId w:val="0"/>
  </w:num>
  <w:num w:numId="11" w16cid:durableId="799418975">
    <w:abstractNumId w:val="7"/>
  </w:num>
  <w:num w:numId="12" w16cid:durableId="1959799681">
    <w:abstractNumId w:val="19"/>
  </w:num>
  <w:num w:numId="13" w16cid:durableId="221865978">
    <w:abstractNumId w:val="10"/>
  </w:num>
  <w:num w:numId="14" w16cid:durableId="328795878">
    <w:abstractNumId w:val="13"/>
  </w:num>
  <w:num w:numId="15" w16cid:durableId="139229367">
    <w:abstractNumId w:val="4"/>
  </w:num>
  <w:num w:numId="16" w16cid:durableId="777455832">
    <w:abstractNumId w:val="18"/>
  </w:num>
  <w:num w:numId="17" w16cid:durableId="384372517">
    <w:abstractNumId w:val="23"/>
  </w:num>
  <w:num w:numId="18" w16cid:durableId="147792130">
    <w:abstractNumId w:val="24"/>
  </w:num>
  <w:num w:numId="19" w16cid:durableId="214900392">
    <w:abstractNumId w:val="21"/>
  </w:num>
  <w:num w:numId="20" w16cid:durableId="1254239285">
    <w:abstractNumId w:val="16"/>
  </w:num>
  <w:num w:numId="21" w16cid:durableId="2033997014">
    <w:abstractNumId w:val="30"/>
  </w:num>
  <w:num w:numId="22" w16cid:durableId="752316197">
    <w:abstractNumId w:val="11"/>
  </w:num>
  <w:num w:numId="23" w16cid:durableId="884175001">
    <w:abstractNumId w:val="12"/>
  </w:num>
  <w:num w:numId="24" w16cid:durableId="2122994176">
    <w:abstractNumId w:val="33"/>
  </w:num>
  <w:num w:numId="25" w16cid:durableId="1870992438">
    <w:abstractNumId w:val="32"/>
  </w:num>
  <w:num w:numId="26" w16cid:durableId="2091266840">
    <w:abstractNumId w:val="3"/>
  </w:num>
  <w:num w:numId="27" w16cid:durableId="563493404">
    <w:abstractNumId w:val="6"/>
  </w:num>
  <w:num w:numId="28" w16cid:durableId="1412771717">
    <w:abstractNumId w:val="20"/>
  </w:num>
  <w:num w:numId="29" w16cid:durableId="686060528">
    <w:abstractNumId w:val="22"/>
  </w:num>
  <w:num w:numId="30" w16cid:durableId="640187915">
    <w:abstractNumId w:val="27"/>
  </w:num>
  <w:num w:numId="31" w16cid:durableId="925069672">
    <w:abstractNumId w:val="2"/>
  </w:num>
  <w:num w:numId="32" w16cid:durableId="1638682260">
    <w:abstractNumId w:val="17"/>
  </w:num>
  <w:num w:numId="33" w16cid:durableId="1643080081">
    <w:abstractNumId w:val="1"/>
  </w:num>
  <w:num w:numId="34" w16cid:durableId="974679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oNotTrackMoves/>
  <w:defaultTabStop w:val="720"/>
  <w:hyphenationZone w:val="425"/>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FigNum" w:val="1"/>
    <w:docVar w:name="LW_DocType" w:val="NORMAL"/>
  </w:docVars>
  <w:rsids>
    <w:rsidRoot w:val="00D03076"/>
    <w:rsid w:val="00005878"/>
    <w:rsid w:val="0001103E"/>
    <w:rsid w:val="000111B9"/>
    <w:rsid w:val="00014673"/>
    <w:rsid w:val="00015EB0"/>
    <w:rsid w:val="0001793F"/>
    <w:rsid w:val="000207E8"/>
    <w:rsid w:val="00021204"/>
    <w:rsid w:val="00022BD0"/>
    <w:rsid w:val="00027C6C"/>
    <w:rsid w:val="00030E0E"/>
    <w:rsid w:val="00034EE7"/>
    <w:rsid w:val="00035333"/>
    <w:rsid w:val="00035845"/>
    <w:rsid w:val="00036DB1"/>
    <w:rsid w:val="00037612"/>
    <w:rsid w:val="00042166"/>
    <w:rsid w:val="00043DF5"/>
    <w:rsid w:val="00047AB6"/>
    <w:rsid w:val="00053DF4"/>
    <w:rsid w:val="00075308"/>
    <w:rsid w:val="000754D4"/>
    <w:rsid w:val="00075FA8"/>
    <w:rsid w:val="0008236D"/>
    <w:rsid w:val="00090656"/>
    <w:rsid w:val="000A70F9"/>
    <w:rsid w:val="000B20CC"/>
    <w:rsid w:val="000B296D"/>
    <w:rsid w:val="000C1608"/>
    <w:rsid w:val="000C431D"/>
    <w:rsid w:val="000C79B3"/>
    <w:rsid w:val="000D1E82"/>
    <w:rsid w:val="000D2383"/>
    <w:rsid w:val="000D5A61"/>
    <w:rsid w:val="000D6883"/>
    <w:rsid w:val="000D784A"/>
    <w:rsid w:val="000E0A0B"/>
    <w:rsid w:val="000E1CE5"/>
    <w:rsid w:val="000E4917"/>
    <w:rsid w:val="000E5F38"/>
    <w:rsid w:val="000F03B5"/>
    <w:rsid w:val="000F4CEA"/>
    <w:rsid w:val="000F66D7"/>
    <w:rsid w:val="001010A2"/>
    <w:rsid w:val="00101A13"/>
    <w:rsid w:val="00102413"/>
    <w:rsid w:val="00105DF9"/>
    <w:rsid w:val="00110F88"/>
    <w:rsid w:val="0011398C"/>
    <w:rsid w:val="00114510"/>
    <w:rsid w:val="00120A23"/>
    <w:rsid w:val="00121E2F"/>
    <w:rsid w:val="00121F13"/>
    <w:rsid w:val="0012275F"/>
    <w:rsid w:val="001231F5"/>
    <w:rsid w:val="00127387"/>
    <w:rsid w:val="001313B0"/>
    <w:rsid w:val="001320E9"/>
    <w:rsid w:val="00140697"/>
    <w:rsid w:val="00140E63"/>
    <w:rsid w:val="001456B8"/>
    <w:rsid w:val="00146478"/>
    <w:rsid w:val="00150216"/>
    <w:rsid w:val="00151535"/>
    <w:rsid w:val="00153B87"/>
    <w:rsid w:val="00157A46"/>
    <w:rsid w:val="001609E3"/>
    <w:rsid w:val="00161E83"/>
    <w:rsid w:val="00162458"/>
    <w:rsid w:val="00167653"/>
    <w:rsid w:val="00175E9B"/>
    <w:rsid w:val="00182576"/>
    <w:rsid w:val="00185529"/>
    <w:rsid w:val="00190F8C"/>
    <w:rsid w:val="001A0DC8"/>
    <w:rsid w:val="001A37C4"/>
    <w:rsid w:val="001A3B68"/>
    <w:rsid w:val="001A402B"/>
    <w:rsid w:val="001A7E34"/>
    <w:rsid w:val="001B2238"/>
    <w:rsid w:val="001B3DFA"/>
    <w:rsid w:val="001B4873"/>
    <w:rsid w:val="001B50B3"/>
    <w:rsid w:val="001B540E"/>
    <w:rsid w:val="001B542E"/>
    <w:rsid w:val="001C5B3F"/>
    <w:rsid w:val="001C62A4"/>
    <w:rsid w:val="001E09DC"/>
    <w:rsid w:val="001E5320"/>
    <w:rsid w:val="001E6635"/>
    <w:rsid w:val="001F3EEE"/>
    <w:rsid w:val="001F6549"/>
    <w:rsid w:val="00200136"/>
    <w:rsid w:val="002007D4"/>
    <w:rsid w:val="0020251F"/>
    <w:rsid w:val="0020281A"/>
    <w:rsid w:val="0020331D"/>
    <w:rsid w:val="00205290"/>
    <w:rsid w:val="0021433D"/>
    <w:rsid w:val="0021438A"/>
    <w:rsid w:val="00215EA5"/>
    <w:rsid w:val="00224236"/>
    <w:rsid w:val="00224D63"/>
    <w:rsid w:val="002277A1"/>
    <w:rsid w:val="00227DC2"/>
    <w:rsid w:val="00231374"/>
    <w:rsid w:val="00232910"/>
    <w:rsid w:val="00232DA1"/>
    <w:rsid w:val="00232EA5"/>
    <w:rsid w:val="002343AB"/>
    <w:rsid w:val="00241CBF"/>
    <w:rsid w:val="00243A2B"/>
    <w:rsid w:val="00244D32"/>
    <w:rsid w:val="00247446"/>
    <w:rsid w:val="002507F8"/>
    <w:rsid w:val="00251571"/>
    <w:rsid w:val="00255661"/>
    <w:rsid w:val="00264DEC"/>
    <w:rsid w:val="00265BA2"/>
    <w:rsid w:val="002664E7"/>
    <w:rsid w:val="0027072F"/>
    <w:rsid w:val="00273D6F"/>
    <w:rsid w:val="00276E69"/>
    <w:rsid w:val="00277F5D"/>
    <w:rsid w:val="00280D6F"/>
    <w:rsid w:val="0028339A"/>
    <w:rsid w:val="0028485D"/>
    <w:rsid w:val="002859ED"/>
    <w:rsid w:val="00290404"/>
    <w:rsid w:val="0029098E"/>
    <w:rsid w:val="00291288"/>
    <w:rsid w:val="002A57F6"/>
    <w:rsid w:val="002A594F"/>
    <w:rsid w:val="002A6384"/>
    <w:rsid w:val="002B1D3F"/>
    <w:rsid w:val="002B58F0"/>
    <w:rsid w:val="002B7F77"/>
    <w:rsid w:val="002C1B85"/>
    <w:rsid w:val="002D5960"/>
    <w:rsid w:val="002D6036"/>
    <w:rsid w:val="002E233D"/>
    <w:rsid w:val="002E2F1B"/>
    <w:rsid w:val="002E5429"/>
    <w:rsid w:val="002E5B09"/>
    <w:rsid w:val="002F005B"/>
    <w:rsid w:val="002F3441"/>
    <w:rsid w:val="002F3B07"/>
    <w:rsid w:val="002F7305"/>
    <w:rsid w:val="003101DD"/>
    <w:rsid w:val="00310591"/>
    <w:rsid w:val="003156B1"/>
    <w:rsid w:val="003167EF"/>
    <w:rsid w:val="003172A7"/>
    <w:rsid w:val="00317B4A"/>
    <w:rsid w:val="00320453"/>
    <w:rsid w:val="00332957"/>
    <w:rsid w:val="00332D47"/>
    <w:rsid w:val="0033488A"/>
    <w:rsid w:val="003443EC"/>
    <w:rsid w:val="00344912"/>
    <w:rsid w:val="00347027"/>
    <w:rsid w:val="003471DA"/>
    <w:rsid w:val="003548C5"/>
    <w:rsid w:val="00356D20"/>
    <w:rsid w:val="003608A2"/>
    <w:rsid w:val="00366E22"/>
    <w:rsid w:val="003717D1"/>
    <w:rsid w:val="00381C8C"/>
    <w:rsid w:val="00395F0D"/>
    <w:rsid w:val="00397746"/>
    <w:rsid w:val="00397E54"/>
    <w:rsid w:val="003A0510"/>
    <w:rsid w:val="003A542B"/>
    <w:rsid w:val="003A697D"/>
    <w:rsid w:val="003A78B1"/>
    <w:rsid w:val="003B5230"/>
    <w:rsid w:val="003B5DC2"/>
    <w:rsid w:val="003B7C62"/>
    <w:rsid w:val="003C0DC0"/>
    <w:rsid w:val="003C36BD"/>
    <w:rsid w:val="003D4F12"/>
    <w:rsid w:val="003D7F0E"/>
    <w:rsid w:val="003E137F"/>
    <w:rsid w:val="003E190C"/>
    <w:rsid w:val="003E1CDE"/>
    <w:rsid w:val="003F00DB"/>
    <w:rsid w:val="003F1532"/>
    <w:rsid w:val="00400A42"/>
    <w:rsid w:val="00400C20"/>
    <w:rsid w:val="00417069"/>
    <w:rsid w:val="00417A52"/>
    <w:rsid w:val="004201CE"/>
    <w:rsid w:val="004203FB"/>
    <w:rsid w:val="004262EC"/>
    <w:rsid w:val="004267EB"/>
    <w:rsid w:val="00426946"/>
    <w:rsid w:val="00426E48"/>
    <w:rsid w:val="00427185"/>
    <w:rsid w:val="0042769E"/>
    <w:rsid w:val="00427CBE"/>
    <w:rsid w:val="00431226"/>
    <w:rsid w:val="00431B06"/>
    <w:rsid w:val="00435FC9"/>
    <w:rsid w:val="00441E17"/>
    <w:rsid w:val="00444F38"/>
    <w:rsid w:val="00445509"/>
    <w:rsid w:val="00446870"/>
    <w:rsid w:val="00447ED4"/>
    <w:rsid w:val="0045186E"/>
    <w:rsid w:val="004523B6"/>
    <w:rsid w:val="00462FA7"/>
    <w:rsid w:val="004631DC"/>
    <w:rsid w:val="00467AE3"/>
    <w:rsid w:val="00474638"/>
    <w:rsid w:val="00477639"/>
    <w:rsid w:val="00480CA9"/>
    <w:rsid w:val="00483CE3"/>
    <w:rsid w:val="004908F1"/>
    <w:rsid w:val="00496F88"/>
    <w:rsid w:val="004A1B58"/>
    <w:rsid w:val="004A2849"/>
    <w:rsid w:val="004A2C1F"/>
    <w:rsid w:val="004A4B2A"/>
    <w:rsid w:val="004A6121"/>
    <w:rsid w:val="004C1B1D"/>
    <w:rsid w:val="004C7059"/>
    <w:rsid w:val="004C71DF"/>
    <w:rsid w:val="004D0932"/>
    <w:rsid w:val="004D4186"/>
    <w:rsid w:val="004E2E96"/>
    <w:rsid w:val="004E67FB"/>
    <w:rsid w:val="004E70B9"/>
    <w:rsid w:val="004F1EED"/>
    <w:rsid w:val="004F35DC"/>
    <w:rsid w:val="004F7742"/>
    <w:rsid w:val="00502372"/>
    <w:rsid w:val="00503BDE"/>
    <w:rsid w:val="00512499"/>
    <w:rsid w:val="00520A95"/>
    <w:rsid w:val="0052429E"/>
    <w:rsid w:val="00524843"/>
    <w:rsid w:val="00525B31"/>
    <w:rsid w:val="00530F8D"/>
    <w:rsid w:val="005409AD"/>
    <w:rsid w:val="0054225C"/>
    <w:rsid w:val="00544BA6"/>
    <w:rsid w:val="00545BB1"/>
    <w:rsid w:val="0054624E"/>
    <w:rsid w:val="00546D1D"/>
    <w:rsid w:val="00547085"/>
    <w:rsid w:val="00547823"/>
    <w:rsid w:val="005502E3"/>
    <w:rsid w:val="00554EFA"/>
    <w:rsid w:val="00555E5C"/>
    <w:rsid w:val="005609A5"/>
    <w:rsid w:val="00561695"/>
    <w:rsid w:val="0057480A"/>
    <w:rsid w:val="00577B5C"/>
    <w:rsid w:val="00587786"/>
    <w:rsid w:val="00594BC3"/>
    <w:rsid w:val="005A0AEA"/>
    <w:rsid w:val="005A5FA9"/>
    <w:rsid w:val="005B24AC"/>
    <w:rsid w:val="005B3CDB"/>
    <w:rsid w:val="005B5AD6"/>
    <w:rsid w:val="005B6163"/>
    <w:rsid w:val="005B636A"/>
    <w:rsid w:val="005B7565"/>
    <w:rsid w:val="005C6A82"/>
    <w:rsid w:val="005D6436"/>
    <w:rsid w:val="005F1EA4"/>
    <w:rsid w:val="005F1F7A"/>
    <w:rsid w:val="005F28E0"/>
    <w:rsid w:val="00602353"/>
    <w:rsid w:val="00604980"/>
    <w:rsid w:val="00604A42"/>
    <w:rsid w:val="00606F94"/>
    <w:rsid w:val="00612FC8"/>
    <w:rsid w:val="006155AA"/>
    <w:rsid w:val="00622B53"/>
    <w:rsid w:val="00623666"/>
    <w:rsid w:val="00623C34"/>
    <w:rsid w:val="006251CE"/>
    <w:rsid w:val="006257EB"/>
    <w:rsid w:val="00631F6A"/>
    <w:rsid w:val="00632304"/>
    <w:rsid w:val="00633DAD"/>
    <w:rsid w:val="006405CC"/>
    <w:rsid w:val="00650736"/>
    <w:rsid w:val="00650EC3"/>
    <w:rsid w:val="00653178"/>
    <w:rsid w:val="00661A82"/>
    <w:rsid w:val="00662984"/>
    <w:rsid w:val="00665CCF"/>
    <w:rsid w:val="006679B6"/>
    <w:rsid w:val="00685C05"/>
    <w:rsid w:val="006955C1"/>
    <w:rsid w:val="006A06AC"/>
    <w:rsid w:val="006A0FC2"/>
    <w:rsid w:val="006A4281"/>
    <w:rsid w:val="006A5C30"/>
    <w:rsid w:val="006B0228"/>
    <w:rsid w:val="006B0947"/>
    <w:rsid w:val="006B1C5E"/>
    <w:rsid w:val="006B6BF9"/>
    <w:rsid w:val="006B7E2B"/>
    <w:rsid w:val="006C09FC"/>
    <w:rsid w:val="006C13D3"/>
    <w:rsid w:val="006C1FBD"/>
    <w:rsid w:val="006C400E"/>
    <w:rsid w:val="006C5FC2"/>
    <w:rsid w:val="006D1B4F"/>
    <w:rsid w:val="006D2F58"/>
    <w:rsid w:val="006D6423"/>
    <w:rsid w:val="006E3A9F"/>
    <w:rsid w:val="006E50ED"/>
    <w:rsid w:val="006E5C1A"/>
    <w:rsid w:val="006E6197"/>
    <w:rsid w:val="006E65D5"/>
    <w:rsid w:val="006F033C"/>
    <w:rsid w:val="006F14BD"/>
    <w:rsid w:val="006F4B4B"/>
    <w:rsid w:val="006F4C83"/>
    <w:rsid w:val="00700124"/>
    <w:rsid w:val="0070048C"/>
    <w:rsid w:val="00704545"/>
    <w:rsid w:val="00711BC0"/>
    <w:rsid w:val="00712F93"/>
    <w:rsid w:val="00713D72"/>
    <w:rsid w:val="007170F3"/>
    <w:rsid w:val="0072200F"/>
    <w:rsid w:val="00731618"/>
    <w:rsid w:val="00731B23"/>
    <w:rsid w:val="00740598"/>
    <w:rsid w:val="00741B82"/>
    <w:rsid w:val="0074205F"/>
    <w:rsid w:val="0074354B"/>
    <w:rsid w:val="007444B9"/>
    <w:rsid w:val="007510D7"/>
    <w:rsid w:val="007539D7"/>
    <w:rsid w:val="007609BC"/>
    <w:rsid w:val="00763BE0"/>
    <w:rsid w:val="00763E21"/>
    <w:rsid w:val="007652F8"/>
    <w:rsid w:val="00767AB1"/>
    <w:rsid w:val="00767C6F"/>
    <w:rsid w:val="00771167"/>
    <w:rsid w:val="00773479"/>
    <w:rsid w:val="0077467F"/>
    <w:rsid w:val="00776878"/>
    <w:rsid w:val="0078449A"/>
    <w:rsid w:val="00785896"/>
    <w:rsid w:val="007865B0"/>
    <w:rsid w:val="00786A67"/>
    <w:rsid w:val="00790FC0"/>
    <w:rsid w:val="00791EC2"/>
    <w:rsid w:val="0079294D"/>
    <w:rsid w:val="007931E8"/>
    <w:rsid w:val="00796A4D"/>
    <w:rsid w:val="00796BF4"/>
    <w:rsid w:val="00797C3D"/>
    <w:rsid w:val="007A61D5"/>
    <w:rsid w:val="007B2E9B"/>
    <w:rsid w:val="007B5FAE"/>
    <w:rsid w:val="007C050E"/>
    <w:rsid w:val="007C3482"/>
    <w:rsid w:val="007C52DC"/>
    <w:rsid w:val="007C5570"/>
    <w:rsid w:val="007C6621"/>
    <w:rsid w:val="007C76E4"/>
    <w:rsid w:val="007C774F"/>
    <w:rsid w:val="007D18B6"/>
    <w:rsid w:val="007D1A59"/>
    <w:rsid w:val="007D38AB"/>
    <w:rsid w:val="007E1CA0"/>
    <w:rsid w:val="007E3ADA"/>
    <w:rsid w:val="007E4A2C"/>
    <w:rsid w:val="007E60F7"/>
    <w:rsid w:val="007F1EEC"/>
    <w:rsid w:val="008041B6"/>
    <w:rsid w:val="00804BF0"/>
    <w:rsid w:val="008054F5"/>
    <w:rsid w:val="00805CA8"/>
    <w:rsid w:val="008074A6"/>
    <w:rsid w:val="00810FA3"/>
    <w:rsid w:val="00811060"/>
    <w:rsid w:val="0081492D"/>
    <w:rsid w:val="008166FC"/>
    <w:rsid w:val="00821A06"/>
    <w:rsid w:val="0082564F"/>
    <w:rsid w:val="00825730"/>
    <w:rsid w:val="00827750"/>
    <w:rsid w:val="008307F6"/>
    <w:rsid w:val="00830830"/>
    <w:rsid w:val="0083479E"/>
    <w:rsid w:val="008364E5"/>
    <w:rsid w:val="00842D80"/>
    <w:rsid w:val="00842F1A"/>
    <w:rsid w:val="00846A32"/>
    <w:rsid w:val="00846D77"/>
    <w:rsid w:val="00846E30"/>
    <w:rsid w:val="008472BB"/>
    <w:rsid w:val="00850313"/>
    <w:rsid w:val="00851791"/>
    <w:rsid w:val="0085594A"/>
    <w:rsid w:val="00856E52"/>
    <w:rsid w:val="00861231"/>
    <w:rsid w:val="00863C5F"/>
    <w:rsid w:val="00864233"/>
    <w:rsid w:val="00864988"/>
    <w:rsid w:val="0087396C"/>
    <w:rsid w:val="00873A28"/>
    <w:rsid w:val="00875468"/>
    <w:rsid w:val="008A24B3"/>
    <w:rsid w:val="008A33C4"/>
    <w:rsid w:val="008A3D2A"/>
    <w:rsid w:val="008A7D20"/>
    <w:rsid w:val="008B0CA5"/>
    <w:rsid w:val="008B1E8D"/>
    <w:rsid w:val="008B241D"/>
    <w:rsid w:val="008C2139"/>
    <w:rsid w:val="008C3234"/>
    <w:rsid w:val="008C54A7"/>
    <w:rsid w:val="008C7B3D"/>
    <w:rsid w:val="008D0745"/>
    <w:rsid w:val="008D15DA"/>
    <w:rsid w:val="008D2112"/>
    <w:rsid w:val="008D2196"/>
    <w:rsid w:val="008D5227"/>
    <w:rsid w:val="008E1772"/>
    <w:rsid w:val="008E2A47"/>
    <w:rsid w:val="008E4A94"/>
    <w:rsid w:val="008E5AD2"/>
    <w:rsid w:val="008F0FBD"/>
    <w:rsid w:val="008F1B8C"/>
    <w:rsid w:val="008F3CB3"/>
    <w:rsid w:val="008F4976"/>
    <w:rsid w:val="008F7613"/>
    <w:rsid w:val="00900316"/>
    <w:rsid w:val="00901F41"/>
    <w:rsid w:val="00902905"/>
    <w:rsid w:val="00907A4A"/>
    <w:rsid w:val="00910178"/>
    <w:rsid w:val="00911A33"/>
    <w:rsid w:val="00912584"/>
    <w:rsid w:val="0091675D"/>
    <w:rsid w:val="00916F89"/>
    <w:rsid w:val="009210F8"/>
    <w:rsid w:val="00921119"/>
    <w:rsid w:val="00922F06"/>
    <w:rsid w:val="00933DF2"/>
    <w:rsid w:val="00936109"/>
    <w:rsid w:val="00936E11"/>
    <w:rsid w:val="0094140E"/>
    <w:rsid w:val="0094145F"/>
    <w:rsid w:val="009434D3"/>
    <w:rsid w:val="00943F0E"/>
    <w:rsid w:val="00944CAC"/>
    <w:rsid w:val="00961848"/>
    <w:rsid w:val="00964D4F"/>
    <w:rsid w:val="009707C9"/>
    <w:rsid w:val="00972460"/>
    <w:rsid w:val="0097705F"/>
    <w:rsid w:val="009801F4"/>
    <w:rsid w:val="00982697"/>
    <w:rsid w:val="00984D08"/>
    <w:rsid w:val="00984FB4"/>
    <w:rsid w:val="00987343"/>
    <w:rsid w:val="00987864"/>
    <w:rsid w:val="009905BB"/>
    <w:rsid w:val="009951B0"/>
    <w:rsid w:val="009A053E"/>
    <w:rsid w:val="009A389F"/>
    <w:rsid w:val="009B1E17"/>
    <w:rsid w:val="009B64C9"/>
    <w:rsid w:val="009B7EF5"/>
    <w:rsid w:val="009C1B70"/>
    <w:rsid w:val="009C4766"/>
    <w:rsid w:val="009C5039"/>
    <w:rsid w:val="009C6F7B"/>
    <w:rsid w:val="009D067B"/>
    <w:rsid w:val="009D22D7"/>
    <w:rsid w:val="009D4BB7"/>
    <w:rsid w:val="009D5D19"/>
    <w:rsid w:val="009E4474"/>
    <w:rsid w:val="009F373B"/>
    <w:rsid w:val="009F374A"/>
    <w:rsid w:val="009F490D"/>
    <w:rsid w:val="00A00415"/>
    <w:rsid w:val="00A06F9B"/>
    <w:rsid w:val="00A13938"/>
    <w:rsid w:val="00A1395A"/>
    <w:rsid w:val="00A150BA"/>
    <w:rsid w:val="00A21975"/>
    <w:rsid w:val="00A30A61"/>
    <w:rsid w:val="00A30C1D"/>
    <w:rsid w:val="00A33D70"/>
    <w:rsid w:val="00A35E37"/>
    <w:rsid w:val="00A3670D"/>
    <w:rsid w:val="00A36DC0"/>
    <w:rsid w:val="00A379B0"/>
    <w:rsid w:val="00A425A8"/>
    <w:rsid w:val="00A42BB4"/>
    <w:rsid w:val="00A47103"/>
    <w:rsid w:val="00A55998"/>
    <w:rsid w:val="00A57970"/>
    <w:rsid w:val="00A608C4"/>
    <w:rsid w:val="00A63A55"/>
    <w:rsid w:val="00A71DDF"/>
    <w:rsid w:val="00A8424F"/>
    <w:rsid w:val="00A84F2F"/>
    <w:rsid w:val="00A86993"/>
    <w:rsid w:val="00A903A8"/>
    <w:rsid w:val="00A9080A"/>
    <w:rsid w:val="00A9192B"/>
    <w:rsid w:val="00A97A09"/>
    <w:rsid w:val="00AB14AD"/>
    <w:rsid w:val="00AB2ED3"/>
    <w:rsid w:val="00AB3F96"/>
    <w:rsid w:val="00AC6BCF"/>
    <w:rsid w:val="00AD0B1C"/>
    <w:rsid w:val="00AD2562"/>
    <w:rsid w:val="00AD2ED4"/>
    <w:rsid w:val="00AD3013"/>
    <w:rsid w:val="00AD3AC7"/>
    <w:rsid w:val="00AD3B4A"/>
    <w:rsid w:val="00AD5570"/>
    <w:rsid w:val="00AE0A28"/>
    <w:rsid w:val="00AE4391"/>
    <w:rsid w:val="00AF0F10"/>
    <w:rsid w:val="00AF18BC"/>
    <w:rsid w:val="00AF4BCA"/>
    <w:rsid w:val="00AF6D09"/>
    <w:rsid w:val="00AF7C91"/>
    <w:rsid w:val="00B005FC"/>
    <w:rsid w:val="00B022DA"/>
    <w:rsid w:val="00B063BB"/>
    <w:rsid w:val="00B105E4"/>
    <w:rsid w:val="00B1298F"/>
    <w:rsid w:val="00B156D5"/>
    <w:rsid w:val="00B2063D"/>
    <w:rsid w:val="00B21259"/>
    <w:rsid w:val="00B258D7"/>
    <w:rsid w:val="00B32DA2"/>
    <w:rsid w:val="00B333A6"/>
    <w:rsid w:val="00B33D12"/>
    <w:rsid w:val="00B423EA"/>
    <w:rsid w:val="00B427F4"/>
    <w:rsid w:val="00B54405"/>
    <w:rsid w:val="00B54493"/>
    <w:rsid w:val="00B549C9"/>
    <w:rsid w:val="00B54B09"/>
    <w:rsid w:val="00B64AD0"/>
    <w:rsid w:val="00B650C1"/>
    <w:rsid w:val="00B704FD"/>
    <w:rsid w:val="00B7278E"/>
    <w:rsid w:val="00B7389E"/>
    <w:rsid w:val="00B74644"/>
    <w:rsid w:val="00B748D4"/>
    <w:rsid w:val="00B764E8"/>
    <w:rsid w:val="00B765B3"/>
    <w:rsid w:val="00B77A29"/>
    <w:rsid w:val="00B81E77"/>
    <w:rsid w:val="00B82388"/>
    <w:rsid w:val="00B83E6C"/>
    <w:rsid w:val="00B8414B"/>
    <w:rsid w:val="00B84738"/>
    <w:rsid w:val="00B85046"/>
    <w:rsid w:val="00B855BC"/>
    <w:rsid w:val="00B909A3"/>
    <w:rsid w:val="00B927A3"/>
    <w:rsid w:val="00B959F1"/>
    <w:rsid w:val="00B96C20"/>
    <w:rsid w:val="00B97949"/>
    <w:rsid w:val="00BA1E61"/>
    <w:rsid w:val="00BA4F4A"/>
    <w:rsid w:val="00BA4FF2"/>
    <w:rsid w:val="00BB0470"/>
    <w:rsid w:val="00BB2C33"/>
    <w:rsid w:val="00BC41BD"/>
    <w:rsid w:val="00BC5836"/>
    <w:rsid w:val="00BD0F27"/>
    <w:rsid w:val="00BD13CB"/>
    <w:rsid w:val="00BD27F7"/>
    <w:rsid w:val="00BE2046"/>
    <w:rsid w:val="00BF06FB"/>
    <w:rsid w:val="00BF3597"/>
    <w:rsid w:val="00BF3C08"/>
    <w:rsid w:val="00BF4D9B"/>
    <w:rsid w:val="00BF4FF6"/>
    <w:rsid w:val="00BF69A5"/>
    <w:rsid w:val="00BF7493"/>
    <w:rsid w:val="00C02BE8"/>
    <w:rsid w:val="00C04D74"/>
    <w:rsid w:val="00C168F9"/>
    <w:rsid w:val="00C20196"/>
    <w:rsid w:val="00C2727F"/>
    <w:rsid w:val="00C31B0F"/>
    <w:rsid w:val="00C31EE6"/>
    <w:rsid w:val="00C34C4D"/>
    <w:rsid w:val="00C40B5C"/>
    <w:rsid w:val="00C45A2B"/>
    <w:rsid w:val="00C47A6D"/>
    <w:rsid w:val="00C50256"/>
    <w:rsid w:val="00C50E76"/>
    <w:rsid w:val="00C52055"/>
    <w:rsid w:val="00C57FEC"/>
    <w:rsid w:val="00C61CD6"/>
    <w:rsid w:val="00C643B9"/>
    <w:rsid w:val="00C6451F"/>
    <w:rsid w:val="00C659AC"/>
    <w:rsid w:val="00C72434"/>
    <w:rsid w:val="00C75CD9"/>
    <w:rsid w:val="00C802A8"/>
    <w:rsid w:val="00C9153C"/>
    <w:rsid w:val="00CA0599"/>
    <w:rsid w:val="00CA2C66"/>
    <w:rsid w:val="00CA698D"/>
    <w:rsid w:val="00CB6777"/>
    <w:rsid w:val="00CC29C7"/>
    <w:rsid w:val="00CC5F4B"/>
    <w:rsid w:val="00CC5FE3"/>
    <w:rsid w:val="00CD4EF0"/>
    <w:rsid w:val="00CD7143"/>
    <w:rsid w:val="00CE24AB"/>
    <w:rsid w:val="00CE43B2"/>
    <w:rsid w:val="00CE46D0"/>
    <w:rsid w:val="00CE51CE"/>
    <w:rsid w:val="00CE61B2"/>
    <w:rsid w:val="00CF3A5B"/>
    <w:rsid w:val="00CF4530"/>
    <w:rsid w:val="00D01C27"/>
    <w:rsid w:val="00D03076"/>
    <w:rsid w:val="00D0577A"/>
    <w:rsid w:val="00D112C9"/>
    <w:rsid w:val="00D12B3B"/>
    <w:rsid w:val="00D144D8"/>
    <w:rsid w:val="00D1590F"/>
    <w:rsid w:val="00D161A6"/>
    <w:rsid w:val="00D17E1B"/>
    <w:rsid w:val="00D201A1"/>
    <w:rsid w:val="00D227BF"/>
    <w:rsid w:val="00D24554"/>
    <w:rsid w:val="00D25A56"/>
    <w:rsid w:val="00D267D5"/>
    <w:rsid w:val="00D31CB5"/>
    <w:rsid w:val="00D35BE5"/>
    <w:rsid w:val="00D35E12"/>
    <w:rsid w:val="00D362DB"/>
    <w:rsid w:val="00D36E6D"/>
    <w:rsid w:val="00D37C59"/>
    <w:rsid w:val="00D37F83"/>
    <w:rsid w:val="00D53E3F"/>
    <w:rsid w:val="00D54A39"/>
    <w:rsid w:val="00D61D63"/>
    <w:rsid w:val="00D652FE"/>
    <w:rsid w:val="00D673AB"/>
    <w:rsid w:val="00D74275"/>
    <w:rsid w:val="00D74BBE"/>
    <w:rsid w:val="00D80E2E"/>
    <w:rsid w:val="00D8641F"/>
    <w:rsid w:val="00D90CBC"/>
    <w:rsid w:val="00D90F83"/>
    <w:rsid w:val="00D91D0B"/>
    <w:rsid w:val="00D95725"/>
    <w:rsid w:val="00DA152C"/>
    <w:rsid w:val="00DA5596"/>
    <w:rsid w:val="00DA6322"/>
    <w:rsid w:val="00DA6625"/>
    <w:rsid w:val="00DA6E40"/>
    <w:rsid w:val="00DB3D20"/>
    <w:rsid w:val="00DB4F42"/>
    <w:rsid w:val="00DB527E"/>
    <w:rsid w:val="00DB62EE"/>
    <w:rsid w:val="00DB77DE"/>
    <w:rsid w:val="00DC6229"/>
    <w:rsid w:val="00DD1D6F"/>
    <w:rsid w:val="00DD7218"/>
    <w:rsid w:val="00DE5FCF"/>
    <w:rsid w:val="00DF1779"/>
    <w:rsid w:val="00E0128A"/>
    <w:rsid w:val="00E01608"/>
    <w:rsid w:val="00E018A0"/>
    <w:rsid w:val="00E02889"/>
    <w:rsid w:val="00E03967"/>
    <w:rsid w:val="00E07271"/>
    <w:rsid w:val="00E13299"/>
    <w:rsid w:val="00E1701E"/>
    <w:rsid w:val="00E236E4"/>
    <w:rsid w:val="00E2402C"/>
    <w:rsid w:val="00E31BF4"/>
    <w:rsid w:val="00E362FB"/>
    <w:rsid w:val="00E366EF"/>
    <w:rsid w:val="00E377D3"/>
    <w:rsid w:val="00E47929"/>
    <w:rsid w:val="00E4797A"/>
    <w:rsid w:val="00E572AB"/>
    <w:rsid w:val="00E60BC8"/>
    <w:rsid w:val="00E65298"/>
    <w:rsid w:val="00E7219E"/>
    <w:rsid w:val="00E74A72"/>
    <w:rsid w:val="00E76DD1"/>
    <w:rsid w:val="00E8777F"/>
    <w:rsid w:val="00E940DB"/>
    <w:rsid w:val="00EA2C60"/>
    <w:rsid w:val="00EA4FFF"/>
    <w:rsid w:val="00EB6825"/>
    <w:rsid w:val="00EB6A8F"/>
    <w:rsid w:val="00EB79DB"/>
    <w:rsid w:val="00EC147E"/>
    <w:rsid w:val="00EC48B9"/>
    <w:rsid w:val="00EC66A6"/>
    <w:rsid w:val="00EC6A92"/>
    <w:rsid w:val="00EC7EC0"/>
    <w:rsid w:val="00ED0C3E"/>
    <w:rsid w:val="00ED1B23"/>
    <w:rsid w:val="00ED69F8"/>
    <w:rsid w:val="00EE0419"/>
    <w:rsid w:val="00EE36DE"/>
    <w:rsid w:val="00EE3EE6"/>
    <w:rsid w:val="00EE613B"/>
    <w:rsid w:val="00F029D1"/>
    <w:rsid w:val="00F0437D"/>
    <w:rsid w:val="00F0538E"/>
    <w:rsid w:val="00F1104D"/>
    <w:rsid w:val="00F12146"/>
    <w:rsid w:val="00F140CD"/>
    <w:rsid w:val="00F14D11"/>
    <w:rsid w:val="00F17B33"/>
    <w:rsid w:val="00F21658"/>
    <w:rsid w:val="00F27EA4"/>
    <w:rsid w:val="00F30AE5"/>
    <w:rsid w:val="00F3268E"/>
    <w:rsid w:val="00F3568C"/>
    <w:rsid w:val="00F35811"/>
    <w:rsid w:val="00F41A6D"/>
    <w:rsid w:val="00F45D9C"/>
    <w:rsid w:val="00F50A18"/>
    <w:rsid w:val="00F50B97"/>
    <w:rsid w:val="00F530B3"/>
    <w:rsid w:val="00F55769"/>
    <w:rsid w:val="00F55BB1"/>
    <w:rsid w:val="00F614A1"/>
    <w:rsid w:val="00F619E9"/>
    <w:rsid w:val="00F73B1E"/>
    <w:rsid w:val="00F84A8A"/>
    <w:rsid w:val="00F87B19"/>
    <w:rsid w:val="00F90E41"/>
    <w:rsid w:val="00FA242E"/>
    <w:rsid w:val="00FA2F46"/>
    <w:rsid w:val="00FA3ACF"/>
    <w:rsid w:val="00FA60F8"/>
    <w:rsid w:val="00FA7BFB"/>
    <w:rsid w:val="00FB2B3D"/>
    <w:rsid w:val="00FB4709"/>
    <w:rsid w:val="00FC1887"/>
    <w:rsid w:val="00FD3FE5"/>
    <w:rsid w:val="00FE0439"/>
    <w:rsid w:val="00FE1670"/>
    <w:rsid w:val="00FE31D5"/>
    <w:rsid w:val="00FE5244"/>
    <w:rsid w:val="00FF0838"/>
    <w:rsid w:val="00FF33D7"/>
    <w:rsid w:val="00FF4998"/>
    <w:rsid w:val="00FF5D7A"/>
    <w:rsid w:val="00FF7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1A694CD3"/>
  <w15:docId w15:val="{1098AFFE-9D89-4079-9C23-3023EB86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63D"/>
    <w:pPr>
      <w:spacing w:after="200" w:line="276" w:lineRule="auto"/>
    </w:pPr>
    <w:rPr>
      <w:sz w:val="22"/>
      <w:szCs w:val="22"/>
      <w:lang w:val="en-GB" w:eastAsia="en-GB" w:bidi="en-GB"/>
    </w:rPr>
  </w:style>
  <w:style w:type="paragraph" w:styleId="Heading1">
    <w:name w:val="heading 1"/>
    <w:basedOn w:val="Normal"/>
    <w:next w:val="Normal"/>
    <w:link w:val="Heading1Char"/>
    <w:uiPriority w:val="9"/>
    <w:qFormat/>
    <w:rsid w:val="00B2063D"/>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semiHidden/>
    <w:unhideWhenUsed/>
    <w:qFormat/>
    <w:rsid w:val="00B2063D"/>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B2063D"/>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B2063D"/>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B2063D"/>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B2063D"/>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B2063D"/>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B2063D"/>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B2063D"/>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076"/>
    <w:pPr>
      <w:tabs>
        <w:tab w:val="center" w:pos="4536"/>
        <w:tab w:val="right" w:pos="9072"/>
      </w:tabs>
    </w:pPr>
  </w:style>
  <w:style w:type="character" w:customStyle="1" w:styleId="HeaderChar">
    <w:name w:val="Header Char"/>
    <w:link w:val="Header"/>
    <w:uiPriority w:val="99"/>
    <w:rsid w:val="00D03076"/>
    <w:rPr>
      <w:sz w:val="22"/>
      <w:szCs w:val="22"/>
      <w:lang w:eastAsia="en-GB"/>
    </w:rPr>
  </w:style>
  <w:style w:type="paragraph" w:styleId="Footer">
    <w:name w:val="footer"/>
    <w:basedOn w:val="Normal"/>
    <w:link w:val="FooterChar"/>
    <w:uiPriority w:val="99"/>
    <w:unhideWhenUsed/>
    <w:rsid w:val="00D03076"/>
    <w:pPr>
      <w:tabs>
        <w:tab w:val="center" w:pos="4536"/>
        <w:tab w:val="right" w:pos="9072"/>
      </w:tabs>
    </w:pPr>
  </w:style>
  <w:style w:type="character" w:customStyle="1" w:styleId="FooterChar">
    <w:name w:val="Footer Char"/>
    <w:link w:val="Footer"/>
    <w:uiPriority w:val="99"/>
    <w:rsid w:val="00D03076"/>
    <w:rPr>
      <w:sz w:val="22"/>
      <w:szCs w:val="22"/>
      <w:lang w:eastAsia="en-GB"/>
    </w:rPr>
  </w:style>
  <w:style w:type="paragraph" w:styleId="Date">
    <w:name w:val="Date"/>
    <w:basedOn w:val="Normal"/>
    <w:next w:val="References"/>
    <w:link w:val="DateChar"/>
    <w:uiPriority w:val="99"/>
    <w:rsid w:val="00D03076"/>
    <w:pPr>
      <w:spacing w:after="0" w:line="240" w:lineRule="auto"/>
      <w:ind w:left="5103" w:right="-567"/>
    </w:pPr>
    <w:rPr>
      <w:rFonts w:ascii="Times New Roman" w:hAnsi="Times New Roman"/>
      <w:sz w:val="24"/>
      <w:szCs w:val="20"/>
    </w:rPr>
  </w:style>
  <w:style w:type="character" w:customStyle="1" w:styleId="DateChar">
    <w:name w:val="Date Char"/>
    <w:link w:val="Date"/>
    <w:uiPriority w:val="99"/>
    <w:rsid w:val="00D03076"/>
    <w:rPr>
      <w:rFonts w:ascii="Times New Roman" w:eastAsia="Times New Roman" w:hAnsi="Times New Roman"/>
      <w:sz w:val="24"/>
      <w:lang w:val="en-GB" w:eastAsia="en-GB"/>
    </w:rPr>
  </w:style>
  <w:style w:type="paragraph" w:customStyle="1" w:styleId="References">
    <w:name w:val="References"/>
    <w:basedOn w:val="Normal"/>
    <w:next w:val="Normal"/>
    <w:uiPriority w:val="99"/>
    <w:rsid w:val="00D03076"/>
    <w:pPr>
      <w:spacing w:after="240" w:line="240" w:lineRule="auto"/>
      <w:ind w:left="5103"/>
    </w:pPr>
    <w:rPr>
      <w:rFonts w:ascii="Times New Roman" w:hAnsi="Times New Roman"/>
      <w:sz w:val="20"/>
      <w:szCs w:val="20"/>
    </w:rPr>
  </w:style>
  <w:style w:type="paragraph" w:customStyle="1" w:styleId="ZCom">
    <w:name w:val="Z_Com"/>
    <w:basedOn w:val="Normal"/>
    <w:next w:val="ZDGName"/>
    <w:uiPriority w:val="99"/>
    <w:rsid w:val="00D03076"/>
    <w:pPr>
      <w:widowControl w:val="0"/>
      <w:autoSpaceDE w:val="0"/>
      <w:autoSpaceDN w:val="0"/>
      <w:spacing w:after="0" w:line="240" w:lineRule="auto"/>
      <w:ind w:right="85"/>
      <w:jc w:val="both"/>
    </w:pPr>
    <w:rPr>
      <w:rFonts w:ascii="Arial" w:hAnsi="Arial" w:cs="Arial"/>
      <w:sz w:val="24"/>
      <w:szCs w:val="24"/>
    </w:rPr>
  </w:style>
  <w:style w:type="paragraph" w:customStyle="1" w:styleId="ZDGName">
    <w:name w:val="Z_DGName"/>
    <w:basedOn w:val="Normal"/>
    <w:uiPriority w:val="99"/>
    <w:rsid w:val="00D03076"/>
    <w:pPr>
      <w:widowControl w:val="0"/>
      <w:autoSpaceDE w:val="0"/>
      <w:autoSpaceDN w:val="0"/>
      <w:spacing w:after="0" w:line="240" w:lineRule="auto"/>
      <w:ind w:right="85"/>
    </w:pPr>
    <w:rPr>
      <w:rFonts w:ascii="Arial" w:hAnsi="Arial" w:cs="Arial"/>
      <w:sz w:val="16"/>
      <w:szCs w:val="16"/>
    </w:rPr>
  </w:style>
  <w:style w:type="paragraph" w:styleId="Signature">
    <w:name w:val="Signature"/>
    <w:basedOn w:val="Normal"/>
    <w:next w:val="Normal"/>
    <w:link w:val="SignatureChar"/>
    <w:uiPriority w:val="99"/>
    <w:rsid w:val="00D03076"/>
    <w:pPr>
      <w:tabs>
        <w:tab w:val="left" w:pos="5103"/>
      </w:tabs>
      <w:spacing w:before="1200" w:after="0" w:line="240" w:lineRule="auto"/>
      <w:ind w:left="5103"/>
      <w:jc w:val="center"/>
    </w:pPr>
    <w:rPr>
      <w:rFonts w:ascii="Times New Roman" w:hAnsi="Times New Roman"/>
      <w:sz w:val="24"/>
      <w:szCs w:val="20"/>
    </w:rPr>
  </w:style>
  <w:style w:type="character" w:customStyle="1" w:styleId="SignatureChar">
    <w:name w:val="Signature Char"/>
    <w:link w:val="Signature"/>
    <w:uiPriority w:val="99"/>
    <w:rsid w:val="00D03076"/>
    <w:rPr>
      <w:rFonts w:ascii="Times New Roman" w:eastAsia="Times New Roman" w:hAnsi="Times New Roman"/>
      <w:sz w:val="24"/>
      <w:lang w:val="en-GB" w:eastAsia="en-GB"/>
    </w:rPr>
  </w:style>
  <w:style w:type="paragraph" w:customStyle="1" w:styleId="NoteHead">
    <w:name w:val="NoteHead"/>
    <w:basedOn w:val="Normal"/>
    <w:next w:val="Subject"/>
    <w:rsid w:val="00D03076"/>
    <w:pPr>
      <w:spacing w:before="720" w:after="720" w:line="240" w:lineRule="auto"/>
      <w:jc w:val="center"/>
    </w:pPr>
    <w:rPr>
      <w:rFonts w:ascii="Times New Roman" w:hAnsi="Times New Roman"/>
      <w:b/>
      <w:smallCaps/>
      <w:sz w:val="24"/>
      <w:szCs w:val="20"/>
    </w:rPr>
  </w:style>
  <w:style w:type="paragraph" w:customStyle="1" w:styleId="Subject">
    <w:name w:val="Subject"/>
    <w:basedOn w:val="Normal"/>
    <w:next w:val="Normal"/>
    <w:rsid w:val="00D03076"/>
    <w:pPr>
      <w:spacing w:after="480" w:line="240" w:lineRule="auto"/>
      <w:ind w:left="1531" w:hanging="1531"/>
    </w:pPr>
    <w:rPr>
      <w:rFonts w:ascii="Times New Roman" w:hAnsi="Times New Roman"/>
      <w:b/>
      <w:sz w:val="24"/>
      <w:szCs w:val="20"/>
    </w:rPr>
  </w:style>
  <w:style w:type="paragraph" w:styleId="BalloonText">
    <w:name w:val="Balloon Text"/>
    <w:basedOn w:val="Normal"/>
    <w:link w:val="BalloonTextChar"/>
    <w:uiPriority w:val="99"/>
    <w:semiHidden/>
    <w:unhideWhenUsed/>
    <w:rsid w:val="00E362FB"/>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362FB"/>
    <w:rPr>
      <w:rFonts w:ascii="Tahoma" w:hAnsi="Tahoma" w:cs="Tahoma"/>
      <w:sz w:val="16"/>
      <w:szCs w:val="16"/>
      <w:lang w:eastAsia="en-GB"/>
    </w:rPr>
  </w:style>
  <w:style w:type="character" w:styleId="CommentReference">
    <w:name w:val="annotation reference"/>
    <w:semiHidden/>
    <w:unhideWhenUsed/>
    <w:rsid w:val="00791EC2"/>
    <w:rPr>
      <w:sz w:val="16"/>
      <w:szCs w:val="16"/>
    </w:rPr>
  </w:style>
  <w:style w:type="paragraph" w:styleId="CommentText">
    <w:name w:val="annotation text"/>
    <w:basedOn w:val="Normal"/>
    <w:link w:val="CommentTextChar"/>
    <w:semiHidden/>
    <w:unhideWhenUsed/>
    <w:rsid w:val="00791EC2"/>
    <w:rPr>
      <w:sz w:val="20"/>
      <w:szCs w:val="20"/>
    </w:rPr>
  </w:style>
  <w:style w:type="character" w:customStyle="1" w:styleId="CommentTextChar">
    <w:name w:val="Comment Text Char"/>
    <w:link w:val="CommentText"/>
    <w:semiHidden/>
    <w:rsid w:val="00791EC2"/>
    <w:rPr>
      <w:lang w:eastAsia="en-GB"/>
    </w:rPr>
  </w:style>
  <w:style w:type="paragraph" w:styleId="CommentSubject">
    <w:name w:val="annotation subject"/>
    <w:basedOn w:val="CommentText"/>
    <w:next w:val="CommentText"/>
    <w:link w:val="CommentSubjectChar"/>
    <w:uiPriority w:val="99"/>
    <w:semiHidden/>
    <w:unhideWhenUsed/>
    <w:rsid w:val="00791EC2"/>
    <w:rPr>
      <w:b/>
      <w:bCs/>
    </w:rPr>
  </w:style>
  <w:style w:type="character" w:customStyle="1" w:styleId="CommentSubjectChar">
    <w:name w:val="Comment Subject Char"/>
    <w:link w:val="CommentSubject"/>
    <w:uiPriority w:val="99"/>
    <w:semiHidden/>
    <w:rsid w:val="00791EC2"/>
    <w:rPr>
      <w:b/>
      <w:bCs/>
      <w:lang w:eastAsia="en-GB"/>
    </w:rPr>
  </w:style>
  <w:style w:type="paragraph" w:styleId="FootnoteText">
    <w:name w:val="footnote text"/>
    <w:basedOn w:val="Normal"/>
    <w:link w:val="FootnoteTextChar"/>
    <w:semiHidden/>
    <w:rsid w:val="00EE0419"/>
    <w:pPr>
      <w:spacing w:after="0" w:line="240" w:lineRule="auto"/>
    </w:pPr>
    <w:rPr>
      <w:rFonts w:ascii="Times New Roman" w:hAnsi="Times New Roman"/>
      <w:snapToGrid w:val="0"/>
      <w:sz w:val="20"/>
      <w:szCs w:val="20"/>
    </w:rPr>
  </w:style>
  <w:style w:type="character" w:customStyle="1" w:styleId="FootnoteTextChar">
    <w:name w:val="Footnote Text Char"/>
    <w:link w:val="FootnoteText"/>
    <w:semiHidden/>
    <w:rsid w:val="00EE0419"/>
    <w:rPr>
      <w:rFonts w:ascii="Times New Roman" w:eastAsia="Times New Roman" w:hAnsi="Times New Roman"/>
      <w:snapToGrid w:val="0"/>
    </w:rPr>
  </w:style>
  <w:style w:type="character" w:styleId="FootnoteReference">
    <w:name w:val="footnote reference"/>
    <w:semiHidden/>
    <w:rsid w:val="00EE0419"/>
    <w:rPr>
      <w:vertAlign w:val="superscript"/>
    </w:rPr>
  </w:style>
  <w:style w:type="character" w:styleId="PageNumber">
    <w:name w:val="page number"/>
    <w:rsid w:val="00EE0419"/>
  </w:style>
  <w:style w:type="character" w:customStyle="1" w:styleId="Heading1Char">
    <w:name w:val="Heading 1 Char"/>
    <w:link w:val="Heading1"/>
    <w:uiPriority w:val="9"/>
    <w:rsid w:val="00B2063D"/>
    <w:rPr>
      <w:rFonts w:ascii="Cambria" w:eastAsia="Times New Roman" w:hAnsi="Cambria" w:cs="Times New Roman"/>
      <w:b/>
      <w:bCs/>
      <w:sz w:val="28"/>
      <w:szCs w:val="28"/>
    </w:rPr>
  </w:style>
  <w:style w:type="character" w:customStyle="1" w:styleId="Heading2Char">
    <w:name w:val="Heading 2 Char"/>
    <w:link w:val="Heading2"/>
    <w:uiPriority w:val="9"/>
    <w:semiHidden/>
    <w:rsid w:val="00B2063D"/>
    <w:rPr>
      <w:rFonts w:ascii="Cambria" w:eastAsia="Times New Roman" w:hAnsi="Cambria" w:cs="Times New Roman"/>
      <w:b/>
      <w:bCs/>
      <w:sz w:val="26"/>
      <w:szCs w:val="26"/>
    </w:rPr>
  </w:style>
  <w:style w:type="character" w:customStyle="1" w:styleId="Heading3Char">
    <w:name w:val="Heading 3 Char"/>
    <w:link w:val="Heading3"/>
    <w:uiPriority w:val="9"/>
    <w:semiHidden/>
    <w:rsid w:val="00B2063D"/>
    <w:rPr>
      <w:rFonts w:ascii="Cambria" w:eastAsia="Times New Roman" w:hAnsi="Cambria" w:cs="Times New Roman"/>
      <w:b/>
      <w:bCs/>
    </w:rPr>
  </w:style>
  <w:style w:type="character" w:customStyle="1" w:styleId="Heading4Char">
    <w:name w:val="Heading 4 Char"/>
    <w:link w:val="Heading4"/>
    <w:uiPriority w:val="9"/>
    <w:semiHidden/>
    <w:rsid w:val="00B2063D"/>
    <w:rPr>
      <w:rFonts w:ascii="Cambria" w:eastAsia="Times New Roman" w:hAnsi="Cambria" w:cs="Times New Roman"/>
      <w:b/>
      <w:bCs/>
      <w:i/>
      <w:iCs/>
    </w:rPr>
  </w:style>
  <w:style w:type="character" w:customStyle="1" w:styleId="Heading5Char">
    <w:name w:val="Heading 5 Char"/>
    <w:link w:val="Heading5"/>
    <w:uiPriority w:val="9"/>
    <w:semiHidden/>
    <w:rsid w:val="00B2063D"/>
    <w:rPr>
      <w:rFonts w:ascii="Cambria" w:eastAsia="Times New Roman" w:hAnsi="Cambria" w:cs="Times New Roman"/>
      <w:b/>
      <w:bCs/>
      <w:color w:val="7F7F7F"/>
    </w:rPr>
  </w:style>
  <w:style w:type="character" w:customStyle="1" w:styleId="Heading6Char">
    <w:name w:val="Heading 6 Char"/>
    <w:link w:val="Heading6"/>
    <w:uiPriority w:val="9"/>
    <w:semiHidden/>
    <w:rsid w:val="00B2063D"/>
    <w:rPr>
      <w:rFonts w:ascii="Cambria" w:eastAsia="Times New Roman" w:hAnsi="Cambria" w:cs="Times New Roman"/>
      <w:b/>
      <w:bCs/>
      <w:i/>
      <w:iCs/>
      <w:color w:val="7F7F7F"/>
    </w:rPr>
  </w:style>
  <w:style w:type="character" w:customStyle="1" w:styleId="Heading7Char">
    <w:name w:val="Heading 7 Char"/>
    <w:link w:val="Heading7"/>
    <w:uiPriority w:val="9"/>
    <w:semiHidden/>
    <w:rsid w:val="00B2063D"/>
    <w:rPr>
      <w:rFonts w:ascii="Cambria" w:eastAsia="Times New Roman" w:hAnsi="Cambria" w:cs="Times New Roman"/>
      <w:i/>
      <w:iCs/>
    </w:rPr>
  </w:style>
  <w:style w:type="character" w:customStyle="1" w:styleId="Heading8Char">
    <w:name w:val="Heading 8 Char"/>
    <w:link w:val="Heading8"/>
    <w:uiPriority w:val="9"/>
    <w:semiHidden/>
    <w:rsid w:val="00B2063D"/>
    <w:rPr>
      <w:rFonts w:ascii="Cambria" w:eastAsia="Times New Roman" w:hAnsi="Cambria" w:cs="Times New Roman"/>
      <w:sz w:val="20"/>
      <w:szCs w:val="20"/>
    </w:rPr>
  </w:style>
  <w:style w:type="character" w:customStyle="1" w:styleId="Heading9Char">
    <w:name w:val="Heading 9 Char"/>
    <w:link w:val="Heading9"/>
    <w:uiPriority w:val="9"/>
    <w:semiHidden/>
    <w:rsid w:val="00B2063D"/>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B2063D"/>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B2063D"/>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B2063D"/>
    <w:pPr>
      <w:spacing w:after="600"/>
    </w:pPr>
    <w:rPr>
      <w:rFonts w:ascii="Cambria" w:hAnsi="Cambria"/>
      <w:i/>
      <w:iCs/>
      <w:spacing w:val="13"/>
      <w:sz w:val="24"/>
      <w:szCs w:val="24"/>
    </w:rPr>
  </w:style>
  <w:style w:type="character" w:customStyle="1" w:styleId="SubtitleChar">
    <w:name w:val="Subtitle Char"/>
    <w:link w:val="Subtitle"/>
    <w:uiPriority w:val="11"/>
    <w:rsid w:val="00B2063D"/>
    <w:rPr>
      <w:rFonts w:ascii="Cambria" w:eastAsia="Times New Roman" w:hAnsi="Cambria" w:cs="Times New Roman"/>
      <w:i/>
      <w:iCs/>
      <w:spacing w:val="13"/>
      <w:sz w:val="24"/>
      <w:szCs w:val="24"/>
    </w:rPr>
  </w:style>
  <w:style w:type="character" w:styleId="Strong">
    <w:name w:val="Strong"/>
    <w:uiPriority w:val="22"/>
    <w:qFormat/>
    <w:rsid w:val="00B2063D"/>
    <w:rPr>
      <w:b/>
      <w:bCs/>
    </w:rPr>
  </w:style>
  <w:style w:type="character" w:styleId="Emphasis">
    <w:name w:val="Emphasis"/>
    <w:uiPriority w:val="20"/>
    <w:qFormat/>
    <w:rsid w:val="00B2063D"/>
    <w:rPr>
      <w:b/>
      <w:bCs/>
      <w:i/>
      <w:iCs/>
      <w:spacing w:val="10"/>
      <w:bdr w:val="none" w:sz="0" w:space="0" w:color="auto"/>
      <w:shd w:val="clear" w:color="auto" w:fill="auto"/>
    </w:rPr>
  </w:style>
  <w:style w:type="paragraph" w:styleId="NoSpacing">
    <w:name w:val="No Spacing"/>
    <w:basedOn w:val="Normal"/>
    <w:uiPriority w:val="1"/>
    <w:qFormat/>
    <w:rsid w:val="00B2063D"/>
    <w:pPr>
      <w:spacing w:after="0" w:line="240" w:lineRule="auto"/>
    </w:pPr>
  </w:style>
  <w:style w:type="paragraph" w:styleId="ListParagraph">
    <w:name w:val="List Paragraph"/>
    <w:basedOn w:val="Normal"/>
    <w:uiPriority w:val="34"/>
    <w:qFormat/>
    <w:rsid w:val="00B2063D"/>
    <w:pPr>
      <w:ind w:left="720"/>
      <w:contextualSpacing/>
    </w:pPr>
  </w:style>
  <w:style w:type="paragraph" w:styleId="Quote">
    <w:name w:val="Quote"/>
    <w:basedOn w:val="Normal"/>
    <w:next w:val="Normal"/>
    <w:link w:val="QuoteChar"/>
    <w:uiPriority w:val="29"/>
    <w:qFormat/>
    <w:rsid w:val="00B2063D"/>
    <w:pPr>
      <w:spacing w:before="200" w:after="0"/>
      <w:ind w:left="360" w:right="360"/>
    </w:pPr>
    <w:rPr>
      <w:i/>
      <w:iCs/>
    </w:rPr>
  </w:style>
  <w:style w:type="character" w:customStyle="1" w:styleId="QuoteChar">
    <w:name w:val="Quote Char"/>
    <w:link w:val="Quote"/>
    <w:uiPriority w:val="29"/>
    <w:rsid w:val="00B2063D"/>
    <w:rPr>
      <w:i/>
      <w:iCs/>
    </w:rPr>
  </w:style>
  <w:style w:type="paragraph" w:styleId="IntenseQuote">
    <w:name w:val="Intense Quote"/>
    <w:basedOn w:val="Normal"/>
    <w:next w:val="Normal"/>
    <w:link w:val="IntenseQuoteChar"/>
    <w:uiPriority w:val="30"/>
    <w:qFormat/>
    <w:rsid w:val="00B2063D"/>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2063D"/>
    <w:rPr>
      <w:b/>
      <w:bCs/>
      <w:i/>
      <w:iCs/>
    </w:rPr>
  </w:style>
  <w:style w:type="character" w:styleId="SubtleEmphasis">
    <w:name w:val="Subtle Emphasis"/>
    <w:uiPriority w:val="19"/>
    <w:qFormat/>
    <w:rsid w:val="00B2063D"/>
    <w:rPr>
      <w:i/>
      <w:iCs/>
    </w:rPr>
  </w:style>
  <w:style w:type="character" w:styleId="IntenseEmphasis">
    <w:name w:val="Intense Emphasis"/>
    <w:uiPriority w:val="21"/>
    <w:qFormat/>
    <w:rsid w:val="00B2063D"/>
    <w:rPr>
      <w:b/>
      <w:bCs/>
    </w:rPr>
  </w:style>
  <w:style w:type="character" w:styleId="SubtleReference">
    <w:name w:val="Subtle Reference"/>
    <w:uiPriority w:val="31"/>
    <w:qFormat/>
    <w:rsid w:val="00B2063D"/>
    <w:rPr>
      <w:smallCaps/>
    </w:rPr>
  </w:style>
  <w:style w:type="character" w:styleId="IntenseReference">
    <w:name w:val="Intense Reference"/>
    <w:uiPriority w:val="32"/>
    <w:qFormat/>
    <w:rsid w:val="00B2063D"/>
    <w:rPr>
      <w:smallCaps/>
      <w:spacing w:val="5"/>
      <w:u w:val="single"/>
    </w:rPr>
  </w:style>
  <w:style w:type="character" w:styleId="BookTitle">
    <w:name w:val="Book Title"/>
    <w:uiPriority w:val="33"/>
    <w:qFormat/>
    <w:rsid w:val="00B2063D"/>
    <w:rPr>
      <w:i/>
      <w:iCs/>
      <w:smallCaps/>
      <w:spacing w:val="5"/>
    </w:rPr>
  </w:style>
  <w:style w:type="paragraph" w:styleId="TOCHeading">
    <w:name w:val="TOC Heading"/>
    <w:basedOn w:val="Heading1"/>
    <w:next w:val="Normal"/>
    <w:uiPriority w:val="39"/>
    <w:semiHidden/>
    <w:unhideWhenUsed/>
    <w:qFormat/>
    <w:rsid w:val="00B2063D"/>
    <w:pPr>
      <w:outlineLvl w:val="9"/>
    </w:pPr>
  </w:style>
  <w:style w:type="character" w:styleId="Hyperlink">
    <w:name w:val="Hyperlink"/>
    <w:rsid w:val="001A0DC8"/>
    <w:rPr>
      <w:color w:val="0000FF"/>
      <w:u w:val="single"/>
    </w:rPr>
  </w:style>
  <w:style w:type="paragraph" w:customStyle="1" w:styleId="CM1">
    <w:name w:val="CM1"/>
    <w:basedOn w:val="Normal"/>
    <w:next w:val="Normal"/>
    <w:uiPriority w:val="99"/>
    <w:rsid w:val="006F14BD"/>
    <w:pPr>
      <w:autoSpaceDE w:val="0"/>
      <w:autoSpaceDN w:val="0"/>
      <w:adjustRightInd w:val="0"/>
      <w:spacing w:after="0" w:line="240" w:lineRule="auto"/>
    </w:pPr>
    <w:rPr>
      <w:rFonts w:ascii="EUAlbertina" w:hAnsi="EUAlbertina"/>
      <w:sz w:val="24"/>
      <w:szCs w:val="24"/>
      <w:lang w:bidi="ar-SA"/>
    </w:rPr>
  </w:style>
  <w:style w:type="paragraph" w:customStyle="1" w:styleId="CM3">
    <w:name w:val="CM3"/>
    <w:basedOn w:val="Normal"/>
    <w:next w:val="Normal"/>
    <w:uiPriority w:val="99"/>
    <w:rsid w:val="006F14BD"/>
    <w:pPr>
      <w:autoSpaceDE w:val="0"/>
      <w:autoSpaceDN w:val="0"/>
      <w:adjustRightInd w:val="0"/>
      <w:spacing w:after="0" w:line="240" w:lineRule="auto"/>
    </w:pPr>
    <w:rPr>
      <w:rFonts w:ascii="EUAlbertina" w:hAnsi="EUAlbertina"/>
      <w:sz w:val="24"/>
      <w:szCs w:val="24"/>
      <w:lang w:bidi="ar-SA"/>
    </w:rPr>
  </w:style>
  <w:style w:type="paragraph" w:customStyle="1" w:styleId="Text2">
    <w:name w:val="Text 2"/>
    <w:basedOn w:val="Normal"/>
    <w:rsid w:val="008074A6"/>
    <w:pPr>
      <w:tabs>
        <w:tab w:val="left" w:pos="2160"/>
      </w:tabs>
      <w:spacing w:after="240" w:line="240" w:lineRule="auto"/>
      <w:ind w:left="1440"/>
      <w:jc w:val="both"/>
    </w:pPr>
    <w:rPr>
      <w:rFonts w:ascii="Times New Roman" w:hAnsi="Times New Roman"/>
      <w:sz w:val="28"/>
      <w:szCs w:val="20"/>
      <w:lang w:eastAsia="en-US" w:bidi="ar-SA"/>
    </w:rPr>
  </w:style>
  <w:style w:type="paragraph" w:styleId="Revision">
    <w:name w:val="Revision"/>
    <w:hidden/>
    <w:uiPriority w:val="99"/>
    <w:semiHidden/>
    <w:rsid w:val="00F21658"/>
    <w:rPr>
      <w:sz w:val="22"/>
      <w:szCs w:val="2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750196">
      <w:bodyDiv w:val="1"/>
      <w:marLeft w:val="0"/>
      <w:marRight w:val="0"/>
      <w:marTop w:val="0"/>
      <w:marBottom w:val="0"/>
      <w:divBdr>
        <w:top w:val="none" w:sz="0" w:space="0" w:color="auto"/>
        <w:left w:val="none" w:sz="0" w:space="0" w:color="auto"/>
        <w:bottom w:val="none" w:sz="0" w:space="0" w:color="auto"/>
        <w:right w:val="none" w:sz="0" w:space="0" w:color="auto"/>
      </w:divBdr>
    </w:div>
    <w:div w:id="1628510592">
      <w:bodyDiv w:val="1"/>
      <w:marLeft w:val="0"/>
      <w:marRight w:val="0"/>
      <w:marTop w:val="0"/>
      <w:marBottom w:val="0"/>
      <w:divBdr>
        <w:top w:val="none" w:sz="0" w:space="0" w:color="auto"/>
        <w:left w:val="none" w:sz="0" w:space="0" w:color="auto"/>
        <w:bottom w:val="none" w:sz="0" w:space="0" w:color="auto"/>
        <w:right w:val="none" w:sz="0" w:space="0" w:color="auto"/>
      </w:divBdr>
    </w:div>
    <w:div w:id="195212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c.europa.eu/research/participants/data/ref/h2020/grants_manual/lev/h2020-rules-lev-lear-fvc_en.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3A32024R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61E0C3209882CF469E2D92B61C3DBC99" ma:contentTypeVersion="4" ma:contentTypeDescription="Page is a system content type template created by the Publishing Resources feature. The column templates from Page will be added to all Pages libraries created by the Publishing feature." ma:contentTypeScope="" ma:versionID="1ce82279177cf0bb94d3b7cacb345da8">
  <xsd:schema xmlns:xsd="http://www.w3.org/2001/XMLSchema" xmlns:xs="http://www.w3.org/2001/XMLSchema" xmlns:p="http://schemas.microsoft.com/office/2006/metadata/properties" xmlns:ns1="http://schemas.microsoft.com/sharepoint/v3" targetNamespace="http://schemas.microsoft.com/office/2006/metadata/properties" ma:root="true" ma:fieldsID="2bdf34d2b66568a8f09f9d5fd2613d82"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 ma:hidden="true" ma:internalName="PublishingStartDate">
      <xsd:simpleType>
        <xsd:restriction base="dms:Unknown"/>
      </xsd:simpleType>
    </xsd:element>
    <xsd:element name="PublishingExpirationDate" ma:index="10" nillable="true" ma:displayName="Scheduling End Date" ma:description="" ma:hidden="tru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internalName="PublishingContactEmail">
      <xsd:simpleType>
        <xsd:restriction base="dms:Text">
          <xsd:maxLength value="255"/>
        </xsd:restriction>
      </xsd:simpleType>
    </xsd:element>
    <xsd:element name="PublishingContactName" ma:index="13" nillable="true" ma:displayName="Contact Name" ma:internalName="PublishingContactName">
      <xsd:simpleType>
        <xsd:restriction base="dms:Text">
          <xsd:maxLength value="255"/>
        </xsd:restriction>
      </xsd:simpleType>
    </xsd:element>
    <xsd:element name="PublishingContactPicture" ma:index="14"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Props1.xml><?xml version="1.0" encoding="utf-8"?>
<ds:datastoreItem xmlns:ds="http://schemas.openxmlformats.org/officeDocument/2006/customXml" ds:itemID="{F7B0B932-1506-4C2D-B17A-48F8D188D84E}">
  <ds:schemaRefs>
    <ds:schemaRef ds:uri="http://schemas.microsoft.com/sharepoint/v3/contenttype/forms"/>
  </ds:schemaRefs>
</ds:datastoreItem>
</file>

<file path=customXml/itemProps2.xml><?xml version="1.0" encoding="utf-8"?>
<ds:datastoreItem xmlns:ds="http://schemas.openxmlformats.org/officeDocument/2006/customXml" ds:itemID="{15AF6539-172B-400E-8DEC-852D7B2C1C80}">
  <ds:schemaRefs>
    <ds:schemaRef ds:uri="http://schemas.openxmlformats.org/officeDocument/2006/bibliography"/>
  </ds:schemaRefs>
</ds:datastoreItem>
</file>

<file path=customXml/itemProps3.xml><?xml version="1.0" encoding="utf-8"?>
<ds:datastoreItem xmlns:ds="http://schemas.openxmlformats.org/officeDocument/2006/customXml" ds:itemID="{3A184A14-0191-44DE-AC5C-CF29216C2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90AA39-3C4C-474B-8231-6F695F52AB6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8</Pages>
  <Words>2565</Words>
  <Characters>13855</Characters>
  <Application>Microsoft Office Word</Application>
  <DocSecurity>0</DocSecurity>
  <Lines>288</Lines>
  <Paragraphs>134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16286</CharactersWithSpaces>
  <SharedDoc>false</SharedDoc>
  <HLinks>
    <vt:vector size="6" baseType="variant">
      <vt:variant>
        <vt:i4>8323127</vt:i4>
      </vt:variant>
      <vt:variant>
        <vt:i4>39685</vt:i4>
      </vt:variant>
      <vt:variant>
        <vt:i4>1026</vt:i4>
      </vt:variant>
      <vt:variant>
        <vt:i4>1</vt:i4>
      </vt:variant>
      <vt:variant>
        <vt:lpwstr>http://upload.wikimedia.org/math/2/4/2/242d8bf898db467ee69160a62800980b.png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GIURMA Luiza (EAC)</dc:creator>
  <cp:keywords/>
  <dc:description/>
  <cp:lastModifiedBy>SHAH FIOROVANTI Julia (EAC)</cp:lastModifiedBy>
  <cp:revision>17</cp:revision>
  <cp:lastPrinted>2018-09-07T16:09:00Z</cp:lastPrinted>
  <dcterms:created xsi:type="dcterms:W3CDTF">2022-06-20T09:01:00Z</dcterms:created>
  <dcterms:modified xsi:type="dcterms:W3CDTF">2025-01-24T07:31:00Z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0x010100C568DB52D9D0A14D9B2FDCC96666E9F2007948130EC3DB064584E219954237AF390061E0C3209882CF469E2D92B61C3DBC99</vt:lpwstr>
  </property>
  <property fmtid="{D5CDD505-2E9C-101B-9397-08002B2CF9AE}" pid="3" name="MSIP_Label_6bd9ddd1-4d20-43f6-abfa-fc3c07406f94_Enabled">
    <vt:lpwstr>true</vt:lpwstr>
  </property>
  <property fmtid="{D5CDD505-2E9C-101B-9397-08002B2CF9AE}" pid="4" name="MSIP_Label_6bd9ddd1-4d20-43f6-abfa-fc3c07406f94_SetDate">
    <vt:lpwstr>2022-04-26T15:02:21Z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adb818d5-24d4-4f16-b217-f1df5f2305de</vt:lpwstr>
  </property>
  <property fmtid="{D5CDD505-2E9C-101B-9397-08002B2CF9AE}" pid="9" name="MSIP_Label_6bd9ddd1-4d20-43f6-abfa-fc3c07406f94_ContentBits">
    <vt:lpwstr>0</vt:lpwstr>
  </property>
</Properties>
</file>