
<file path=[Content_Types].xml><?xml version="1.0" encoding="utf-8"?>
<Types xmlns="http://schemas.openxmlformats.org/package/2006/content-types">
  <Default Extension="bin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media/image3.bin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500012400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6E4AB4" w:rsidRPr="0056157B" w14:paraId="5D493DA8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5378D326" w14:textId="43EBDCB4" w:rsidR="006E4AB4" w:rsidRPr="0056157B" w:rsidRDefault="006E4AB4" w:rsidP="00634DC7">
                <w:pPr>
                  <w:pStyle w:val="TBNormalTechnicalBlock"/>
                </w:pPr>
              </w:p>
            </w:tc>
          </w:tr>
          <w:tr w:rsidR="006E4AB4" w:rsidRPr="0056157B" w14:paraId="36FD2EA1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5DCF429A" w14:textId="77777777" w:rsidR="006E4AB4" w:rsidRPr="0056157B" w:rsidRDefault="006E4AB4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48C2C639" wp14:editId="733B66B3">
                      <wp:extent cx="626400" cy="522000"/>
                      <wp:effectExtent l="0" t="0" r="2540" b="0"/>
                      <wp:docPr id="1108224905" name="Picture 11082249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733AEF59" w14:textId="77777777" w:rsidR="006E4AB4" w:rsidRPr="0056157B" w:rsidRDefault="006E4AB4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6E4AB4" w:rsidRPr="00B84B6D" w14:paraId="12BBC76B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29F2B5B9" w14:textId="77777777" w:rsidR="006E4AB4" w:rsidRPr="0056157B" w:rsidRDefault="006E4AB4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5F324EE0" w14:textId="77777777" w:rsidR="006E4AB4" w:rsidRPr="0056157B" w:rsidRDefault="006E4AB4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2808CAF5" w14:textId="77777777" w:rsidR="006E4AB4" w:rsidRPr="0056157B" w:rsidRDefault="006E4AB4" w:rsidP="00233A0E">
                <w:pPr>
                  <w:pStyle w:val="TBNormalTechnicalBlock"/>
                  <w:rPr>
                    <w:b/>
                  </w:rPr>
                </w:pPr>
              </w:p>
              <w:p w14:paraId="745EDBD6" w14:textId="77777777" w:rsidR="006E4AB4" w:rsidRDefault="006E4AB4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25 June 2026</w:t>
                </w:r>
              </w:p>
              <w:p w14:paraId="7624A1D7" w14:textId="77777777" w:rsidR="006E4AB4" w:rsidRPr="0019440B" w:rsidRDefault="006E4AB4" w:rsidP="00233A0E">
                <w:pPr>
                  <w:pStyle w:val="TBNormalTechnicalBlock"/>
                </w:pPr>
              </w:p>
              <w:p w14:paraId="7661B41B" w14:textId="77777777" w:rsidR="006E4AB4" w:rsidRDefault="006E4AB4" w:rsidP="00233A0E">
                <w:pPr>
                  <w:pStyle w:val="TBNormalTechnicalBlock"/>
                </w:pPr>
                <w:r>
                  <w:t>CM 3390</w:t>
                </w:r>
                <w:r w:rsidRPr="0056157B">
                  <w:t>/</w:t>
                </w:r>
                <w:r>
                  <w:t>26</w:t>
                </w:r>
              </w:p>
              <w:p w14:paraId="1D476B85" w14:textId="77777777" w:rsidR="006E4AB4" w:rsidRDefault="006E4AB4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57F47C98" w14:textId="77777777" w:rsidR="006E4AB4" w:rsidRDefault="006E4AB4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ECOFIN</w:t>
                </w:r>
              </w:p>
              <w:p w14:paraId="595CC4A9" w14:textId="77777777" w:rsidR="006E4AB4" w:rsidRPr="007C5B64" w:rsidRDefault="006E4AB4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56F16162" w14:textId="77777777" w:rsidR="006E4AB4" w:rsidRDefault="006E4AB4">
                <w:pPr>
                  <w:pStyle w:val="TBDistrbMarkers"/>
                </w:pPr>
                <w:r>
                  <w:t>PARLNAT</w:t>
                </w:r>
              </w:p>
              <w:p w14:paraId="0531CC37" w14:textId="77777777" w:rsidR="006E4AB4" w:rsidRDefault="006E4AB4">
                <w:pPr>
                  <w:pStyle w:val="TBDistrbMarkers"/>
                </w:pPr>
                <w:r>
                  <w:t>ECB</w:t>
                </w:r>
              </w:p>
              <w:p w14:paraId="627404C3" w14:textId="77777777" w:rsidR="006E4AB4" w:rsidRDefault="006E4AB4">
                <w:pPr>
                  <w:pStyle w:val="TBDistrbMarkers"/>
                </w:pPr>
                <w:r>
                  <w:t>EIB</w:t>
                </w:r>
              </w:p>
              <w:p w14:paraId="17E7A22E" w14:textId="77777777" w:rsidR="006E4AB4" w:rsidRPr="009E0BE9" w:rsidRDefault="006E4AB4" w:rsidP="00233A0E">
                <w:pPr>
                  <w:pStyle w:val="TBNormalTechnicalBlock"/>
                </w:pPr>
              </w:p>
              <w:p w14:paraId="2C45836C" w14:textId="77777777" w:rsidR="006E4AB4" w:rsidRPr="009E0BE9" w:rsidRDefault="006E4AB4" w:rsidP="00233A0E">
                <w:pPr>
                  <w:pStyle w:val="TBNormalTechnicalBlock"/>
                </w:pPr>
              </w:p>
              <w:p w14:paraId="01CF8F5E" w14:textId="77777777" w:rsidR="006E4AB4" w:rsidRPr="009E0BE9" w:rsidRDefault="006E4AB4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6E4AB4" w:rsidRPr="00ED0749" w14:paraId="5167CEE4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48DE052D" w14:textId="77777777" w:rsidR="006E4AB4" w:rsidRPr="00ED0749" w:rsidRDefault="006E4AB4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08796DC3" w14:textId="77777777" w:rsidR="006E4AB4" w:rsidRPr="00ED0749" w:rsidRDefault="006E4AB4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35748039" w14:textId="77777777" w:rsidR="006E4AB4" w:rsidRPr="00ED0749" w:rsidRDefault="006E4AB4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1678E5E9" w14:textId="77777777" w:rsidR="006E4AB4" w:rsidRPr="00ED0749" w:rsidRDefault="006E4AB4" w:rsidP="00DF1147">
          <w:pPr>
            <w:pStyle w:val="TBEntRefer"/>
            <w:rPr>
              <w:sz w:val="2"/>
              <w:szCs w:val="2"/>
            </w:rPr>
          </w:pPr>
        </w:p>
        <w:p w14:paraId="3718D065" w14:textId="77777777" w:rsidR="006E4AB4" w:rsidRPr="00DD01AC" w:rsidRDefault="006E4AB4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6E4AB4" w:rsidRPr="00133225" w14:paraId="5F07175A" w14:textId="77777777" w:rsidTr="001E5BC3">
            <w:trPr>
              <w:jc w:val="center"/>
            </w:trPr>
            <w:tc>
              <w:tcPr>
                <w:tcW w:w="9645" w:type="dxa"/>
              </w:tcPr>
              <w:p w14:paraId="4DFF87BC" w14:textId="77777777" w:rsidR="006E4AB4" w:rsidRPr="00C4351E" w:rsidRDefault="006E4AB4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6E4AB4" w:rsidRPr="007D53AD" w14:paraId="62F92D47" w14:textId="77777777" w:rsidTr="001E5BC3">
            <w:trPr>
              <w:jc w:val="center"/>
            </w:trPr>
            <w:tc>
              <w:tcPr>
                <w:tcW w:w="9645" w:type="dxa"/>
              </w:tcPr>
              <w:p w14:paraId="2E17D2A7" w14:textId="77777777" w:rsidR="006E4AB4" w:rsidRPr="007D53AD" w:rsidRDefault="006E4AB4" w:rsidP="006368AC">
                <w:pPr>
                  <w:pStyle w:val="TBTableText"/>
                </w:pPr>
                <w:r>
                  <w:t>COUNCIL OF THE EUROPEAN UNION</w:t>
                </w:r>
                <w:r>
                  <w:rPr>
                    <w:rStyle w:val="FootnoteReference"/>
                  </w:rPr>
                  <w:footnoteReference w:customMarkFollows="1" w:id="1"/>
                  <w:t>1</w:t>
                </w:r>
                <w:r>
                  <w:br/>
                  <w:t>(Economic and Financial Affairs)</w:t>
                </w:r>
              </w:p>
            </w:tc>
          </w:tr>
          <w:tr w:rsidR="006E4AB4" w:rsidRPr="007D53AD" w14:paraId="310434E6" w14:textId="77777777" w:rsidTr="001E5BC3">
            <w:trPr>
              <w:jc w:val="center"/>
            </w:trPr>
            <w:tc>
              <w:tcPr>
                <w:tcW w:w="9645" w:type="dxa"/>
              </w:tcPr>
              <w:p w14:paraId="0C4AEA1E" w14:textId="77777777" w:rsidR="006E4AB4" w:rsidRPr="006368AC" w:rsidRDefault="006E4AB4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6E4AB4" w:rsidRPr="007D53AD" w14:paraId="6459717B" w14:textId="77777777" w:rsidTr="001E5BC3">
            <w:trPr>
              <w:jc w:val="center"/>
            </w:trPr>
            <w:tc>
              <w:tcPr>
                <w:tcW w:w="9645" w:type="dxa"/>
              </w:tcPr>
              <w:p w14:paraId="096E37A5" w14:textId="77777777" w:rsidR="006E4AB4" w:rsidRPr="006368AC" w:rsidRDefault="006E4AB4" w:rsidP="008639D3">
                <w:pPr>
                  <w:pStyle w:val="TBTableText"/>
                </w:pPr>
                <w:r>
                  <w:t>10 July 2026 (10:00)</w:t>
                </w:r>
              </w:p>
            </w:tc>
          </w:tr>
        </w:tbl>
        <w:p w14:paraId="566372E5" w14:textId="77777777" w:rsidR="006E4AB4" w:rsidRPr="008C6FD6" w:rsidRDefault="00260164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09711762" w14:textId="32BE6F0A" w:rsidR="00BC0BB4" w:rsidRPr="00904D6E" w:rsidRDefault="00BC0BB4" w:rsidP="00BC0BB4">
      <w:pPr>
        <w:spacing w:after="120"/>
        <w:rPr>
          <w:b/>
          <w:bCs/>
          <w:u w:val="single"/>
        </w:rPr>
      </w:pPr>
      <w:r w:rsidRPr="00904D6E">
        <w:rPr>
          <w:b/>
          <w:bCs/>
          <w:u w:val="single"/>
        </w:rPr>
        <w:t xml:space="preserve">Format </w:t>
      </w:r>
      <w:r w:rsidRPr="007529F2">
        <w:rPr>
          <w:b/>
          <w:bCs/>
          <w:u w:val="single"/>
        </w:rPr>
        <w:t xml:space="preserve">1+2+1 </w:t>
      </w:r>
      <w:r w:rsidRPr="00904D6E">
        <w:rPr>
          <w:b/>
          <w:bCs/>
          <w:u w:val="single"/>
        </w:rPr>
        <w:t>(+</w:t>
      </w:r>
      <w:r w:rsidR="001208A4">
        <w:rPr>
          <w:b/>
          <w:bCs/>
          <w:u w:val="single"/>
        </w:rPr>
        <w:t>2</w:t>
      </w:r>
      <w:r w:rsidRPr="00904D6E">
        <w:rPr>
          <w:b/>
          <w:bCs/>
          <w:u w:val="single"/>
        </w:rPr>
        <w:t xml:space="preserve"> </w:t>
      </w:r>
      <w:r w:rsidRPr="000F0A29">
        <w:rPr>
          <w:b/>
          <w:bCs/>
          <w:u w:val="single"/>
        </w:rPr>
        <w:t>in listening room</w:t>
      </w:r>
      <w:r w:rsidRPr="00904D6E">
        <w:rPr>
          <w:b/>
          <w:bCs/>
          <w:u w:val="single"/>
        </w:rPr>
        <w:t>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6FD0CEB6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92512DE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517AC8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6E023F8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3BEA511A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897125B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(poss.) Approval of "A" items</w:t>
            </w:r>
          </w:p>
          <w:p w14:paraId="16A7F8D0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14:paraId="45010F8A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BE020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6027FA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27361D86" w14:textId="77777777" w:rsidR="00BD729D" w:rsidRDefault="00BD729D" w:rsidP="00BD729D">
      <w:pPr>
        <w:tabs>
          <w:tab w:val="left" w:pos="567"/>
        </w:tabs>
        <w:spacing w:befor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Legislative deliberations</w:t>
      </w:r>
    </w:p>
    <w:p w14:paraId="621777AB" w14:textId="77777777" w:rsidR="00BD729D" w:rsidRDefault="00BD729D" w:rsidP="00BD729D">
      <w:pPr>
        <w:pStyle w:val="NormalCentered"/>
        <w:spacing w:after="120"/>
        <w:rPr>
          <w:b/>
          <w:bCs/>
        </w:rPr>
      </w:pPr>
      <w:r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CF24C1" w14:paraId="5EF51404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956BABB" w14:textId="5569C735" w:rsidR="00CF24C1" w:rsidRDefault="00CF24C1" w:rsidP="00CF24C1">
            <w:pPr>
              <w:rPr>
                <w:lang w:val="en-US"/>
              </w:rPr>
            </w:pPr>
            <w:r w:rsidRPr="00C41CF9">
              <w:rPr>
                <w:szCs w:val="24"/>
              </w:rPr>
              <w:t>Market integration and supervision package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F466915" w14:textId="560C1112" w:rsidR="00CF24C1" w:rsidRDefault="00CF24C1" w:rsidP="00CF24C1">
            <w:pPr>
              <w:pStyle w:val="NormalRight"/>
              <w:rPr>
                <w:lang w:val="en-US"/>
              </w:rPr>
            </w:pPr>
            <w:r w:rsidRPr="00C41CF9">
              <w:rPr>
                <w:noProof/>
                <w:szCs w:val="24"/>
              </w:rPr>
              <w:drawing>
                <wp:inline distT="0" distB="0" distL="0" distR="0" wp14:anchorId="27F7D10F" wp14:editId="691BE70A">
                  <wp:extent cx="172442" cy="172442"/>
                  <wp:effectExtent l="0" t="0" r="0" b="0"/>
                  <wp:docPr id="61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5168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1CF9">
              <w:rPr>
                <w:noProof/>
                <w:szCs w:val="24"/>
              </w:rPr>
              <w:drawing>
                <wp:inline distT="0" distB="0" distL="0" distR="0" wp14:anchorId="6E7B6C7B" wp14:editId="0FFDA292">
                  <wp:extent cx="172442" cy="172442"/>
                  <wp:effectExtent l="0" t="0" r="0" b="0"/>
                  <wp:docPr id="62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89849" name="Picture 2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A199A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449ED289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B0DCCF1" w14:textId="1052867F" w:rsidR="00CF24C1" w:rsidRDefault="00CF24C1" w:rsidP="00CF24C1">
            <w:pPr>
              <w:pStyle w:val="Pointabc"/>
              <w:rPr>
                <w:lang w:val="en-US"/>
              </w:rPr>
            </w:pPr>
            <w:r w:rsidRPr="00C41CF9">
              <w:t>Directive on further development of capital market integration and supervision within the Union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B7C448B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95E603D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5D7867A6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371399F" w14:textId="48FE663E" w:rsidR="00CF24C1" w:rsidRDefault="00CF24C1" w:rsidP="00CF24C1">
            <w:pPr>
              <w:pStyle w:val="Pointabc"/>
              <w:rPr>
                <w:lang w:val="en-US"/>
              </w:rPr>
            </w:pPr>
            <w:r w:rsidRPr="00C41CF9">
              <w:t>Regulation on further development of capital market integration and supervision within the Union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9BC2922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282C2D0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49DB6168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2A52386" w14:textId="77777777" w:rsidR="00CF24C1" w:rsidRPr="00C41CF9" w:rsidRDefault="00CF24C1" w:rsidP="00CF24C1">
            <w:pPr>
              <w:pStyle w:val="Pointabc"/>
            </w:pPr>
            <w:r w:rsidRPr="00C41CF9">
              <w:t>Settlement Finality Regulation</w:t>
            </w:r>
          </w:p>
          <w:p w14:paraId="78099D69" w14:textId="7450C510" w:rsidR="00CF24C1" w:rsidRDefault="00CF24C1" w:rsidP="00CF24C1">
            <w:pPr>
              <w:rPr>
                <w:lang w:val="en-US"/>
              </w:rPr>
            </w:pPr>
            <w:r w:rsidRPr="00C41CF9">
              <w:rPr>
                <w:i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3E8CA4B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4A5708B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2CC01855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BAB9AF0" w14:textId="59A4DA8A" w:rsidR="00CF24C1" w:rsidRDefault="00CF24C1" w:rsidP="007502FA">
            <w:pPr>
              <w:pageBreakBefore/>
              <w:rPr>
                <w:lang w:val="en-US"/>
              </w:rPr>
            </w:pPr>
            <w:r w:rsidRPr="00C41CF9">
              <w:rPr>
                <w:szCs w:val="24"/>
              </w:rPr>
              <w:lastRenderedPageBreak/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163CF63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D17FFE0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743D292D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460D759" w14:textId="77777777" w:rsidR="00CF24C1" w:rsidRPr="00F35685" w:rsidRDefault="00CF24C1" w:rsidP="00CF24C1">
            <w:pPr>
              <w:numPr>
                <w:ilvl w:val="0"/>
                <w:numId w:val="22"/>
              </w:numPr>
              <w:rPr>
                <w:szCs w:val="24"/>
              </w:rPr>
            </w:pPr>
            <w:r w:rsidRPr="00C41CF9">
              <w:rPr>
                <w:szCs w:val="24"/>
              </w:rPr>
              <w:t>Current financial services legislative proposals</w:t>
            </w:r>
          </w:p>
          <w:p w14:paraId="7E2C12D0" w14:textId="3232246F" w:rsidR="00CF24C1" w:rsidRDefault="00CF24C1" w:rsidP="00CF24C1">
            <w:pPr>
              <w:rPr>
                <w:lang w:val="en-US"/>
              </w:rPr>
            </w:pPr>
            <w:r w:rsidRPr="00C41CF9">
              <w:rPr>
                <w:i/>
                <w:iCs/>
                <w:szCs w:val="24"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BDAB204" w14:textId="29CD7B59" w:rsidR="00CF24C1" w:rsidRDefault="003608C7" w:rsidP="00CF24C1">
            <w:pPr>
              <w:pStyle w:val="Normal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1CF921" wp14:editId="39BB0FC3">
                  <wp:extent cx="172442" cy="172442"/>
                  <wp:effectExtent l="0" t="0" r="0" b="0"/>
                  <wp:docPr id="1865418784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418784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4B01CCF7" wp14:editId="4D0DBEFD">
                  <wp:extent cx="172442" cy="172442"/>
                  <wp:effectExtent l="0" t="0" r="0" b="0"/>
                  <wp:docPr id="26202490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2490" name="Picture 2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FEC386B" w14:textId="77777777" w:rsidR="00CF24C1" w:rsidRDefault="00CF24C1" w:rsidP="00CF24C1">
            <w:pPr>
              <w:rPr>
                <w:lang w:val="en-US"/>
              </w:rPr>
            </w:pPr>
          </w:p>
        </w:tc>
      </w:tr>
    </w:tbl>
    <w:p w14:paraId="1BFFAB76" w14:textId="77777777" w:rsidR="00BD729D" w:rsidRDefault="00BD729D" w:rsidP="00BD729D">
      <w:pPr>
        <w:tabs>
          <w:tab w:val="left" w:pos="567"/>
        </w:tabs>
        <w:spacing w:before="360"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CF24C1" w14:paraId="2E597E52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020CE60" w14:textId="77777777" w:rsidR="00CF24C1" w:rsidRPr="00C41CF9" w:rsidRDefault="00CF24C1" w:rsidP="00CF24C1">
            <w:r w:rsidRPr="00C41CF9">
              <w:t>Presidency work programme</w:t>
            </w:r>
          </w:p>
          <w:p w14:paraId="7599F3D7" w14:textId="77777777" w:rsidR="00CF24C1" w:rsidRPr="00CF24C1" w:rsidRDefault="00CF24C1" w:rsidP="00CF24C1">
            <w:pPr>
              <w:rPr>
                <w:i/>
                <w:iCs/>
              </w:rPr>
            </w:pPr>
            <w:r w:rsidRPr="00CF24C1">
              <w:rPr>
                <w:rFonts w:asciiTheme="majorBidi" w:hAnsiTheme="majorBidi" w:cstheme="majorBidi"/>
                <w:i/>
                <w:iCs/>
                <w:szCs w:val="24"/>
              </w:rPr>
              <w:t>Presentation</w:t>
            </w:r>
            <w:r w:rsidRPr="00CF24C1">
              <w:rPr>
                <w:i/>
                <w:iCs/>
              </w:rPr>
              <w:t xml:space="preserve"> by the Presidency</w:t>
            </w:r>
          </w:p>
          <w:p w14:paraId="3A61919A" w14:textId="2E2C7D70" w:rsidR="00CF24C1" w:rsidRDefault="00CF24C1" w:rsidP="00CF24C1">
            <w:pPr>
              <w:rPr>
                <w:lang w:val="en-US"/>
              </w:rPr>
            </w:pPr>
            <w:r w:rsidRPr="00C41CF9">
              <w:rPr>
                <w:rFonts w:asciiTheme="majorBidi" w:hAnsiTheme="majorBidi" w:cstheme="majorBidi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C1BA294" w14:textId="7BD4EEC0" w:rsidR="00CF24C1" w:rsidRDefault="00CF24C1" w:rsidP="00CF24C1">
            <w:pPr>
              <w:pStyle w:val="NormalRight"/>
              <w:rPr>
                <w:lang w:val="en-US"/>
              </w:rPr>
            </w:pPr>
            <w:r w:rsidRPr="00C41CF9">
              <w:rPr>
                <w:noProof/>
              </w:rPr>
              <w:drawing>
                <wp:inline distT="0" distB="0" distL="0" distR="0" wp14:anchorId="32D83D61" wp14:editId="2CB76F02">
                  <wp:extent cx="195580" cy="195580"/>
                  <wp:effectExtent l="0" t="0" r="0" b="0"/>
                  <wp:docPr id="458654051" name="Picture 1" descr="Public debate (Article 8(3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ublic debate (Article 8(3) of the Council's Rules of Procedur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8D53D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1F2385F1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42A5F1E" w14:textId="1948E9A7" w:rsidR="00CF24C1" w:rsidRPr="00C41CF9" w:rsidRDefault="00CF24C1" w:rsidP="00CF24C1">
            <w:pPr>
              <w:rPr>
                <w:rFonts w:eastAsia="Arial"/>
                <w:szCs w:val="24"/>
              </w:rPr>
            </w:pPr>
            <w:r w:rsidRPr="00CF24C1">
              <w:t>Economic</w:t>
            </w:r>
            <w:r w:rsidRPr="00C41CF9">
              <w:rPr>
                <w:rFonts w:eastAsia="Arial"/>
                <w:szCs w:val="24"/>
              </w:rPr>
              <w:t xml:space="preserve"> and financial impact of Russia’s </w:t>
            </w:r>
            <w:r w:rsidR="00827A46" w:rsidRPr="00345082">
              <w:rPr>
                <w:rFonts w:eastAsia="Arial"/>
                <w:szCs w:val="24"/>
              </w:rPr>
              <w:t>war of</w:t>
            </w:r>
            <w:r w:rsidR="00827A46">
              <w:rPr>
                <w:rFonts w:eastAsia="Arial"/>
                <w:szCs w:val="24"/>
              </w:rPr>
              <w:t xml:space="preserve"> </w:t>
            </w:r>
            <w:r w:rsidRPr="00C41CF9">
              <w:rPr>
                <w:rFonts w:eastAsia="Arial"/>
                <w:szCs w:val="24"/>
              </w:rPr>
              <w:t>aggression against Ukraine</w:t>
            </w:r>
          </w:p>
          <w:p w14:paraId="3A4FDE9D" w14:textId="388FCF00" w:rsidR="00CF24C1" w:rsidRDefault="00CF24C1" w:rsidP="00CF24C1">
            <w:pPr>
              <w:rPr>
                <w:lang w:val="en-US"/>
              </w:rPr>
            </w:pPr>
            <w:r w:rsidRPr="00C41CF9">
              <w:rPr>
                <w:rFonts w:eastAsia="Arial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51C0A2C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FBF0B5B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59906450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982F7EB" w14:textId="00050952" w:rsidR="00CF24C1" w:rsidRDefault="00CF24C1" w:rsidP="00CF24C1">
            <w:pPr>
              <w:rPr>
                <w:lang w:val="en-US"/>
              </w:rPr>
            </w:pPr>
            <w:r w:rsidRPr="00C41CF9">
              <w:t>Economic recovery in Europe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06DA3C0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92FCB21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7629CA52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C434BDB" w14:textId="77777777" w:rsidR="00CF24C1" w:rsidRPr="00C41CF9" w:rsidRDefault="00CF24C1" w:rsidP="00CF24C1">
            <w:pPr>
              <w:pStyle w:val="Pointabc1"/>
              <w:ind w:left="567"/>
            </w:pPr>
            <w:r w:rsidRPr="00C41CF9">
              <w:t>Implementation of the Recovery and Resilience Facility</w:t>
            </w:r>
          </w:p>
          <w:p w14:paraId="1CC1EBD3" w14:textId="77777777" w:rsidR="00CF24C1" w:rsidRPr="00C41CF9" w:rsidRDefault="00CF24C1" w:rsidP="00CF24C1">
            <w:pPr>
              <w:pStyle w:val="Pointabc1"/>
              <w:numPr>
                <w:ilvl w:val="0"/>
                <w:numId w:val="0"/>
              </w:numPr>
              <w:ind w:left="592"/>
              <w:rPr>
                <w:i/>
              </w:rPr>
            </w:pPr>
            <w:r w:rsidRPr="00C41CF9">
              <w:rPr>
                <w:i/>
              </w:rPr>
              <w:t>State of play</w:t>
            </w:r>
          </w:p>
          <w:p w14:paraId="3CC0861D" w14:textId="5680C821" w:rsidR="00CF24C1" w:rsidRPr="00CF24C1" w:rsidRDefault="00CF24C1" w:rsidP="00CF24C1">
            <w:pPr>
              <w:pStyle w:val="Text1"/>
              <w:rPr>
                <w:i/>
                <w:iCs/>
                <w:lang w:val="en-US"/>
              </w:rPr>
            </w:pPr>
            <w:r w:rsidRPr="00CF24C1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0E5D55C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C37078F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58E5BC92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C77ED4E" w14:textId="77777777" w:rsidR="00CF24C1" w:rsidRDefault="00CF24C1" w:rsidP="00CF24C1">
            <w:pPr>
              <w:pStyle w:val="Pointabc1"/>
              <w:ind w:left="567"/>
            </w:pPr>
            <w:r w:rsidRPr="00C41CF9">
              <w:t>Council Implementing Decisions under the Recovery and Resilience Facility</w:t>
            </w:r>
          </w:p>
          <w:p w14:paraId="2546BFD9" w14:textId="53311177" w:rsidR="00CF24C1" w:rsidRPr="009E2986" w:rsidRDefault="00CF24C1" w:rsidP="00CF24C1">
            <w:pPr>
              <w:pStyle w:val="Pointabc1"/>
              <w:numPr>
                <w:ilvl w:val="0"/>
                <w:numId w:val="0"/>
              </w:numPr>
              <w:ind w:left="567"/>
            </w:pPr>
            <w:r w:rsidRPr="00DD54E2">
              <w:rPr>
                <w:szCs w:val="24"/>
              </w:rPr>
              <w:t>(Legal basis: Article 20 Regulation (EU) 2021/241)</w:t>
            </w:r>
          </w:p>
          <w:p w14:paraId="1BD004CF" w14:textId="263AA0DB" w:rsidR="00CF24C1" w:rsidRPr="00CF24C1" w:rsidRDefault="00CF24C1" w:rsidP="00CF24C1">
            <w:pPr>
              <w:pStyle w:val="Text1"/>
              <w:rPr>
                <w:i/>
                <w:iCs/>
                <w:lang w:val="en-US"/>
              </w:rPr>
            </w:pPr>
            <w:r w:rsidRPr="00CF24C1">
              <w:rPr>
                <w:i/>
                <w:iCs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65539CA" w14:textId="3239ADCD" w:rsidR="00CF24C1" w:rsidRDefault="00CF24C1" w:rsidP="00CF24C1">
            <w:pPr>
              <w:pStyle w:val="NormalRight"/>
              <w:rPr>
                <w:lang w:val="en-US"/>
              </w:rPr>
            </w:pPr>
            <w:r w:rsidRPr="00C41CF9">
              <w:rPr>
                <w:noProof/>
                <w:szCs w:val="24"/>
                <w:lang w:eastAsia="en-IE"/>
              </w:rPr>
              <w:drawing>
                <wp:inline distT="0" distB="0" distL="0" distR="0" wp14:anchorId="69CD6CCF" wp14:editId="08D42B27">
                  <wp:extent cx="171450" cy="171450"/>
                  <wp:effectExtent l="0" t="0" r="0" b="0"/>
                  <wp:docPr id="743677311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54E2"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E96C3E3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1647935F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3815BA2" w14:textId="4E882480" w:rsidR="00CF24C1" w:rsidRDefault="00CF24C1" w:rsidP="00CF24C1">
            <w:pPr>
              <w:rPr>
                <w:lang w:val="en-US"/>
              </w:rPr>
            </w:pPr>
            <w:r w:rsidRPr="00C41CF9">
              <w:t>European Semester 2026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A53C5A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209351D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00D902A7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1184115" w14:textId="77777777" w:rsidR="00E3297C" w:rsidRDefault="00CF24C1" w:rsidP="00CF24C1">
            <w:pPr>
              <w:pStyle w:val="Pointabc1"/>
              <w:numPr>
                <w:ilvl w:val="3"/>
                <w:numId w:val="23"/>
              </w:numPr>
              <w:tabs>
                <w:tab w:val="clear" w:pos="1134"/>
              </w:tabs>
              <w:ind w:left="592"/>
            </w:pPr>
            <w:r w:rsidRPr="00C41CF9">
              <w:t>Integrated country-specific recommendations</w:t>
            </w:r>
          </w:p>
          <w:p w14:paraId="57ED1838" w14:textId="21BFAB38" w:rsidR="00CF24C1" w:rsidRPr="00C41CF9" w:rsidRDefault="00CF24C1" w:rsidP="00E3297C">
            <w:pPr>
              <w:pStyle w:val="Pointabc1"/>
              <w:numPr>
                <w:ilvl w:val="0"/>
                <w:numId w:val="0"/>
              </w:numPr>
              <w:ind w:left="592"/>
            </w:pPr>
            <w:r w:rsidRPr="00DD54E2">
              <w:t>(Legal basis: Articles 121 and 148(4) TFEU)</w:t>
            </w:r>
          </w:p>
          <w:p w14:paraId="3A5C5AB6" w14:textId="3DC6EE64" w:rsidR="00CF24C1" w:rsidRPr="008C5463" w:rsidRDefault="00CF24C1" w:rsidP="008C5463">
            <w:pPr>
              <w:pStyle w:val="Text1"/>
              <w:rPr>
                <w:i/>
                <w:iCs/>
                <w:lang w:val="en-US"/>
              </w:rPr>
            </w:pPr>
            <w:r w:rsidRPr="008C5463">
              <w:rPr>
                <w:i/>
                <w:iCs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410BDCE" w14:textId="13B44833" w:rsidR="00CF24C1" w:rsidRDefault="00CF24C1" w:rsidP="00CF24C1">
            <w:pPr>
              <w:pStyle w:val="NormalRight"/>
              <w:rPr>
                <w:lang w:val="en-US"/>
              </w:rPr>
            </w:pPr>
            <w:r w:rsidRPr="00DD54E2"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14E3878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41B310DD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6428627" w14:textId="77777777" w:rsidR="00CF24C1" w:rsidRPr="001706F9" w:rsidRDefault="00CF24C1" w:rsidP="00CF24C1">
            <w:pPr>
              <w:pStyle w:val="Pointabc1"/>
              <w:numPr>
                <w:ilvl w:val="3"/>
                <w:numId w:val="23"/>
              </w:numPr>
              <w:tabs>
                <w:tab w:val="clear" w:pos="1134"/>
              </w:tabs>
              <w:ind w:left="592"/>
            </w:pPr>
            <w:r w:rsidRPr="00C41CF9">
              <w:t>Conclusions on the 2026 in-depth reviews under the macroeconomic imbalance procedure</w:t>
            </w:r>
          </w:p>
          <w:p w14:paraId="3942EBE2" w14:textId="41212D6E" w:rsidR="00CF24C1" w:rsidRPr="008C5463" w:rsidRDefault="00CF24C1" w:rsidP="008C5463">
            <w:pPr>
              <w:pStyle w:val="Text1"/>
              <w:rPr>
                <w:i/>
                <w:iCs/>
                <w:lang w:val="en-US"/>
              </w:rPr>
            </w:pPr>
            <w:r w:rsidRPr="008C5463">
              <w:rPr>
                <w:i/>
                <w:iCs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7601B36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D00C5DA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3BB42773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5ACDE96" w14:textId="30D8B5B2" w:rsidR="00CF24C1" w:rsidRDefault="00CF24C1" w:rsidP="00CF24C1">
            <w:pPr>
              <w:rPr>
                <w:lang w:val="en-US"/>
              </w:rPr>
            </w:pPr>
            <w:r w:rsidRPr="00C41CF9">
              <w:t>Implementation of the economic governance framework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3E3EECA" w14:textId="04BF3440" w:rsidR="00CF24C1" w:rsidRDefault="00CF24C1" w:rsidP="00CF24C1">
            <w:pPr>
              <w:pStyle w:val="NormalRight"/>
              <w:rPr>
                <w:lang w:val="en-US"/>
              </w:rPr>
            </w:pPr>
            <w:r>
              <w:rPr>
                <w:szCs w:val="24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A4CB478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7D45C6B4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2C63E0A" w14:textId="77777777" w:rsidR="002157D0" w:rsidRPr="002157D0" w:rsidRDefault="00CF24C1" w:rsidP="002157D0">
            <w:pPr>
              <w:pStyle w:val="Pointabc"/>
              <w:numPr>
                <w:ilvl w:val="1"/>
                <w:numId w:val="25"/>
              </w:numPr>
              <w:rPr>
                <w:lang w:val="en-US"/>
              </w:rPr>
            </w:pPr>
            <w:r w:rsidRPr="002157D0">
              <w:t>Medium-term fiscal-structural plans: Council Recommendations</w:t>
            </w:r>
          </w:p>
          <w:p w14:paraId="7828F2C2" w14:textId="4185BD91" w:rsidR="00CF24C1" w:rsidRDefault="00CF24C1" w:rsidP="002157D0">
            <w:pPr>
              <w:pStyle w:val="Pointabc"/>
              <w:numPr>
                <w:ilvl w:val="0"/>
                <w:numId w:val="0"/>
              </w:numPr>
              <w:ind w:left="567"/>
              <w:rPr>
                <w:lang w:val="en-US"/>
              </w:rPr>
            </w:pPr>
            <w:r w:rsidRPr="00DD54E2">
              <w:t>(Legal basis: Regulation (EU) 2024/1263)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5F5EB38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64DAF2A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6C60CD2B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EE16137" w14:textId="77777777" w:rsidR="002157D0" w:rsidRDefault="00CF24C1" w:rsidP="002157D0">
            <w:pPr>
              <w:pStyle w:val="Pointabc"/>
            </w:pPr>
            <w:r w:rsidRPr="00C41CF9">
              <w:t>Council Decision and Recommendation under the excessive deficit procedure</w:t>
            </w:r>
          </w:p>
          <w:p w14:paraId="715CA042" w14:textId="7367D148" w:rsidR="00CF24C1" w:rsidRPr="00C41CF9" w:rsidRDefault="00CF24C1" w:rsidP="002157D0">
            <w:pPr>
              <w:pStyle w:val="Pointabc1"/>
              <w:numPr>
                <w:ilvl w:val="0"/>
                <w:numId w:val="0"/>
              </w:numPr>
              <w:ind w:left="599"/>
            </w:pPr>
            <w:r w:rsidRPr="00DD54E2">
              <w:t>(Legal basis: Article 126 (6</w:t>
            </w:r>
            <w:r w:rsidR="00ED3A3C">
              <w:t>-</w:t>
            </w:r>
            <w:r w:rsidRPr="00DD54E2">
              <w:t>7) TFEU)</w:t>
            </w:r>
          </w:p>
          <w:p w14:paraId="55BF00D3" w14:textId="097CE503" w:rsidR="00CF24C1" w:rsidRDefault="00CF24C1" w:rsidP="00CF24C1">
            <w:pPr>
              <w:rPr>
                <w:lang w:val="en-US"/>
              </w:rPr>
            </w:pPr>
            <w:r w:rsidRPr="00C41CF9">
              <w:rPr>
                <w:i/>
                <w:iCs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B8F8801" w14:textId="176A6043" w:rsidR="00CF24C1" w:rsidRDefault="00CF24C1" w:rsidP="00CF24C1">
            <w:pPr>
              <w:pStyle w:val="NormalRight"/>
              <w:rPr>
                <w:lang w:val="en-US"/>
              </w:rPr>
            </w:pPr>
            <w:r w:rsidRPr="00C41CF9">
              <w:rPr>
                <w:noProof/>
              </w:rPr>
              <w:drawing>
                <wp:inline distT="0" distB="0" distL="0" distR="0" wp14:anchorId="66FB9858" wp14:editId="5D105609">
                  <wp:extent cx="168910" cy="168910"/>
                  <wp:effectExtent l="0" t="0" r="2540" b="2540"/>
                  <wp:docPr id="18288468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C6150AC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33C19384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6C190F4" w14:textId="77777777" w:rsidR="00CF24C1" w:rsidRPr="00C41CF9" w:rsidRDefault="00CF24C1" w:rsidP="007502FA">
            <w:pPr>
              <w:pageBreakBefore/>
              <w:widowControl w:val="0"/>
              <w:rPr>
                <w:rFonts w:asciiTheme="majorBidi" w:hAnsiTheme="majorBidi" w:cstheme="majorBidi"/>
              </w:rPr>
            </w:pPr>
            <w:bookmarkStart w:id="0" w:name="ControlPages"/>
            <w:bookmarkEnd w:id="0"/>
            <w:r w:rsidRPr="00C41CF9">
              <w:lastRenderedPageBreak/>
              <w:t>Convergence</w:t>
            </w:r>
            <w:r w:rsidRPr="00C41CF9">
              <w:rPr>
                <w:rFonts w:asciiTheme="majorBidi" w:hAnsiTheme="majorBidi" w:cstheme="majorBidi"/>
              </w:rPr>
              <w:t xml:space="preserve"> reports from the Commission and the European Central Bank</w:t>
            </w:r>
          </w:p>
          <w:p w14:paraId="643FF669" w14:textId="5AE2B9E1" w:rsidR="00CF24C1" w:rsidRDefault="00CF24C1" w:rsidP="00CF24C1">
            <w:pPr>
              <w:rPr>
                <w:lang w:val="en-US"/>
              </w:rPr>
            </w:pPr>
            <w:r w:rsidRPr="00C41CF9">
              <w:rPr>
                <w:rFonts w:asciiTheme="majorBidi" w:hAnsiTheme="majorBidi" w:cstheme="majorBidi"/>
                <w:i/>
              </w:rPr>
              <w:t>Exchange</w:t>
            </w:r>
            <w:r w:rsidRPr="00C41CF9">
              <w:rPr>
                <w:rFonts w:asciiTheme="majorBidi" w:hAnsiTheme="majorBidi" w:cstheme="majorBidi"/>
                <w:i/>
                <w:lang w:bidi="en-GB"/>
              </w:rPr>
              <w:t xml:space="preserve">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4DD1508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07C8330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CF24C1" w14:paraId="19565462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701D364" w14:textId="119A327A" w:rsidR="00CF24C1" w:rsidRPr="00C41CF9" w:rsidRDefault="00CF24C1" w:rsidP="00CF24C1">
            <w:pPr>
              <w:widowControl w:val="0"/>
              <w:rPr>
                <w:rFonts w:asciiTheme="majorBidi" w:hAnsiTheme="majorBidi" w:cstheme="majorBidi"/>
              </w:rPr>
            </w:pPr>
            <w:r w:rsidRPr="00C41CF9">
              <w:t>Preparation of the G20 Finance Ministers and Central Bank Governors meeting on 31 August and 1 September 2026: EU terms of reference</w:t>
            </w:r>
          </w:p>
          <w:p w14:paraId="444E9FF8" w14:textId="2C177753" w:rsidR="00CF24C1" w:rsidRDefault="00CF24C1" w:rsidP="00CF24C1">
            <w:pPr>
              <w:rPr>
                <w:lang w:val="en-US"/>
              </w:rPr>
            </w:pPr>
            <w:r w:rsidRPr="00C41CF9">
              <w:rPr>
                <w:rFonts w:asciiTheme="majorBidi" w:hAnsiTheme="majorBidi" w:cstheme="majorBidi"/>
                <w:i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75BD82B" w14:textId="77777777" w:rsidR="00CF24C1" w:rsidRDefault="00CF24C1" w:rsidP="00CF24C1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980B2C0" w14:textId="77777777" w:rsidR="00CF24C1" w:rsidRDefault="00CF24C1" w:rsidP="00CF24C1">
            <w:pPr>
              <w:rPr>
                <w:lang w:val="en-US"/>
              </w:rPr>
            </w:pPr>
          </w:p>
        </w:tc>
      </w:tr>
      <w:tr w:rsidR="00BD729D" w14:paraId="4B16BAEB" w14:textId="77777777" w:rsidTr="00CF24C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0D626E6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29F0FD0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B2E5243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420D9666" w14:textId="77777777" w:rsidR="00BD729D" w:rsidRDefault="00BD729D" w:rsidP="00BD729D">
      <w:pPr>
        <w:pStyle w:val="Jardin"/>
      </w:pPr>
      <w:r>
        <w:t>o</w:t>
      </w:r>
    </w:p>
    <w:p w14:paraId="1E4F9668" w14:textId="77777777" w:rsidR="00BD729D" w:rsidRDefault="00BD729D" w:rsidP="00BD729D">
      <w:pPr>
        <w:pStyle w:val="Jardin"/>
      </w:pPr>
      <w:r>
        <w:t>o</w:t>
      </w:r>
      <w:r>
        <w:tab/>
      </w:r>
      <w:proofErr w:type="spellStart"/>
      <w:r>
        <w:t>o</w:t>
      </w:r>
      <w:proofErr w:type="spellEnd"/>
    </w:p>
    <w:p w14:paraId="3E93F454" w14:textId="77777777" w:rsidR="00EE58DE" w:rsidRDefault="00EE58DE" w:rsidP="002157D0">
      <w:pPr>
        <w:spacing w:line="360" w:lineRule="auto"/>
        <w:rPr>
          <w:rFonts w:asciiTheme="majorBidi" w:hAnsiTheme="majorBidi" w:cstheme="majorBidi"/>
          <w:b/>
          <w:bCs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Cs w:val="24"/>
          <w:u w:val="single"/>
          <w:lang w:val="en-US"/>
        </w:rPr>
        <w:t>p.m.</w:t>
      </w:r>
      <w:r>
        <w:rPr>
          <w:rFonts w:asciiTheme="majorBidi" w:hAnsiTheme="majorBidi" w:cstheme="majorBidi"/>
          <w:b/>
          <w:bCs/>
          <w:szCs w:val="24"/>
          <w:lang w:val="en-US"/>
        </w:rPr>
        <w:t>:</w:t>
      </w:r>
    </w:p>
    <w:p w14:paraId="52CD8464" w14:textId="5C72EA7A" w:rsidR="002157D0" w:rsidRPr="00C41CF9" w:rsidRDefault="002157D0" w:rsidP="002157D0">
      <w:pPr>
        <w:widowControl w:val="0"/>
        <w:spacing w:line="360" w:lineRule="auto"/>
        <w:rPr>
          <w:b/>
          <w:bCs/>
          <w:szCs w:val="24"/>
          <w:u w:val="single"/>
        </w:rPr>
      </w:pPr>
      <w:r w:rsidRPr="00C41CF9">
        <w:rPr>
          <w:b/>
          <w:bCs/>
          <w:szCs w:val="24"/>
          <w:u w:val="single"/>
        </w:rPr>
        <w:t>Thursday</w:t>
      </w:r>
      <w:r>
        <w:rPr>
          <w:b/>
          <w:bCs/>
          <w:szCs w:val="24"/>
          <w:u w:val="single"/>
        </w:rPr>
        <w:t>,</w:t>
      </w:r>
      <w:r w:rsidRPr="00C41CF9">
        <w:rPr>
          <w:b/>
          <w:bCs/>
          <w:szCs w:val="24"/>
          <w:u w:val="single"/>
        </w:rPr>
        <w:t xml:space="preserve"> 9 July</w:t>
      </w:r>
      <w:r w:rsidR="00ED3A3C">
        <w:rPr>
          <w:b/>
          <w:bCs/>
          <w:szCs w:val="24"/>
          <w:u w:val="single"/>
        </w:rPr>
        <w:t xml:space="preserve"> </w:t>
      </w:r>
      <w:r w:rsidRPr="00C41CF9">
        <w:rPr>
          <w:b/>
          <w:bCs/>
          <w:szCs w:val="24"/>
          <w:u w:val="single"/>
        </w:rPr>
        <w:t>2026</w:t>
      </w:r>
    </w:p>
    <w:p w14:paraId="315CDEC6" w14:textId="77777777" w:rsidR="002157D0" w:rsidRPr="00C41CF9" w:rsidRDefault="002157D0" w:rsidP="002157D0">
      <w:pPr>
        <w:widowControl w:val="0"/>
        <w:tabs>
          <w:tab w:val="left" w:pos="851"/>
        </w:tabs>
        <w:spacing w:line="360" w:lineRule="auto"/>
        <w:rPr>
          <w:szCs w:val="24"/>
        </w:rPr>
      </w:pPr>
      <w:r w:rsidRPr="00C41CF9">
        <w:rPr>
          <w:szCs w:val="24"/>
        </w:rPr>
        <w:t>15:00</w:t>
      </w:r>
      <w:r w:rsidRPr="00C41CF9">
        <w:rPr>
          <w:szCs w:val="24"/>
        </w:rPr>
        <w:tab/>
        <w:t>Eurogroup in regular format</w:t>
      </w:r>
    </w:p>
    <w:p w14:paraId="52DB21BA" w14:textId="77777777" w:rsidR="002157D0" w:rsidRPr="00607FA7" w:rsidRDefault="002157D0" w:rsidP="002157D0">
      <w:pPr>
        <w:widowControl w:val="0"/>
        <w:tabs>
          <w:tab w:val="left" w:pos="851"/>
        </w:tabs>
        <w:spacing w:line="360" w:lineRule="auto"/>
        <w:rPr>
          <w:szCs w:val="24"/>
        </w:rPr>
      </w:pPr>
      <w:r w:rsidRPr="00607FA7">
        <w:t>(tbc)</w:t>
      </w:r>
      <w:r w:rsidRPr="00607FA7">
        <w:rPr>
          <w:szCs w:val="24"/>
        </w:rPr>
        <w:tab/>
        <w:t>Eurogroup in inclusive format</w:t>
      </w:r>
    </w:p>
    <w:p w14:paraId="3BA9C792" w14:textId="77777777" w:rsidR="002157D0" w:rsidRPr="00C41CF9" w:rsidRDefault="002157D0" w:rsidP="002157D0">
      <w:pPr>
        <w:widowControl w:val="0"/>
        <w:tabs>
          <w:tab w:val="left" w:pos="851"/>
        </w:tabs>
        <w:spacing w:line="360" w:lineRule="auto"/>
        <w:rPr>
          <w:szCs w:val="24"/>
        </w:rPr>
      </w:pPr>
      <w:r w:rsidRPr="00607FA7">
        <w:rPr>
          <w:szCs w:val="24"/>
        </w:rPr>
        <w:t>(tbc)</w:t>
      </w:r>
      <w:r w:rsidRPr="00607FA7">
        <w:rPr>
          <w:szCs w:val="24"/>
        </w:rPr>
        <w:tab/>
        <w:t>Eurogroup dinner</w:t>
      </w:r>
    </w:p>
    <w:p w14:paraId="7B59EE33" w14:textId="77777777" w:rsidR="002157D0" w:rsidRPr="00C41CF9" w:rsidRDefault="002157D0" w:rsidP="002157D0">
      <w:pPr>
        <w:widowControl w:val="0"/>
        <w:tabs>
          <w:tab w:val="left" w:pos="851"/>
        </w:tabs>
        <w:spacing w:line="360" w:lineRule="auto"/>
        <w:rPr>
          <w:b/>
          <w:bCs/>
          <w:szCs w:val="24"/>
          <w:u w:val="single"/>
        </w:rPr>
      </w:pPr>
      <w:r w:rsidRPr="00C41CF9">
        <w:rPr>
          <w:b/>
          <w:bCs/>
          <w:szCs w:val="24"/>
          <w:u w:val="single"/>
        </w:rPr>
        <w:t>Friday</w:t>
      </w:r>
      <w:r>
        <w:rPr>
          <w:b/>
          <w:bCs/>
          <w:szCs w:val="24"/>
          <w:u w:val="single"/>
        </w:rPr>
        <w:t>,</w:t>
      </w:r>
      <w:r w:rsidRPr="00C41CF9">
        <w:rPr>
          <w:b/>
          <w:bCs/>
          <w:szCs w:val="24"/>
          <w:u w:val="single"/>
        </w:rPr>
        <w:t xml:space="preserve"> 10 July 2026</w:t>
      </w:r>
    </w:p>
    <w:p w14:paraId="44140347" w14:textId="414EE04D" w:rsidR="002157D0" w:rsidRPr="00C41CF9" w:rsidRDefault="002157D0" w:rsidP="002157D0">
      <w:pPr>
        <w:widowControl w:val="0"/>
        <w:tabs>
          <w:tab w:val="left" w:pos="851"/>
        </w:tabs>
        <w:spacing w:line="360" w:lineRule="auto"/>
      </w:pPr>
      <w:r w:rsidRPr="00C41CF9">
        <w:rPr>
          <w:szCs w:val="24"/>
        </w:rPr>
        <w:t>9:00</w:t>
      </w:r>
      <w:r w:rsidRPr="00C41CF9">
        <w:rPr>
          <w:szCs w:val="24"/>
        </w:rPr>
        <w:tab/>
        <w:t>Breakfast</w:t>
      </w:r>
      <w:r w:rsidR="005129D3">
        <w:rPr>
          <w:rStyle w:val="FootnoteReference"/>
          <w:szCs w:val="24"/>
        </w:rPr>
        <w:footnoteReference w:id="2"/>
      </w:r>
    </w:p>
    <w:p w14:paraId="2E716BC3" w14:textId="77777777" w:rsidR="001B060D" w:rsidRPr="00EE58DE" w:rsidRDefault="001B060D" w:rsidP="001B060D">
      <w:pPr>
        <w:pStyle w:val="ImageLine"/>
        <w:rPr>
          <w:lang w:val="en-US"/>
        </w:rPr>
      </w:pPr>
    </w:p>
    <w:p w14:paraId="503FE4DE" w14:textId="77777777" w:rsidR="001B060D" w:rsidRDefault="001B060D" w:rsidP="001B060D">
      <w:pPr>
        <w:pStyle w:val="Image"/>
      </w:pPr>
      <w:r>
        <w:rPr>
          <w:noProof/>
          <w:lang w:eastAsia="en-GB"/>
        </w:rPr>
        <w:drawing>
          <wp:inline distT="0" distB="0" distL="0" distR="0" wp14:anchorId="0CAFDA71" wp14:editId="515BE011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First reading</w:t>
      </w:r>
    </w:p>
    <w:p w14:paraId="33FFCA18" w14:textId="77777777" w:rsidR="001B060D" w:rsidRDefault="001B060D" w:rsidP="001B060D">
      <w:pPr>
        <w:pStyle w:val="Image"/>
      </w:pPr>
      <w:r>
        <w:rPr>
          <w:noProof/>
          <w:lang w:eastAsia="en-GB"/>
        </w:rPr>
        <w:drawing>
          <wp:inline distT="0" distB="0" distL="0" distR="0" wp14:anchorId="166B43CF" wp14:editId="2C152628">
            <wp:extent cx="172442" cy="172442"/>
            <wp:effectExtent l="0" t="0" r="0" b="0"/>
            <wp:docPr id="6" name="Picture 6" descr="Public debate (Article 8(3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Public debate (Article 8(3) of the Council's Rules of Procedure)</w:t>
      </w:r>
    </w:p>
    <w:p w14:paraId="3FBDA920" w14:textId="77777777" w:rsidR="001B060D" w:rsidRDefault="001B060D" w:rsidP="001B060D">
      <w:pPr>
        <w:pStyle w:val="Image"/>
      </w:pPr>
      <w:r>
        <w:rPr>
          <w:noProof/>
          <w:lang w:eastAsia="en-GB"/>
        </w:rPr>
        <w:drawing>
          <wp:inline distT="0" distB="0" distL="0" distR="0" wp14:anchorId="0BDAAED0" wp14:editId="5F7118A2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Item based on a Commission proposal</w:t>
      </w:r>
    </w:p>
    <w:p w14:paraId="6A0E0FDB" w14:textId="77777777" w:rsidR="001B060D" w:rsidRDefault="001B060D" w:rsidP="006E4AB4">
      <w:pPr>
        <w:pStyle w:val="Image"/>
        <w:keepNext/>
      </w:pPr>
      <w:r w:rsidRPr="001B060D">
        <w:t>(*)</w:t>
      </w:r>
      <w:r w:rsidRPr="001B060D">
        <w:tab/>
        <w:t>Item on which a vote may be requested</w:t>
      </w:r>
    </w:p>
    <w:p w14:paraId="1E2B6770" w14:textId="77777777" w:rsidR="001B060D" w:rsidRPr="007502FA" w:rsidRDefault="001B060D" w:rsidP="001B060D">
      <w:pPr>
        <w:pStyle w:val="FinalLine"/>
      </w:pPr>
    </w:p>
    <w:p w14:paraId="022BF687" w14:textId="77777777" w:rsidR="00772954" w:rsidRPr="001B060D" w:rsidRDefault="001B060D" w:rsidP="001B060D">
      <w:pPr>
        <w:pStyle w:val="NB"/>
      </w:pPr>
      <w:r w:rsidRPr="001B060D">
        <w:t>NB:</w:t>
      </w:r>
      <w:r w:rsidRPr="001B060D">
        <w:tab/>
        <w:t>Please send a list of your delegates to this meeting as soon as possible to the email address access.general@consilium.europa.eu</w:t>
      </w:r>
    </w:p>
    <w:sectPr w:rsidR="00772954" w:rsidRPr="001B060D" w:rsidSect="006E4A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Start w:val="2"/>
      </w:footnotePr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1D81" w14:textId="77777777" w:rsidR="001B060D" w:rsidRDefault="001B060D" w:rsidP="00B5488B">
      <w:r>
        <w:separator/>
      </w:r>
    </w:p>
  </w:endnote>
  <w:endnote w:type="continuationSeparator" w:id="0">
    <w:p w14:paraId="791AD635" w14:textId="77777777" w:rsidR="001B060D" w:rsidRDefault="001B060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8757" w14:textId="77777777" w:rsidR="00BB0B32" w:rsidRDefault="00BB0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6E4AB4" w:rsidRPr="00D94637" w14:paraId="48EEDAC2" w14:textId="77777777" w:rsidTr="006E4AB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61D1CE93" w14:textId="77777777" w:rsidR="006E4AB4" w:rsidRPr="00D94637" w:rsidRDefault="006E4AB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6E4AB4" w:rsidRPr="00B310DC" w14:paraId="086EC2CD" w14:textId="77777777" w:rsidTr="006E4AB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0E4B19E6" w14:textId="6152732C" w:rsidR="006E4AB4" w:rsidRPr="00AD7BF2" w:rsidRDefault="006E4AB4" w:rsidP="004F54B2">
          <w:pPr>
            <w:pStyle w:val="FooterText"/>
          </w:pPr>
          <w:r>
            <w:t>CM 3390/26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722D42BA" w14:textId="77777777" w:rsidR="006E4AB4" w:rsidRPr="00AD7BF2" w:rsidRDefault="006E4AB4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4D65BFEC" w14:textId="77777777" w:rsidR="006E4AB4" w:rsidRPr="002511D8" w:rsidRDefault="006E4AB4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53809F5E" w14:textId="0602B2BF" w:rsidR="006E4AB4" w:rsidRPr="00B310DC" w:rsidRDefault="006E4AB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6E4AB4" w:rsidRPr="00D94637" w14:paraId="08889A7D" w14:textId="77777777" w:rsidTr="006E4AB4">
      <w:trPr>
        <w:jc w:val="center"/>
      </w:trPr>
      <w:tc>
        <w:tcPr>
          <w:tcW w:w="1774" w:type="pct"/>
          <w:shd w:val="clear" w:color="auto" w:fill="auto"/>
        </w:tcPr>
        <w:p w14:paraId="1C33EA4C" w14:textId="33B195ED" w:rsidR="006E4AB4" w:rsidRPr="00AD7BF2" w:rsidRDefault="006E4AB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0EB02574" w14:textId="2DBADCB7" w:rsidR="006E4AB4" w:rsidRPr="00AD7BF2" w:rsidRDefault="006E4AB4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16997D54" w14:textId="2D1142DF" w:rsidR="006E4AB4" w:rsidRPr="00D94637" w:rsidRDefault="006E4AB4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1969BD1C" w14:textId="5BB61DAB" w:rsidR="006E4AB4" w:rsidRPr="00695BAF" w:rsidRDefault="006E4AB4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1"/>
  </w:tbl>
  <w:p w14:paraId="0A35E85E" w14:textId="77777777" w:rsidR="001B060D" w:rsidRPr="006E4AB4" w:rsidRDefault="001B060D" w:rsidP="006E4AB4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6E4AB4" w:rsidRPr="00D94637" w14:paraId="770089B9" w14:textId="77777777" w:rsidTr="006E4AB4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4C7D1E4F" w14:textId="77777777" w:rsidR="006E4AB4" w:rsidRPr="00D94637" w:rsidRDefault="006E4AB4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COREPER_COUNCIL"/>
        </w:p>
      </w:tc>
    </w:tr>
    <w:tr w:rsidR="006E4AB4" w:rsidRPr="00B310DC" w14:paraId="7A3E4A09" w14:textId="77777777" w:rsidTr="006E4AB4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6AB073EB" w14:textId="2C8D00E1" w:rsidR="006E4AB4" w:rsidRPr="00AD7BF2" w:rsidRDefault="006E4AB4" w:rsidP="00965E25">
          <w:pPr>
            <w:pStyle w:val="FooterText"/>
          </w:pPr>
          <w:r>
            <w:t>CM 3390/26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0E5BE600" w14:textId="77777777" w:rsidR="006E4AB4" w:rsidRPr="00AD7BF2" w:rsidRDefault="006E4AB4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7693497D" w14:textId="77777777" w:rsidR="006E4AB4" w:rsidRPr="002511D8" w:rsidRDefault="006E4AB4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0B774928" w14:textId="4E00B066" w:rsidR="006E4AB4" w:rsidRPr="00B310DC" w:rsidRDefault="006E4AB4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6E4AB4" w:rsidRPr="00D94637" w14:paraId="1A16B50F" w14:textId="77777777" w:rsidTr="006E4AB4">
      <w:trPr>
        <w:jc w:val="center"/>
      </w:trPr>
      <w:tc>
        <w:tcPr>
          <w:tcW w:w="3230" w:type="pct"/>
          <w:gridSpan w:val="3"/>
          <w:shd w:val="clear" w:color="auto" w:fill="auto"/>
        </w:tcPr>
        <w:p w14:paraId="42AB388D" w14:textId="5156C5EE" w:rsidR="006E4AB4" w:rsidRPr="00E37908" w:rsidRDefault="006E4AB4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14:paraId="3DA547AC" w14:textId="3F323C30" w:rsidR="006E4AB4" w:rsidRPr="00D94637" w:rsidRDefault="006E4AB4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08BB7225" w14:textId="433A89EB" w:rsidR="006E4AB4" w:rsidRPr="00695BAF" w:rsidRDefault="006E4AB4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2"/>
  </w:tbl>
  <w:p w14:paraId="3DA50337" w14:textId="77777777" w:rsidR="001B060D" w:rsidRPr="006E4AB4" w:rsidRDefault="001B060D" w:rsidP="006E4AB4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4E7A" w14:textId="77777777" w:rsidR="001B060D" w:rsidRDefault="001B060D" w:rsidP="00B5488B">
      <w:r>
        <w:separator/>
      </w:r>
    </w:p>
  </w:footnote>
  <w:footnote w:type="continuationSeparator" w:id="0">
    <w:p w14:paraId="5F85E392" w14:textId="77777777" w:rsidR="001B060D" w:rsidRDefault="001B060D" w:rsidP="00B5488B">
      <w:r>
        <w:continuationSeparator/>
      </w:r>
    </w:p>
  </w:footnote>
  <w:footnote w:id="1">
    <w:p w14:paraId="48DFD3BE" w14:textId="77777777" w:rsidR="006E4AB4" w:rsidRDefault="006E4AB4">
      <w:pPr>
        <w:pStyle w:val="FootnoteText"/>
      </w:pPr>
      <w:r>
        <w:rPr>
          <w:rStyle w:val="FootnoteReference"/>
        </w:rPr>
        <w:t>1</w:t>
      </w:r>
      <w:r>
        <w:tab/>
        <w:t>In the presence of the President of the EIB</w:t>
      </w:r>
    </w:p>
  </w:footnote>
  <w:footnote w:id="2">
    <w:p w14:paraId="09FFCBE8" w14:textId="65753676" w:rsidR="005129D3" w:rsidRPr="005129D3" w:rsidRDefault="005129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DD54E2">
        <w:rPr>
          <w:bCs/>
          <w:szCs w:val="24"/>
        </w:rPr>
        <w:t>In the presence of the President of the EIB and the Managing Director of the ESM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4726" w14:textId="77777777" w:rsidR="00BB0B32" w:rsidRDefault="00BB0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53EC" w14:textId="72E0F41E" w:rsidR="001B060D" w:rsidRPr="006E4AB4" w:rsidRDefault="006E4AB4" w:rsidP="006E4AB4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B6B" w14:textId="5BE7F6A7" w:rsidR="001B060D" w:rsidRPr="006E4AB4" w:rsidRDefault="006E4AB4" w:rsidP="006E4AB4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 w15:restartNumberingAfterBreak="0">
    <w:nsid w:val="6EBE3FBE"/>
    <w:multiLevelType w:val="hybridMultilevel"/>
    <w:tmpl w:val="48822F1C"/>
    <w:lvl w:ilvl="0" w:tplc="62F24E24">
      <w:start w:val="1"/>
      <w:numFmt w:val="lowerLetter"/>
      <w:lvlText w:val="%1)"/>
      <w:lvlJc w:val="left"/>
      <w:pPr>
        <w:ind w:left="540" w:hanging="54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9" w15:restartNumberingAfterBreak="0">
    <w:nsid w:val="736A7D25"/>
    <w:multiLevelType w:val="hybridMultilevel"/>
    <w:tmpl w:val="48822F1C"/>
    <w:lvl w:ilvl="0" w:tplc="FFFFFFFF">
      <w:start w:val="1"/>
      <w:numFmt w:val="lowerLetter"/>
      <w:lvlText w:val="%1)"/>
      <w:lvlJc w:val="left"/>
      <w:pPr>
        <w:ind w:left="540" w:hanging="54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1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2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3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988873346">
    <w:abstractNumId w:val="16"/>
  </w:num>
  <w:num w:numId="2" w16cid:durableId="1045372169">
    <w:abstractNumId w:val="1"/>
  </w:num>
  <w:num w:numId="3" w16cid:durableId="24136653">
    <w:abstractNumId w:val="18"/>
  </w:num>
  <w:num w:numId="4" w16cid:durableId="1270311048">
    <w:abstractNumId w:val="13"/>
  </w:num>
  <w:num w:numId="5" w16cid:durableId="811295434">
    <w:abstractNumId w:val="2"/>
  </w:num>
  <w:num w:numId="6" w16cid:durableId="914389571">
    <w:abstractNumId w:val="21"/>
  </w:num>
  <w:num w:numId="7" w16cid:durableId="885025986">
    <w:abstractNumId w:val="23"/>
  </w:num>
  <w:num w:numId="8" w16cid:durableId="1679966738">
    <w:abstractNumId w:val="10"/>
  </w:num>
  <w:num w:numId="9" w16cid:durableId="1450276834">
    <w:abstractNumId w:val="20"/>
  </w:num>
  <w:num w:numId="10" w16cid:durableId="262806002">
    <w:abstractNumId w:val="14"/>
  </w:num>
  <w:num w:numId="11" w16cid:durableId="1912421930">
    <w:abstractNumId w:val="8"/>
  </w:num>
  <w:num w:numId="12" w16cid:durableId="1251767615">
    <w:abstractNumId w:val="5"/>
  </w:num>
  <w:num w:numId="13" w16cid:durableId="1671563598">
    <w:abstractNumId w:val="4"/>
  </w:num>
  <w:num w:numId="14" w16cid:durableId="1352955509">
    <w:abstractNumId w:val="15"/>
  </w:num>
  <w:num w:numId="15" w16cid:durableId="1058019748">
    <w:abstractNumId w:val="22"/>
  </w:num>
  <w:num w:numId="16" w16cid:durableId="42020864">
    <w:abstractNumId w:val="0"/>
  </w:num>
  <w:num w:numId="17" w16cid:durableId="1146899022">
    <w:abstractNumId w:val="6"/>
  </w:num>
  <w:num w:numId="18" w16cid:durableId="2092464110">
    <w:abstractNumId w:val="3"/>
  </w:num>
  <w:num w:numId="19" w16cid:durableId="1320844787">
    <w:abstractNumId w:val="11"/>
  </w:num>
  <w:num w:numId="20" w16cid:durableId="1680084339">
    <w:abstractNumId w:val="7"/>
  </w:num>
  <w:num w:numId="21" w16cid:durableId="4754171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2681325">
    <w:abstractNumId w:val="19"/>
  </w:num>
  <w:num w:numId="23" w16cid:durableId="875774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3690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5673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51201"/>
  </w:hdrShapeDefaults>
  <w:footnotePr>
    <w:numStart w:val="2"/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235172530798402317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25&lt;/text&gt;_x000d__x000a_  &lt;/metadata&gt;_x000d__x000a_  &lt;metadata key=&quot;md_Prefix&quot;&gt;_x000d__x000a_    &lt;text&gt;CM&lt;/text&gt;_x000d__x000a_  &lt;/metadata&gt;_x000d__x000a_  &lt;metadata key=&quot;md_DocumentNumber&quot;&gt;_x000d__x000a_    &lt;text&gt;3390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ThirdPartyDistributionMarkers&quot;&gt;_x000d__x000a_    &lt;textlist&gt;_x000d__x000a_      &lt;text&gt;PARLNAT&lt;/text&gt;_x000d__x000a_      &lt;text&gt;ECB&lt;/text&gt;_x000d__x000a_      &lt;text&gt;EIB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4189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 xmlns:x=&quot;http://schemas.microsoft.com/winfx/2006/xaml&quot;&amp;gt;&amp;lt;Paragraph&amp;gt;COUNCIL OF THE EUROPEAN UNION&amp;lt;Hyperlink NavigateUri=&quot;{x:Null}&quot; Style=&quot;{x:Null}&quot; Name=&quot;Footnote1&quot; Tag=&quot;{}{fn:1}In the presence of the President of the EIB{/fn}&quot; ToolTip=&quot;In the presence of the President of the EIB&quot;&amp;gt;&amp;lt;Hyperlink.TextDecorations&amp;gt;&amp;lt;TextDecorationCollection /&amp;gt;&amp;lt;/Hyperlink.TextDecorations&amp;gt;&amp;lt;Run BaselineAlignment=&quot;Superscript&quot;&amp;gt;1&amp;lt;/Run&amp;gt;&amp;lt;/Hyperlink&amp;gt;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6-07-10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  <w:docVar w:name="DW_TechnicalBlockHash" w:val="27115193335673c72718ed258f78490ce96960da6effa458415eba29de64ba97"/>
  </w:docVars>
  <w:rsids>
    <w:rsidRoot w:val="001B060D"/>
    <w:rsid w:val="00042CB0"/>
    <w:rsid w:val="000E2267"/>
    <w:rsid w:val="001208A4"/>
    <w:rsid w:val="001B060D"/>
    <w:rsid w:val="002157D0"/>
    <w:rsid w:val="00260164"/>
    <w:rsid w:val="002B7630"/>
    <w:rsid w:val="00326C08"/>
    <w:rsid w:val="00345082"/>
    <w:rsid w:val="00350C40"/>
    <w:rsid w:val="003608C7"/>
    <w:rsid w:val="003778B9"/>
    <w:rsid w:val="003D040A"/>
    <w:rsid w:val="003D6AF6"/>
    <w:rsid w:val="00442CAD"/>
    <w:rsid w:val="00464FE8"/>
    <w:rsid w:val="00490865"/>
    <w:rsid w:val="004A1C22"/>
    <w:rsid w:val="004C60B7"/>
    <w:rsid w:val="005129D3"/>
    <w:rsid w:val="00546854"/>
    <w:rsid w:val="00547A70"/>
    <w:rsid w:val="005529E7"/>
    <w:rsid w:val="005A5570"/>
    <w:rsid w:val="005C3952"/>
    <w:rsid w:val="00601D12"/>
    <w:rsid w:val="006213F4"/>
    <w:rsid w:val="0063066E"/>
    <w:rsid w:val="0068003E"/>
    <w:rsid w:val="006A0129"/>
    <w:rsid w:val="006C2197"/>
    <w:rsid w:val="006D2414"/>
    <w:rsid w:val="006E4AB4"/>
    <w:rsid w:val="007010AE"/>
    <w:rsid w:val="00723B34"/>
    <w:rsid w:val="00741DC3"/>
    <w:rsid w:val="00745D84"/>
    <w:rsid w:val="007502FA"/>
    <w:rsid w:val="00772954"/>
    <w:rsid w:val="00786B8C"/>
    <w:rsid w:val="008146F9"/>
    <w:rsid w:val="00827A46"/>
    <w:rsid w:val="00843D81"/>
    <w:rsid w:val="008C5463"/>
    <w:rsid w:val="009860AE"/>
    <w:rsid w:val="009930AF"/>
    <w:rsid w:val="00A04B52"/>
    <w:rsid w:val="00A31007"/>
    <w:rsid w:val="00B45746"/>
    <w:rsid w:val="00B5488B"/>
    <w:rsid w:val="00B92395"/>
    <w:rsid w:val="00BB0B32"/>
    <w:rsid w:val="00BC0BB4"/>
    <w:rsid w:val="00BC3EC8"/>
    <w:rsid w:val="00BD729D"/>
    <w:rsid w:val="00BE3520"/>
    <w:rsid w:val="00C02778"/>
    <w:rsid w:val="00C24D81"/>
    <w:rsid w:val="00C86B16"/>
    <w:rsid w:val="00C86BCE"/>
    <w:rsid w:val="00CC013E"/>
    <w:rsid w:val="00CC7CD6"/>
    <w:rsid w:val="00CD60FB"/>
    <w:rsid w:val="00CF24C1"/>
    <w:rsid w:val="00D41FB1"/>
    <w:rsid w:val="00D64B12"/>
    <w:rsid w:val="00D95441"/>
    <w:rsid w:val="00DB0576"/>
    <w:rsid w:val="00DF7902"/>
    <w:rsid w:val="00E3297C"/>
    <w:rsid w:val="00E73994"/>
    <w:rsid w:val="00E8251D"/>
    <w:rsid w:val="00ED2D5D"/>
    <w:rsid w:val="00ED3A3C"/>
    <w:rsid w:val="00EE3B78"/>
    <w:rsid w:val="00EE58DE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1CEB7E1"/>
  <w15:docId w15:val="{4F2765F8-6699-48BF-A7B0-5EBC261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60D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1B060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B060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B060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B06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B060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6E4AB4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6E4AB4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6E4AB4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6E4AB4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6E4AB4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6E4AB4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6E4AB4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6E4AB4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6E4AB4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6E4AB4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6E4AB4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TBDistrbMarkers">
    <w:name w:val="TBDistrbMarkers"/>
    <w:basedOn w:val="TBNormalTechnicalBlock"/>
    <w:qFormat/>
    <w:rsid w:val="006E4AB4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table" w:customStyle="1" w:styleId="TableGrid21">
    <w:name w:val="Table Grid21"/>
    <w:basedOn w:val="TableNormal"/>
    <w:next w:val="TableGrid"/>
    <w:uiPriority w:val="59"/>
    <w:rsid w:val="00CF24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/>
  </w:style>
  <w:style w:type="paragraph" w:styleId="Revision">
    <w:name w:val="Revision"/>
    <w:hidden/>
    <w:uiPriority w:val="99"/>
    <w:semiHidden/>
    <w:rsid w:val="00ED3A3C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cid:image001.png@01DCC815.5AC439F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1571-732E-4005-B600-86B7A406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</TotalTime>
  <Pages>3</Pages>
  <Words>382</Words>
  <Characters>2353</Characters>
  <Application>Microsoft Office Word</Application>
  <DocSecurity>0</DocSecurity>
  <Lines>156</Lines>
  <Paragraphs>88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Stanka</dc:creator>
  <cp:keywords/>
  <dc:description/>
  <cp:lastModifiedBy>SASA Stanka</cp:lastModifiedBy>
  <cp:revision>5</cp:revision>
  <dcterms:created xsi:type="dcterms:W3CDTF">2026-06-25T08:37:00Z</dcterms:created>
  <dcterms:modified xsi:type="dcterms:W3CDTF">2026-06-25T09:02:00Z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Meeting Number">
    <vt:lpwstr>4189</vt:lpwstr>
  </property>
  <property fmtid="{D5CDD505-2E9C-101B-9397-08002B2CF9AE}" pid="4" name="MSIP_Label_b1df41d6-74a9-4a97-809c-213cd32520cc_Enabled">
    <vt:lpwstr>true</vt:lpwstr>
  </property>
  <property fmtid="{D5CDD505-2E9C-101B-9397-08002B2CF9AE}" pid="5" name="MSIP_Label_b1df41d6-74a9-4a97-809c-213cd32520cc_SetDate">
    <vt:lpwstr>2026-06-25T08:37:45Z</vt:lpwstr>
  </property>
  <property fmtid="{D5CDD505-2E9C-101B-9397-08002B2CF9AE}" pid="6" name="MSIP_Label_b1df41d6-74a9-4a97-809c-213cd32520cc_Method">
    <vt:lpwstr>Privileged</vt:lpwstr>
  </property>
  <property fmtid="{D5CDD505-2E9C-101B-9397-08002B2CF9AE}" pid="7" name="MSIP_Label_b1df41d6-74a9-4a97-809c-213cd32520cc_Name">
    <vt:lpwstr>GSCEU - NON PUBLIC Label</vt:lpwstr>
  </property>
  <property fmtid="{D5CDD505-2E9C-101B-9397-08002B2CF9AE}" pid="8" name="MSIP_Label_b1df41d6-74a9-4a97-809c-213cd32520cc_SiteId">
    <vt:lpwstr>03ad1c97-0a4d-4e82-8f93-27291a6a0767</vt:lpwstr>
  </property>
  <property fmtid="{D5CDD505-2E9C-101B-9397-08002B2CF9AE}" pid="9" name="MSIP_Label_b1df41d6-74a9-4a97-809c-213cd32520cc_ActionId">
    <vt:lpwstr>8d9e6e82-d6cf-4e83-8730-624ca7f1c45b</vt:lpwstr>
  </property>
  <property fmtid="{D5CDD505-2E9C-101B-9397-08002B2CF9AE}" pid="10" name="MSIP_Label_b1df41d6-74a9-4a97-809c-213cd32520cc_ContentBits">
    <vt:lpwstr>0</vt:lpwstr>
  </property>
  <property fmtid="{D5CDD505-2E9C-101B-9397-08002B2CF9AE}" pid="11" name="MSIP_Label_b1df41d6-74a9-4a97-809c-213cd32520cc_Tag">
    <vt:lpwstr>10, 0, 1, 1</vt:lpwstr>
  </property>
  <property fmtid="{D5CDD505-2E9C-101B-9397-08002B2CF9AE}" pid="12" name="SkipControlLengthPage">
    <vt:lpwstr/>
  </property>
</Properties>
</file>