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6D24B" w14:textId="6C4E0ACC" w:rsidR="00FA6138" w:rsidRDefault="00FA6138" w:rsidP="00EE7F78">
      <w:pPr>
        <w:spacing w:after="0" w:line="240" w:lineRule="auto"/>
        <w:jc w:val="both"/>
        <w:rPr>
          <w:rFonts w:ascii="Arial" w:eastAsia="Calibri" w:hAnsi="Arial" w:cs="Arial"/>
        </w:rPr>
      </w:pPr>
    </w:p>
    <w:p w14:paraId="024E5A0C" w14:textId="7E5C78CE"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p>
    <w:p w14:paraId="2FB8D34F" w14:textId="77777777" w:rsidR="00B1126F" w:rsidRDefault="00B1126F" w:rsidP="00EE7F78">
      <w:pPr>
        <w:spacing w:after="0" w:line="240" w:lineRule="auto"/>
        <w:jc w:val="both"/>
        <w:rPr>
          <w:rFonts w:ascii="Arial" w:eastAsia="Calibri" w:hAnsi="Arial" w:cs="Arial"/>
        </w:rPr>
      </w:pPr>
    </w:p>
    <w:p w14:paraId="12E126D3" w14:textId="3C936E32"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0E5C527E"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1F0CB7">
        <w:rPr>
          <w:rFonts w:ascii="Arial" w:hAnsi="Arial" w:cs="Arial"/>
        </w:rPr>
        <w:t>23.01.2024</w:t>
      </w:r>
      <w:r w:rsidR="001F0CB7" w:rsidRPr="00BD6187">
        <w:rPr>
          <w:rFonts w:ascii="Arial" w:hAnsi="Arial" w:cs="Arial"/>
        </w:rPr>
        <w:t xml:space="preserve"> otsusega nr </w:t>
      </w:r>
      <w:r w:rsidR="001F0CB7">
        <w:rPr>
          <w:rFonts w:ascii="Arial" w:hAnsi="Arial" w:cs="Arial"/>
        </w:rPr>
        <w:t>K-0-1/24/282</w:t>
      </w:r>
      <w:r w:rsidR="001F0CB7" w:rsidRPr="00BD6187">
        <w:rPr>
          <w:rFonts w:ascii="Arial" w:hAnsi="Arial" w:cs="Arial"/>
        </w:rPr>
        <w:t>1PR</w:t>
      </w:r>
      <w:r w:rsidRPr="00BD6187">
        <w:rPr>
          <w:rFonts w:ascii="Arial" w:hAnsi="Arial" w:cs="Arial"/>
        </w:rPr>
        <w:t xml:space="preserve"> kehtestatud „Kaitseliidu hanke- ja lepingute sõlmimise korra“ ja </w:t>
      </w:r>
      <w:r w:rsidR="001F0CB7">
        <w:rPr>
          <w:rFonts w:ascii="Arial" w:hAnsi="Arial" w:cs="Arial"/>
        </w:rPr>
        <w:t xml:space="preserve">hangete </w:t>
      </w:r>
      <w:r w:rsidRPr="0055563D">
        <w:rPr>
          <w:rFonts w:ascii="Arial" w:hAnsi="Arial" w:cs="Arial"/>
        </w:rPr>
        <w:t>kava</w:t>
      </w:r>
      <w:r w:rsidRPr="00BD6187">
        <w:rPr>
          <w:rFonts w:ascii="Arial" w:hAnsi="Arial" w:cs="Arial"/>
        </w:rPr>
        <w:t xml:space="preserve"> </w:t>
      </w:r>
      <w:r w:rsidRPr="00BD6187">
        <w:rPr>
          <w:rFonts w:ascii="Arial" w:hAnsi="Arial" w:cs="Arial"/>
          <w:lang w:eastAsia="ar-SA"/>
        </w:rPr>
        <w:t xml:space="preserve">alusel,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148E7C74" w14:textId="77777777" w:rsidR="00B1126F" w:rsidRPr="00BD6187" w:rsidRDefault="00B1126F" w:rsidP="00B1126F">
      <w:pPr>
        <w:spacing w:after="0" w:line="240" w:lineRule="auto"/>
        <w:jc w:val="both"/>
        <w:rPr>
          <w:rFonts w:ascii="Arial" w:hAnsi="Arial" w:cs="Arial"/>
        </w:rPr>
      </w:pPr>
      <w:r w:rsidRPr="00BD6187">
        <w:rPr>
          <w:rFonts w:ascii="Arial" w:eastAsia="Calibri" w:hAnsi="Arial" w:cs="Arial"/>
          <w:noProof/>
        </w:rPr>
        <w:t xml:space="preserve">ja </w:t>
      </w:r>
    </w:p>
    <w:p w14:paraId="4B10699A" w14:textId="18AFD4C2" w:rsidR="00EE7F78" w:rsidRPr="0003558A" w:rsidRDefault="00595A30" w:rsidP="00B1126F">
      <w:pPr>
        <w:spacing w:after="0" w:line="240" w:lineRule="auto"/>
        <w:jc w:val="both"/>
        <w:rPr>
          <w:rFonts w:ascii="Arial" w:eastAsia="Calibri" w:hAnsi="Arial" w:cs="Arial"/>
          <w:noProof/>
        </w:rPr>
      </w:pPr>
      <w:r>
        <w:rPr>
          <w:rFonts w:ascii="Arial" w:eastAsia="Times New Roman" w:hAnsi="Arial" w:cs="Arial"/>
          <w:b/>
          <w:bCs/>
          <w:color w:val="000000"/>
          <w:shd w:val="clear" w:color="auto" w:fill="FFFFFF"/>
        </w:rPr>
        <w:t>Jõgeva Elamu Halduse OÜ</w:t>
      </w:r>
      <w:r>
        <w:rPr>
          <w:rFonts w:ascii="Arial" w:eastAsia="Times New Roman" w:hAnsi="Arial" w:cs="Arial"/>
        </w:rPr>
        <w:t xml:space="preserve">, registrikood </w:t>
      </w:r>
      <w:r>
        <w:rPr>
          <w:rFonts w:ascii="Arial" w:eastAsia="Times New Roman" w:hAnsi="Arial" w:cs="Arial"/>
          <w:color w:val="000000"/>
          <w:shd w:val="clear" w:color="auto" w:fill="FFFFFF"/>
        </w:rPr>
        <w:t>12397675</w:t>
      </w:r>
      <w:r>
        <w:rPr>
          <w:rFonts w:ascii="Arial" w:eastAsia="Times New Roman" w:hAnsi="Arial" w:cs="Arial"/>
        </w:rPr>
        <w:t xml:space="preserve">, asukoht </w:t>
      </w:r>
      <w:r>
        <w:rPr>
          <w:rFonts w:ascii="Arial" w:eastAsia="Times New Roman" w:hAnsi="Arial" w:cs="Arial"/>
          <w:color w:val="000000"/>
          <w:shd w:val="clear" w:color="auto" w:fill="FFFFFF"/>
        </w:rPr>
        <w:t>B. Alveri tn 2a</w:t>
      </w:r>
      <w:r>
        <w:rPr>
          <w:rFonts w:ascii="Arial" w:eastAsia="Times New Roman" w:hAnsi="Arial" w:cs="Arial"/>
          <w:color w:val="000000"/>
          <w:shd w:val="clear" w:color="auto" w:fill="FFFFFF"/>
        </w:rPr>
        <w:t xml:space="preserve"> , Jõgeva linn, Jõgeva vald, 48305 Jõgeva maakond, </w:t>
      </w:r>
      <w:r>
        <w:rPr>
          <w:rFonts w:ascii="Arial" w:eastAsia="Times New Roman" w:hAnsi="Arial" w:cs="Arial"/>
        </w:rPr>
        <w:t xml:space="preserve">keda esindab põhikirja alusel </w:t>
      </w:r>
      <w:r>
        <w:rPr>
          <w:rFonts w:ascii="Arial" w:eastAsia="Times New Roman" w:hAnsi="Arial" w:cs="Arial"/>
        </w:rPr>
        <w:t xml:space="preserve">juhatuse liige </w:t>
      </w:r>
      <w:r>
        <w:rPr>
          <w:rFonts w:ascii="Arial" w:eastAsia="Times New Roman" w:hAnsi="Arial" w:cs="Arial"/>
          <w:b/>
          <w:bCs/>
        </w:rPr>
        <w:t>Kersti Eik</w:t>
      </w:r>
      <w:r w:rsidR="00B1126F">
        <w:rPr>
          <w:rFonts w:ascii="Arial" w:eastAsia="Calibri" w:hAnsi="Arial" w:cs="Arial"/>
          <w:noProof/>
        </w:rPr>
        <w:t xml:space="preserve"> </w:t>
      </w:r>
      <w:r w:rsidR="00B1126F" w:rsidRPr="00BD6187">
        <w:rPr>
          <w:rFonts w:ascii="Arial" w:eastAsia="Calibri" w:hAnsi="Arial" w:cs="Arial"/>
          <w:noProof/>
        </w:rPr>
        <w:t>(edaspidi nimetatud „</w:t>
      </w:r>
      <w:r w:rsidR="00B1126F" w:rsidRPr="00BD6187">
        <w:rPr>
          <w:rFonts w:ascii="Arial" w:eastAsia="Calibri" w:hAnsi="Arial" w:cs="Arial"/>
          <w:b/>
          <w:noProof/>
        </w:rPr>
        <w:t>Töövõtja</w:t>
      </w:r>
      <w:r w:rsidR="00B1126F" w:rsidRPr="00BD6187">
        <w:rPr>
          <w:rFonts w:ascii="Arial" w:eastAsia="Calibri" w:hAnsi="Arial" w:cs="Arial"/>
          <w:noProof/>
        </w:rPr>
        <w:t>”) teiselt poolt, edaspidi lepingus nimetatud „</w:t>
      </w:r>
      <w:r w:rsidR="00B1126F" w:rsidRPr="00BD6187">
        <w:rPr>
          <w:rFonts w:ascii="Arial" w:eastAsia="Calibri" w:hAnsi="Arial" w:cs="Arial"/>
          <w:b/>
          <w:noProof/>
        </w:rPr>
        <w:t>Pool</w:t>
      </w:r>
      <w:r w:rsidR="00B1126F" w:rsidRPr="00BD6187">
        <w:rPr>
          <w:rFonts w:ascii="Arial" w:eastAsia="Calibri" w:hAnsi="Arial" w:cs="Arial"/>
          <w:noProof/>
        </w:rPr>
        <w:t>” või „</w:t>
      </w:r>
      <w:r w:rsidR="00B1126F" w:rsidRPr="00BD6187">
        <w:rPr>
          <w:rFonts w:ascii="Arial" w:eastAsia="Calibri" w:hAnsi="Arial" w:cs="Arial"/>
          <w:b/>
          <w:noProof/>
        </w:rPr>
        <w:t>Pooled</w:t>
      </w:r>
      <w:r w:rsidR="00B1126F" w:rsidRPr="00BD6187">
        <w:rPr>
          <w:rFonts w:ascii="Arial" w:eastAsia="Calibri" w:hAnsi="Arial" w:cs="Arial"/>
          <w:noProof/>
        </w:rPr>
        <w:t>”, sõlmisid käesoleva lepingu (edaspidi nimetatud „</w:t>
      </w:r>
      <w:r w:rsidR="00B1126F" w:rsidRPr="00BD6187">
        <w:rPr>
          <w:rFonts w:ascii="Arial" w:eastAsia="Calibri" w:hAnsi="Arial" w:cs="Arial"/>
          <w:b/>
          <w:noProof/>
        </w:rPr>
        <w:t>Leping</w:t>
      </w:r>
      <w:r w:rsidR="00B1126F" w:rsidRPr="00BD6187">
        <w:rPr>
          <w:rFonts w:ascii="Arial" w:eastAsia="Calibri" w:hAnsi="Arial" w:cs="Arial"/>
          <w:noProof/>
        </w:rPr>
        <w:t>”) alljärgnevas:</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160DA02C"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1F0CB7">
        <w:rPr>
          <w:rFonts w:ascii="Arial" w:hAnsi="Arial" w:cs="Arial"/>
          <w:b/>
          <w:lang w:eastAsia="en-GB"/>
        </w:rPr>
        <w:t xml:space="preserve">Jõgeva </w:t>
      </w:r>
      <w:r w:rsidR="002F3EE8">
        <w:rPr>
          <w:rFonts w:ascii="Arial" w:hAnsi="Arial" w:cs="Arial"/>
          <w:b/>
          <w:lang w:eastAsia="en-GB"/>
        </w:rPr>
        <w:t>maleva</w:t>
      </w:r>
      <w:r w:rsidR="00B92666" w:rsidRPr="00C16C64">
        <w:rPr>
          <w:rFonts w:ascii="Arial" w:hAnsi="Arial" w:cs="Arial"/>
          <w:b/>
          <w:lang w:eastAsia="en-GB"/>
        </w:rPr>
        <w:t xml:space="preserve"> </w:t>
      </w:r>
      <w:r w:rsidR="00B92666">
        <w:rPr>
          <w:rFonts w:ascii="Arial" w:hAnsi="Arial" w:cs="Arial"/>
          <w:b/>
          <w:lang w:eastAsia="en-GB"/>
        </w:rPr>
        <w:t>staabi</w:t>
      </w:r>
      <w:r w:rsidR="001F0CB7">
        <w:rPr>
          <w:rFonts w:ascii="Arial" w:hAnsi="Arial" w:cs="Arial"/>
          <w:b/>
          <w:lang w:eastAsia="en-GB"/>
        </w:rPr>
        <w:t>- ja tagalakeskuse</w:t>
      </w:r>
      <w:r w:rsidR="00B92666">
        <w:rPr>
          <w:rFonts w:ascii="Arial" w:hAnsi="Arial" w:cs="Arial"/>
          <w:b/>
          <w:lang w:eastAsia="en-GB"/>
        </w:rPr>
        <w:t xml:space="preserve"> </w:t>
      </w:r>
      <w:r w:rsidR="00B92666" w:rsidRPr="00C16C64">
        <w:rPr>
          <w:rFonts w:ascii="Arial" w:hAnsi="Arial" w:cs="Arial"/>
          <w:lang w:eastAsia="en-GB"/>
        </w:rPr>
        <w:t>(</w:t>
      </w:r>
      <w:r w:rsidR="001F0CB7">
        <w:rPr>
          <w:rFonts w:ascii="Arial" w:hAnsi="Arial" w:cs="Arial"/>
          <w:lang w:eastAsia="en-GB"/>
        </w:rPr>
        <w:t>Aia 36a</w:t>
      </w:r>
      <w:r w:rsidR="00B92666" w:rsidRPr="00C16C64">
        <w:rPr>
          <w:rFonts w:ascii="Arial" w:hAnsi="Arial" w:cs="Arial"/>
          <w:lang w:eastAsia="en-GB"/>
        </w:rPr>
        <w:t xml:space="preserve">, </w:t>
      </w:r>
      <w:r w:rsidR="001F0CB7">
        <w:rPr>
          <w:rFonts w:ascii="Arial" w:hAnsi="Arial" w:cs="Arial"/>
          <w:lang w:eastAsia="en-GB"/>
        </w:rPr>
        <w:t>Jõgeva</w:t>
      </w:r>
      <w:r w:rsidR="00B92666" w:rsidRPr="00C16C64">
        <w:rPr>
          <w:rFonts w:ascii="Arial" w:hAnsi="Arial" w:cs="Arial"/>
          <w:lang w:eastAsia="en-GB"/>
        </w:rPr>
        <w:t xml:space="preserve"> linn, </w:t>
      </w:r>
      <w:r w:rsidR="001F0CB7">
        <w:rPr>
          <w:rFonts w:ascii="Arial" w:hAnsi="Arial" w:cs="Arial"/>
          <w:lang w:eastAsia="en-GB"/>
        </w:rPr>
        <w:t xml:space="preserve">Jõgeva </w:t>
      </w:r>
      <w:r w:rsidR="00B92666" w:rsidRPr="00C16C64">
        <w:rPr>
          <w:rFonts w:ascii="Arial" w:hAnsi="Arial" w:cs="Arial"/>
          <w:lang w:eastAsia="en-GB"/>
        </w:rPr>
        <w:t>maakond</w:t>
      </w:r>
      <w:r w:rsidR="00B92666" w:rsidRPr="00C16C64">
        <w:rPr>
          <w:rFonts w:ascii="Arial" w:hAnsi="Arial" w:cs="Arial"/>
          <w:b/>
          <w:lang w:eastAsia="en-GB"/>
        </w:rPr>
        <w:t xml:space="preserve">) </w:t>
      </w:r>
      <w:r w:rsidR="0055563D">
        <w:rPr>
          <w:rFonts w:ascii="Arial" w:hAnsi="Arial" w:cs="Arial"/>
          <w:b/>
        </w:rPr>
        <w:t>väli</w:t>
      </w:r>
      <w:r w:rsidR="00B92666" w:rsidRPr="00C16C64">
        <w:rPr>
          <w:rFonts w:ascii="Arial" w:hAnsi="Arial" w:cs="Arial"/>
          <w:b/>
        </w:rPr>
        <w:t>koristusteenuse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17E03AAD"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595A30">
        <w:rPr>
          <w:rFonts w:ascii="Arial" w:hAnsi="Arial" w:cs="Arial"/>
          <w:b/>
          <w:noProof/>
          <w:lang w:eastAsia="en-GB"/>
        </w:rPr>
        <w:t>12 204</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595A30">
        <w:rPr>
          <w:rFonts w:ascii="Arial" w:hAnsi="Arial" w:cs="Arial"/>
          <w:b/>
          <w:noProof/>
          <w:lang w:eastAsia="en-GB"/>
        </w:rPr>
        <w:t>339</w:t>
      </w:r>
      <w:r w:rsidR="002524B7">
        <w:rPr>
          <w:rFonts w:ascii="Arial" w:hAnsi="Arial" w:cs="Arial"/>
          <w:b/>
          <w:noProof/>
          <w:lang w:eastAsia="en-GB"/>
        </w:rPr>
        <w:t xml:space="preserve">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74A58779"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(lisat</w:t>
      </w:r>
      <w:r w:rsidR="00E05432">
        <w:rPr>
          <w:rFonts w:ascii="Arial" w:hAnsi="Arial" w:cs="Arial"/>
          <w:lang w:eastAsia="en-GB"/>
        </w:rPr>
        <w:t>eenused</w:t>
      </w:r>
      <w:r w:rsidR="00C7187A">
        <w:rPr>
          <w:rFonts w:ascii="Arial" w:hAnsi="Arial" w:cs="Arial"/>
          <w:lang w:eastAsia="en-GB"/>
        </w:rPr>
        <w:t xml:space="preserve">)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w:t>
      </w:r>
      <w:r w:rsidR="00E05432">
        <w:rPr>
          <w:rFonts w:ascii="Arial" w:hAnsi="Arial" w:cs="Arial"/>
          <w:lang w:eastAsia="en-GB"/>
        </w:rPr>
        <w:t>eenuste</w:t>
      </w:r>
      <w:r w:rsidR="00C7187A" w:rsidRPr="00955166">
        <w:rPr>
          <w:rFonts w:ascii="Arial" w:hAnsi="Arial" w:cs="Arial"/>
          <w:lang w:eastAsia="en-GB"/>
        </w:rPr>
        <w:t xml:space="preserve"> hinnakirja alusel. Kui lisat</w:t>
      </w:r>
      <w:r w:rsidR="00E05432">
        <w:rPr>
          <w:rFonts w:ascii="Arial" w:hAnsi="Arial" w:cs="Arial"/>
          <w:lang w:eastAsia="en-GB"/>
        </w:rPr>
        <w:t>eenus</w:t>
      </w:r>
      <w:r w:rsidR="00C7187A" w:rsidRPr="00955166">
        <w:rPr>
          <w:rFonts w:ascii="Arial" w:hAnsi="Arial" w:cs="Arial"/>
          <w:lang w:eastAsia="en-GB"/>
        </w:rPr>
        <w:t xml:space="preserve">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35A1C05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w:t>
      </w:r>
      <w:r w:rsidR="00E05432">
        <w:rPr>
          <w:rFonts w:ascii="Arial" w:hAnsi="Arial" w:cs="Arial"/>
          <w:lang w:eastAsia="en-GB"/>
        </w:rPr>
        <w:t>eenuste</w:t>
      </w:r>
      <w:r w:rsidRPr="00955166">
        <w:rPr>
          <w:rFonts w:ascii="Arial" w:hAnsi="Arial" w:cs="Arial"/>
          <w:lang w:eastAsia="en-GB"/>
        </w:rPr>
        <w:t xml:space="preserv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0D4B227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16754210" w14:textId="77777777" w:rsidR="00E05432" w:rsidRPr="0003558A" w:rsidRDefault="00E05432" w:rsidP="00E05432">
      <w:pPr>
        <w:spacing w:after="0" w:line="240" w:lineRule="auto"/>
        <w:jc w:val="both"/>
        <w:rPr>
          <w:rFonts w:ascii="Arial" w:hAnsi="Arial" w:cs="Arial"/>
          <w:lang w:eastAsia="en-GB"/>
        </w:rPr>
      </w:pPr>
    </w:p>
    <w:p w14:paraId="4271D775" w14:textId="77777777" w:rsidR="00EE7F78" w:rsidRPr="0003558A" w:rsidRDefault="00EE7F7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TÄHTAEG</w:t>
      </w:r>
    </w:p>
    <w:p w14:paraId="16035F35" w14:textId="773EE8CF"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556C32">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2F3EE8">
        <w:rPr>
          <w:rFonts w:ascii="Arial" w:eastAsia="Calibri" w:hAnsi="Arial" w:cs="Arial"/>
          <w:b/>
          <w:noProof/>
          <w:u w:val="single"/>
          <w:lang w:eastAsia="en-GB"/>
        </w:rPr>
        <w:t>202</w:t>
      </w:r>
      <w:r w:rsidR="00556C32">
        <w:rPr>
          <w:rFonts w:ascii="Arial" w:eastAsia="Calibri" w:hAnsi="Arial" w:cs="Arial"/>
          <w:b/>
          <w:noProof/>
          <w:u w:val="single"/>
          <w:lang w:eastAsia="en-GB"/>
        </w:rPr>
        <w:t>4</w:t>
      </w:r>
      <w:r w:rsidR="00AF694B" w:rsidRPr="00C16C64">
        <w:rPr>
          <w:rFonts w:ascii="Arial" w:eastAsia="Calibri" w:hAnsi="Arial" w:cs="Arial"/>
          <w:b/>
          <w:noProof/>
          <w:u w:val="single"/>
          <w:lang w:eastAsia="en-GB"/>
        </w:rPr>
        <w:t>;</w:t>
      </w:r>
    </w:p>
    <w:p w14:paraId="1A682A5B" w14:textId="22337C27"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556C32">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556C32">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63B9337F"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Kaitseliidu </w:t>
      </w:r>
      <w:r w:rsidR="00556C32">
        <w:rPr>
          <w:rFonts w:ascii="Arial" w:hAnsi="Arial" w:cs="Arial"/>
          <w:noProof/>
          <w:lang w:eastAsia="en-GB"/>
        </w:rPr>
        <w:t>Jõgeva</w:t>
      </w:r>
      <w:r>
        <w:rPr>
          <w:rFonts w:ascii="Arial" w:hAnsi="Arial" w:cs="Arial"/>
          <w:noProof/>
          <w:lang w:eastAsia="en-GB"/>
        </w:rPr>
        <w:t xml:space="preserve"> maleva </w:t>
      </w:r>
      <w:r w:rsidR="00556C32">
        <w:rPr>
          <w:rFonts w:ascii="Arial" w:hAnsi="Arial" w:cs="Arial"/>
          <w:noProof/>
          <w:lang w:eastAsia="en-GB"/>
        </w:rPr>
        <w:t>haldusspetsialist</w:t>
      </w:r>
      <w:r w:rsidRPr="00387E3F">
        <w:rPr>
          <w:rFonts w:ascii="Arial" w:hAnsi="Arial" w:cs="Arial"/>
          <w:b/>
          <w:noProof/>
          <w:lang w:eastAsia="en-GB"/>
        </w:rPr>
        <w:t xml:space="preserve"> </w:t>
      </w:r>
      <w:r w:rsidR="00556C32">
        <w:rPr>
          <w:rFonts w:ascii="Arial" w:hAnsi="Arial" w:cs="Arial"/>
          <w:b/>
          <w:noProof/>
          <w:lang w:eastAsia="en-GB"/>
        </w:rPr>
        <w:t>Liana Trahv</w:t>
      </w:r>
      <w:r w:rsidRPr="00387E3F">
        <w:rPr>
          <w:rFonts w:ascii="Arial" w:hAnsi="Arial" w:cs="Arial"/>
          <w:b/>
          <w:noProof/>
          <w:lang w:eastAsia="en-GB"/>
        </w:rPr>
        <w:t>,</w:t>
      </w:r>
      <w:r w:rsidRPr="00387E3F">
        <w:rPr>
          <w:rFonts w:ascii="Arial" w:hAnsi="Arial" w:cs="Arial"/>
          <w:noProof/>
          <w:lang w:eastAsia="en-GB"/>
        </w:rPr>
        <w:t xml:space="preserve"> e-post: </w:t>
      </w:r>
      <w:hyperlink r:id="rId6" w:history="1">
        <w:r w:rsidR="00556C32" w:rsidRPr="00CC22FA">
          <w:rPr>
            <w:rStyle w:val="Hyperlink"/>
            <w:rFonts w:ascii="Arial" w:hAnsi="Arial" w:cs="Arial"/>
            <w:noProof/>
            <w:lang w:eastAsia="en-GB"/>
          </w:rPr>
          <w:t>liana.trahv@kaitseliit.ee</w:t>
        </w:r>
      </w:hyperlink>
      <w:r w:rsidRPr="00387E3F">
        <w:rPr>
          <w:rFonts w:ascii="Arial" w:hAnsi="Arial" w:cs="Arial"/>
          <w:noProof/>
          <w:lang w:eastAsia="en-GB"/>
        </w:rPr>
        <w:t xml:space="preserve">, mob. +372 </w:t>
      </w:r>
      <w:r w:rsidR="00556C32">
        <w:rPr>
          <w:rFonts w:ascii="Arial" w:hAnsi="Arial" w:cs="Arial"/>
          <w:bCs/>
        </w:rPr>
        <w:t>5553 7520</w:t>
      </w:r>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2E94D80B" w14:textId="487001C6" w:rsidR="00227884" w:rsidRPr="00BD6187" w:rsidRDefault="00227884"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Pr="00BD6187">
        <w:rPr>
          <w:rFonts w:ascii="Arial" w:eastAsia="Calibri" w:hAnsi="Arial" w:cs="Arial"/>
          <w:noProof/>
        </w:rPr>
        <w:t xml:space="preserve"> </w:t>
      </w:r>
      <w:r w:rsidR="00BC40FC">
        <w:rPr>
          <w:rFonts w:ascii="Arial" w:eastAsia="Times New Roman" w:hAnsi="Arial" w:cs="Arial"/>
          <w:b/>
          <w:bCs/>
        </w:rPr>
        <w:t>Jallo Paavel</w:t>
      </w:r>
      <w:r w:rsidR="00BC40FC">
        <w:rPr>
          <w:rFonts w:ascii="Arial" w:eastAsia="Times New Roman" w:hAnsi="Arial" w:cs="Arial"/>
        </w:rPr>
        <w:t xml:space="preserve">, e-post: </w:t>
      </w:r>
      <w:hyperlink r:id="rId9" w:history="1">
        <w:r w:rsidR="00BC40FC">
          <w:rPr>
            <w:rStyle w:val="Hyperlink"/>
            <w:rFonts w:ascii="Arial" w:eastAsia="Times New Roman" w:hAnsi="Arial" w:cs="Arial"/>
            <w:lang w:val="en-US"/>
          </w:rPr>
          <w:t>jallo@jogevaelamu.ee</w:t>
        </w:r>
      </w:hyperlink>
      <w:r w:rsidR="00BC40FC">
        <w:rPr>
          <w:rFonts w:ascii="Arial" w:eastAsia="Times New Roman" w:hAnsi="Arial" w:cs="Arial"/>
        </w:rPr>
        <w:t xml:space="preserve">, </w:t>
      </w:r>
      <w:proofErr w:type="spellStart"/>
      <w:r w:rsidR="00BC40FC">
        <w:rPr>
          <w:rFonts w:ascii="Arial" w:eastAsia="Times New Roman" w:hAnsi="Arial" w:cs="Arial"/>
        </w:rPr>
        <w:t>mob</w:t>
      </w:r>
      <w:proofErr w:type="spellEnd"/>
      <w:r w:rsidR="00BC40FC">
        <w:rPr>
          <w:rFonts w:ascii="Arial" w:eastAsia="Times New Roman" w:hAnsi="Arial" w:cs="Arial"/>
        </w:rPr>
        <w:t>. +372 </w:t>
      </w:r>
      <w:r w:rsidR="00BC40FC">
        <w:rPr>
          <w:rFonts w:ascii="Arial" w:eastAsia="Times New Roman" w:hAnsi="Arial" w:cs="Arial"/>
          <w:lang w:val="en-US"/>
        </w:rPr>
        <w:t>507 3310</w:t>
      </w:r>
      <w:r w:rsidRPr="00BD6187">
        <w:rPr>
          <w:rFonts w:ascii="Arial" w:eastAsia="Calibri" w:hAnsi="Arial" w:cs="Arial"/>
          <w:noProof/>
        </w:rPr>
        <w:t>;</w:t>
      </w:r>
    </w:p>
    <w:p w14:paraId="420DC8FB" w14:textId="498B0AE8" w:rsidR="00240441" w:rsidRPr="00227884" w:rsidRDefault="00227884" w:rsidP="00227884">
      <w:pPr>
        <w:pStyle w:val="ListParagraph"/>
        <w:numPr>
          <w:ilvl w:val="2"/>
          <w:numId w:val="2"/>
        </w:numPr>
        <w:spacing w:after="0" w:line="240" w:lineRule="auto"/>
        <w:jc w:val="both"/>
        <w:rPr>
          <w:rFonts w:ascii="Arial" w:eastAsia="Calibri" w:hAnsi="Arial" w:cs="Arial"/>
          <w:noProof/>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eastAsia="Calibri" w:hAnsi="Arial" w:cs="Arial"/>
          <w:noProof/>
        </w:rPr>
        <w:t xml:space="preserve"> </w:t>
      </w:r>
      <w:r w:rsidR="00BC40FC">
        <w:rPr>
          <w:rFonts w:ascii="Arial" w:eastAsia="Times New Roman" w:hAnsi="Arial" w:cs="Arial"/>
          <w:b/>
          <w:bCs/>
        </w:rPr>
        <w:t>Kersti Eik</w:t>
      </w:r>
      <w:r w:rsidR="00BC40FC">
        <w:rPr>
          <w:rFonts w:ascii="Arial" w:eastAsia="Times New Roman" w:hAnsi="Arial" w:cs="Arial"/>
        </w:rPr>
        <w:t xml:space="preserve">, e-post: </w:t>
      </w:r>
      <w:hyperlink r:id="rId10" w:history="1">
        <w:r w:rsidR="00BC40FC" w:rsidRPr="00922579">
          <w:rPr>
            <w:rStyle w:val="Hyperlink"/>
            <w:rFonts w:ascii="Arial" w:eastAsia="Times New Roman" w:hAnsi="Arial" w:cs="Arial"/>
            <w:lang w:val="en-US"/>
          </w:rPr>
          <w:t>kersti@jogevaelamu.ee</w:t>
        </w:r>
      </w:hyperlink>
      <w:r w:rsidR="00BC40FC">
        <w:rPr>
          <w:rFonts w:ascii="Arial" w:eastAsia="Times New Roman" w:hAnsi="Arial" w:cs="Arial"/>
        </w:rPr>
        <w:t xml:space="preserve">, tel. +372 </w:t>
      </w:r>
      <w:r w:rsidR="00BC40FC">
        <w:rPr>
          <w:rFonts w:ascii="Arial" w:eastAsia="Times New Roman" w:hAnsi="Arial" w:cs="Arial"/>
          <w:lang w:val="en-US"/>
        </w:rPr>
        <w:t>776 6937</w:t>
      </w:r>
      <w:r w:rsidR="00BC40FC">
        <w:rPr>
          <w:rFonts w:ascii="Arial" w:eastAsia="Times New Roman" w:hAnsi="Arial" w:cs="Arial"/>
        </w:rPr>
        <w:t>.</w:t>
      </w:r>
      <w:r w:rsidR="00EE7F78" w:rsidRPr="00710F44">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Samuti kohustuvad Pooled hoidma konfidentsiaalsena teiselt Poolelt Lepingu alusel saadud informatsiooni ning mitte seda avaldama kolmandatele isikutele (sh. ajakirjandusele). </w:t>
      </w:r>
      <w:r w:rsidRPr="0003558A">
        <w:rPr>
          <w:rFonts w:ascii="Arial" w:hAnsi="Arial" w:cs="Arial"/>
          <w:noProof/>
          <w:lang w:eastAsia="en-GB"/>
        </w:rPr>
        <w:lastRenderedPageBreak/>
        <w:t>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25485773"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00BC40FC">
        <w:rPr>
          <w:rFonts w:ascii="Arial" w:hAnsi="Arial" w:cs="Arial"/>
          <w:lang w:eastAsia="en-GB"/>
        </w:rPr>
        <w:t>Kersti Eik</w:t>
      </w:r>
    </w:p>
    <w:p w14:paraId="0BC6F685" w14:textId="77777777"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t>juhatuse liige</w:t>
      </w:r>
    </w:p>
    <w:p w14:paraId="6AEBF5E6" w14:textId="14DA582F"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Pr="00BD6187">
        <w:rPr>
          <w:rFonts w:ascii="Arial" w:hAnsi="Arial" w:cs="Arial"/>
          <w:bCs/>
        </w:rPr>
        <w:t>+</w:t>
      </w:r>
      <w:r>
        <w:rPr>
          <w:rFonts w:ascii="Arial" w:hAnsi="Arial" w:cs="Arial"/>
          <w:bCs/>
        </w:rPr>
        <w:t xml:space="preserve">372 </w:t>
      </w:r>
      <w:r w:rsidR="00BC40FC">
        <w:rPr>
          <w:rFonts w:ascii="Arial" w:eastAsia="Times New Roman" w:hAnsi="Arial" w:cs="Arial"/>
          <w:lang w:val="en-US"/>
        </w:rPr>
        <w:t>776 6937</w:t>
      </w:r>
    </w:p>
    <w:p w14:paraId="2DA8E332" w14:textId="1CB2A027" w:rsidR="00A33978" w:rsidRDefault="00227884" w:rsidP="00227884">
      <w:pPr>
        <w:spacing w:after="0" w:line="240" w:lineRule="auto"/>
      </w:pPr>
      <w:r w:rsidRPr="00BD6187">
        <w:rPr>
          <w:rFonts w:ascii="Arial" w:hAnsi="Arial" w:cs="Arial"/>
          <w:lang w:eastAsia="en-GB"/>
        </w:rPr>
        <w:t xml:space="preserve">e-post: </w:t>
      </w:r>
      <w:hyperlink r:id="rId11"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e-post:</w:t>
      </w:r>
      <w:bookmarkStart w:id="0" w:name="_GoBack"/>
      <w:bookmarkEnd w:id="0"/>
      <w:r w:rsidRPr="00BD6187">
        <w:rPr>
          <w:rFonts w:ascii="Arial" w:hAnsi="Arial" w:cs="Arial"/>
          <w:lang w:eastAsia="en-GB"/>
        </w:rPr>
        <w:t xml:space="preserve"> </w:t>
      </w:r>
      <w:hyperlink r:id="rId12" w:history="1">
        <w:r w:rsidR="00BC40FC" w:rsidRPr="00922579">
          <w:rPr>
            <w:rStyle w:val="Hyperlink"/>
            <w:rFonts w:ascii="Arial" w:eastAsia="Times New Roman" w:hAnsi="Arial" w:cs="Arial"/>
            <w:lang w:val="en-US"/>
          </w:rPr>
          <w:t>kersti@jogevaelamu.ee</w:t>
        </w:r>
      </w:hyperlink>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0CB7"/>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537E1A"/>
    <w:rsid w:val="0055563D"/>
    <w:rsid w:val="00556C32"/>
    <w:rsid w:val="00592DDB"/>
    <w:rsid w:val="00595A30"/>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B10CD"/>
    <w:rsid w:val="009B3034"/>
    <w:rsid w:val="009F3BE6"/>
    <w:rsid w:val="00A0200B"/>
    <w:rsid w:val="00A33978"/>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C40FC"/>
    <w:rsid w:val="00BD587A"/>
    <w:rsid w:val="00C1075F"/>
    <w:rsid w:val="00C16C64"/>
    <w:rsid w:val="00C7187A"/>
    <w:rsid w:val="00C92DDD"/>
    <w:rsid w:val="00CA16EF"/>
    <w:rsid w:val="00CA6CC5"/>
    <w:rsid w:val="00D427F6"/>
    <w:rsid w:val="00D46944"/>
    <w:rsid w:val="00D4752D"/>
    <w:rsid w:val="00D77778"/>
    <w:rsid w:val="00D85523"/>
    <w:rsid w:val="00DB44FD"/>
    <w:rsid w:val="00DE1C31"/>
    <w:rsid w:val="00DF5211"/>
    <w:rsid w:val="00E04DD6"/>
    <w:rsid w:val="00E05432"/>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hyperlink" Target="mailto:kersti@jogevaelam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margit.peterson@kaitseliit.ee" TargetMode="External"/><Relationship Id="rId5" Type="http://schemas.openxmlformats.org/officeDocument/2006/relationships/hyperlink" Target="http://www.pangaliit.ee/et/arveldused/e-arve" TargetMode="External"/><Relationship Id="rId10" Type="http://schemas.openxmlformats.org/officeDocument/2006/relationships/hyperlink" Target="mailto:kersti@jogevaelamu.ee" TargetMode="External"/><Relationship Id="rId4" Type="http://schemas.openxmlformats.org/officeDocument/2006/relationships/webSettings" Target="webSettings.xml"/><Relationship Id="rId9" Type="http://schemas.openxmlformats.org/officeDocument/2006/relationships/hyperlink" Target="mailto:jallo@jogevaelamu.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3414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13</cp:revision>
  <cp:lastPrinted>2021-04-12T05:28:00Z</cp:lastPrinted>
  <dcterms:created xsi:type="dcterms:W3CDTF">2022-09-09T09:44:00Z</dcterms:created>
  <dcterms:modified xsi:type="dcterms:W3CDTF">2024-05-03T06:59:00Z</dcterms:modified>
</cp:coreProperties>
</file>