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kern w:val="2"/>
          <w:sz w:val="24"/>
          <w:szCs w:val="24"/>
          <w:lang w:val="en-GB"/>
        </w:rPr>
      </w:pPr>
      <w:r>
        <w:rPr>
          <w:b/>
          <w:bCs/>
          <w:kern w:val="2"/>
          <w:sz w:val="24"/>
          <w:szCs w:val="24"/>
          <w:lang w:val="en-GB"/>
        </w:rPr>
        <w:t>Taotlusvorm riigieelarvelise toetuse taotlemiseks</w:t>
      </w:r>
    </w:p>
    <w:p>
      <w:pPr>
        <w:pStyle w:val="Normal"/>
        <w:jc w:val="center"/>
        <w:rPr>
          <w:b/>
          <w:b/>
          <w:bCs/>
          <w:kern w:val="2"/>
          <w:sz w:val="24"/>
          <w:szCs w:val="24"/>
          <w:lang w:val="en-GB"/>
        </w:rPr>
      </w:pPr>
      <w:r>
        <w:rPr>
          <w:b/>
          <w:bCs/>
          <w:kern w:val="2"/>
          <w:sz w:val="24"/>
          <w:szCs w:val="24"/>
          <w:lang w:val="en-GB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34"/>
        <w:gridCol w:w="5727"/>
      </w:tblGrid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kern w:val="2"/>
                <w:sz w:val="24"/>
                <w:szCs w:val="24"/>
                <w:lang w:val="en-GB"/>
              </w:rPr>
            </w:pPr>
            <w:r>
              <w:rPr>
                <w:bCs/>
                <w:kern w:val="2"/>
                <w:sz w:val="24"/>
                <w:szCs w:val="24"/>
                <w:lang w:val="en-GB"/>
              </w:rPr>
              <w:t>Taotleja nimi ja registrikood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 xml:space="preserve">MTÜ Kärksikurv 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8"/>
                <w:szCs w:val="28"/>
                <w:lang w:val="en-GB"/>
              </w:rPr>
            </w:pPr>
            <w:r>
              <w:rPr>
                <w:b/>
                <w:bCs/>
                <w:kern w:val="2"/>
                <w:sz w:val="28"/>
                <w:szCs w:val="28"/>
                <w:lang w:val="en-GB"/>
              </w:rPr>
              <w:t>Kärksi k. Tartu v. Tartumaa  49112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Toetuse saaja arvelduskonto number, viitenumber, pank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Swedbank  142200221066777897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kern w:val="2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Taotletav summa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i/>
                <w:i/>
                <w:color w:val="808080"/>
                <w:kern w:val="2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"/>
                <w:sz w:val="24"/>
                <w:szCs w:val="24"/>
                <w:lang w:val="en-GB"/>
              </w:rPr>
              <w:t>5000 eur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Toetuse nimetus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i/>
                <w:i/>
                <w:color w:val="808080"/>
                <w:kern w:val="2"/>
                <w:sz w:val="24"/>
                <w:szCs w:val="24"/>
              </w:rPr>
            </w:pPr>
            <w:r>
              <w:rPr>
                <w:bCs/>
                <w:i/>
                <w:color w:val="808080"/>
                <w:kern w:val="2"/>
                <w:sz w:val="24"/>
                <w:szCs w:val="24"/>
              </w:rPr>
              <w:t>Külakogukonna tegevused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Taotleja veebileht (kui on)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Allkirjastaja nimi ja ametikoht (telefon ja e-posti aadress)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Tiiu Sarv   ,külavanem</w:t>
            </w:r>
          </w:p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58014338    tsarv@hot.ee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Projektijuhi nimi ja kontaktandmed (telefon ja </w:t>
              <w:br/>
              <w:t xml:space="preserve">e-posti aadress)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Tiiu Sarv</w:t>
            </w:r>
          </w:p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58014338     tsarv@hot.ee</w:t>
            </w:r>
          </w:p>
        </w:tc>
      </w:tr>
      <w:tr>
        <w:trPr/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algus ja lõpp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"/>
                <w:sz w:val="24"/>
                <w:szCs w:val="24"/>
                <w:lang w:val="en-GB"/>
              </w:rPr>
              <w:t>10. 03.2023 – 20.10.2023</w:t>
            </w:r>
          </w:p>
        </w:tc>
      </w:tr>
    </w:tbl>
    <w:p>
      <w:pPr>
        <w:pStyle w:val="Normal"/>
        <w:jc w:val="center"/>
        <w:rPr>
          <w:b/>
          <w:b/>
          <w:bCs/>
          <w:kern w:val="2"/>
          <w:sz w:val="24"/>
          <w:szCs w:val="24"/>
          <w:lang w:val="en-GB"/>
        </w:rPr>
      </w:pPr>
      <w:r>
        <w:rPr>
          <w:b/>
          <w:bCs/>
          <w:kern w:val="2"/>
          <w:sz w:val="24"/>
          <w:szCs w:val="24"/>
          <w:lang w:val="en-GB"/>
        </w:rPr>
      </w:r>
    </w:p>
    <w:p>
      <w:pPr>
        <w:pStyle w:val="Normal"/>
        <w:jc w:val="center"/>
        <w:rPr>
          <w:b/>
          <w:b/>
          <w:bCs/>
          <w:kern w:val="2"/>
          <w:sz w:val="24"/>
          <w:szCs w:val="24"/>
          <w:lang w:val="en-GB"/>
        </w:rPr>
      </w:pPr>
      <w:r>
        <w:rPr>
          <w:b/>
          <w:bCs/>
          <w:kern w:val="2"/>
          <w:sz w:val="24"/>
          <w:szCs w:val="24"/>
          <w:lang w:val="en-GB"/>
        </w:rPr>
      </w:r>
    </w:p>
    <w:p>
      <w:pPr>
        <w:pStyle w:val="Normal"/>
        <w:jc w:val="center"/>
        <w:rPr>
          <w:b/>
          <w:b/>
          <w:bCs/>
          <w:kern w:val="2"/>
          <w:sz w:val="24"/>
          <w:szCs w:val="24"/>
          <w:lang w:val="en-GB"/>
        </w:rPr>
      </w:pPr>
      <w:r>
        <w:rPr>
          <w:b/>
          <w:bCs/>
          <w:kern w:val="2"/>
          <w:sz w:val="24"/>
          <w:szCs w:val="24"/>
          <w:lang w:val="en-GB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2269"/>
        <w:gridCol w:w="3113"/>
      </w:tblGrid>
      <w:tr>
        <w:trPr>
          <w:trHeight w:val="152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b/>
                <w:b/>
                <w:bCs/>
                <w:kern w:val="2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Lühiülevaade taotleja senisest tegevusest </w:t>
            </w:r>
          </w:p>
        </w:tc>
      </w:tr>
      <w:tr>
        <w:trPr>
          <w:trHeight w:val="1417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Kooskäimist oleme alustanu 2009a. 2015 oleme MTÜ KÄRKSIKURV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Käime koos tähtpäevade,,vastlapäevad, volber, jaanipäev jne,,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2017a.omasime külamaja ja 2021 grillmaja. Oleme osa võtnud valla advendiküünla süütamise üritustest. Meil on esinemas käinud  Väägvere puhkpilli orkester  ,valla naisansambel rahvateatreid . Metsamoor Jrje  Karjus ja samaan Hely Ayera.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Projekti eesmärk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Mida soovitakse projekti elluviimisega saavutada? Eesmärk esitatakse taotletava tulemusena, mitte tegevusena.</w:t>
            </w:r>
          </w:p>
        </w:tc>
      </w:tr>
      <w:tr>
        <w:trPr>
          <w:trHeight w:val="1417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Külarahval on kooskäimis tahe ja külalapsed suhtlevad üksteistega . Külarahvas on saanud teadmisi ja nautinud etendust.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Külamaja on korrastatud.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Projekti vajalikkuse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põhjendus  </w:t>
            </w:r>
          </w:p>
          <w:p>
            <w:pPr>
              <w:pStyle w:val="Normal"/>
              <w:widowControl w:val="false"/>
              <w:rPr>
                <w:b/>
                <w:b/>
                <w:bCs/>
                <w:iCs/>
                <w:kern w:val="2"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</w:rPr>
              <w:t>Kirjeldage lühidalt probleemi, mis näitab projekti elluviimise vajalikkust. Mida on vaja muuta ja miks?</w:t>
            </w:r>
          </w:p>
        </w:tc>
      </w:tr>
      <w:tr>
        <w:trPr>
          <w:trHeight w:val="1417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Külarahvas saab omavahel  tuttavamaks, lähedamaks..Lapsed külas käivad 3 erinevas lasteaias ja koolis,,Tabiveres, Lähtel ,Tartus,,ja lastel selletõttu suhtlus vähene. Täiskasvanud, kes pole pensionil, käivad samuti külast erikohtades tööl 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Planeeritud üritustel külarahva heakskiit.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  <w:lang w:eastAsia="et-EE"/>
              </w:rPr>
            </w:pPr>
            <w:r>
              <w:rPr>
                <w:b/>
                <w:sz w:val="24"/>
                <w:szCs w:val="24"/>
              </w:rPr>
              <w:t>4. Projekti tegevused  (loeteluna) ja väljundid</w:t>
            </w:r>
            <w:r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>
            <w:pPr>
              <w:pStyle w:val="Normal"/>
              <w:widowControl w:val="false"/>
              <w:rPr>
                <w:b/>
                <w:b/>
                <w:bCs/>
                <w:iCs/>
                <w:kern w:val="2"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</w:rPr>
              <w:t>Tegevus- ja ajakava. Investeeringutoetuse puhul näidake ära, kas objekt, millesse investeeritakse, on toetuse saaja omandis või halduses; soetuse puhul selgitage, kuidas on tagatud soetuse edasine kasutus.</w:t>
            </w:r>
          </w:p>
        </w:tc>
      </w:tr>
      <w:tr>
        <w:trPr>
          <w:trHeight w:val="1417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Teavitustegevus enne üritusite läbiviimist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.1 Enesearengu koolitus 2grupis meestele ja naistele koos töötubadega. Mõte,et inimesed rahulikumad. Koolitus toimub 1 päeval.Läbiviiad Kristel Treier Kuutemel UÜ koos abikaasaga.Toimumisaeg 10 -30 märtsi vahemikus.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Monoetendus Andres Dvinjaninovilt  tomub 8 juuni. Etendus toimub meie külaplatsil.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Janek Kivisalu,Laste Peojuht . See on lastele suunatud üritus  koos vanematega.. Osaleb orjenteeruvalt 20 last.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 Külamaja ja grillmaja korrastamistöö. ,,värvimine  seest, väljast ja parandustööd,, ja külasildi tegemine külaplatsile.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Projekti elluviimisest (tulemustest) saadav kasu sihtrühmale/kogukonnale</w:t>
            </w:r>
          </w:p>
        </w:tc>
      </w:tr>
      <w:tr>
        <w:trPr>
          <w:trHeight w:val="1417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tekiks suurem kooskäimis harjumus külarahvale , nende peredele.Kärksi küla tegevus on haaratud ka lähiküladesse ,,Mullavere, Õvanurme, Raigastvere.</w:t>
            </w:r>
          </w:p>
        </w:tc>
      </w:tr>
      <w:tr>
        <w:trPr>
          <w:trHeight w:val="541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Märkused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Kuutempel UÜ koolitus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 eur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800euri koolitajatele ja 200</w:t>
            </w:r>
            <w:r>
              <w:rPr>
                <w:sz w:val="24"/>
                <w:szCs w:val="24"/>
              </w:rPr>
              <w:t>eur.</w:t>
            </w:r>
            <w:r>
              <w:rPr>
                <w:sz w:val="24"/>
                <w:szCs w:val="24"/>
              </w:rPr>
              <w:t xml:space="preserve"> läbiviimiskulu,,bensiin külaplatsi korrastuseks,generaatori töös hodmiseks, kohvipaus osa võtt umbes 30 inimest </w:t>
            </w:r>
            <w:r>
              <w:rPr>
                <w:sz w:val="24"/>
                <w:szCs w:val="24"/>
              </w:rPr>
              <w:t>ja väikekulud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Andres Dvinjaninovi etendus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1700 eur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1500eur näitlejale ja 200eur läbiviimiskulu,,bensiin kohvipaus </w:t>
            </w:r>
            <w:r>
              <w:rPr>
                <w:sz w:val="24"/>
                <w:szCs w:val="24"/>
              </w:rPr>
              <w:t>väikekulu</w:t>
            </w:r>
            <w:r>
              <w:rPr>
                <w:sz w:val="24"/>
                <w:szCs w:val="24"/>
              </w:rPr>
              <w:t>,, Arvestavalt osalejaid 40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Janek ,,Laste peokorraldaja,,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800eur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r>
              <w:rPr>
                <w:sz w:val="24"/>
                <w:szCs w:val="24"/>
              </w:rPr>
              <w:t xml:space="preserve">eur. </w:t>
            </w:r>
            <w:r>
              <w:rPr>
                <w:sz w:val="24"/>
                <w:szCs w:val="24"/>
              </w:rPr>
              <w:t xml:space="preserve"> peokorraldajale  ja 200</w:t>
            </w:r>
            <w:r>
              <w:rPr>
                <w:sz w:val="24"/>
                <w:szCs w:val="24"/>
              </w:rPr>
              <w:t>eur.</w:t>
            </w:r>
            <w:r>
              <w:rPr>
                <w:sz w:val="24"/>
                <w:szCs w:val="24"/>
              </w:rPr>
              <w:t xml:space="preserve"> läbiviimiskulu ,, bensiin, kohvipaus,, võtab osa kesmiselt 40 osalejat. </w:t>
            </w:r>
            <w:r>
              <w:rPr>
                <w:sz w:val="24"/>
                <w:szCs w:val="24"/>
              </w:rPr>
              <w:t>Väikekulu.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Külaplatsi korrastus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1500eur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Selle töö teostuseks on 2 pakkumist  ja  töö sisaldab  pindade puhastust, värvimist </w:t>
            </w:r>
            <w:r>
              <w:rPr>
                <w:sz w:val="24"/>
                <w:szCs w:val="24"/>
              </w:rPr>
              <w:t xml:space="preserve">külamajal </w:t>
            </w:r>
            <w:r>
              <w:rPr>
                <w:sz w:val="24"/>
                <w:szCs w:val="24"/>
              </w:rPr>
              <w:t xml:space="preserve"> nii seest. kui väljast. Grillmaja värvimine väljast. Külamaja pinkide  ja laua parandustööd, riiuli ehitus, akna parandus. Samuti külaplatsile  nimesildi. </w:t>
            </w:r>
            <w:r>
              <w:rPr>
                <w:sz w:val="24"/>
                <w:szCs w:val="24"/>
              </w:rPr>
              <w:t>valmistamineVärvid puhastusmaterjalid ja kõik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muu kuulub hinna sisse.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>
        <w:trPr>
          <w:trHeight w:val="58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5000eur.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69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Kui rahastate planeeritavat projekti / investeeringut käesoleva taotluse alusel ainult osaliselt, kirjeldage lühidalt kogu projekti</w:t>
            </w:r>
            <w:r>
              <w:rPr>
                <w:i/>
                <w:iCs/>
                <w:sz w:val="24"/>
                <w:szCs w:val="24"/>
              </w:rPr>
              <w:t>, sh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kui suur on kogueelarve, kes on kaasrahastaja </w:t>
            </w:r>
          </w:p>
        </w:tc>
      </w:tr>
      <w:tr>
        <w:trPr>
          <w:trHeight w:val="669" w:hRule="atLeast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caps/>
          <w:sz w:val="22"/>
          <w:szCs w:val="22"/>
          <w:lang w:eastAsia="et-EE"/>
        </w:rPr>
      </w:pPr>
      <w:r>
        <w:rPr>
          <w:caps/>
          <w:sz w:val="22"/>
          <w:szCs w:val="22"/>
          <w:lang w:eastAsia="et-EE"/>
        </w:rPr>
        <w:t>KINNITAN, ET MAKSUVÕLGA RIIKLIKE MAKSUDE OSAS EI OLE.</w:t>
      </w:r>
    </w:p>
    <w:p>
      <w:pPr>
        <w:pStyle w:val="ListParagraph"/>
        <w:numPr>
          <w:ilvl w:val="0"/>
          <w:numId w:val="1"/>
        </w:numPr>
        <w:rPr>
          <w:caps/>
          <w:sz w:val="22"/>
          <w:szCs w:val="22"/>
          <w:lang w:eastAsia="et-EE"/>
        </w:rPr>
      </w:pPr>
      <w:r>
        <w:rPr>
          <w:caps/>
          <w:sz w:val="22"/>
          <w:szCs w:val="22"/>
          <w:lang w:eastAsia="et-EE"/>
        </w:rPr>
        <w:t>KINNITAN, ET EI OLE ALUSTATUD PANKROTI- EGA LIKVIDEERIMISMENETLUST.</w:t>
      </w:r>
    </w:p>
    <w:p>
      <w:pPr>
        <w:pStyle w:val="ListParagraph"/>
        <w:numPr>
          <w:ilvl w:val="0"/>
          <w:numId w:val="1"/>
        </w:numPr>
        <w:rPr>
          <w:caps/>
          <w:sz w:val="22"/>
          <w:szCs w:val="22"/>
          <w:lang w:eastAsia="et-EE"/>
        </w:rPr>
      </w:pPr>
      <w:r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>
      <w:pPr>
        <w:pStyle w:val="ListParagraph"/>
        <w:numPr>
          <w:ilvl w:val="0"/>
          <w:numId w:val="1"/>
        </w:numPr>
        <w:rPr>
          <w:caps/>
          <w:sz w:val="22"/>
          <w:szCs w:val="22"/>
          <w:lang w:eastAsia="et-EE"/>
        </w:rPr>
      </w:pPr>
      <w:r>
        <w:rPr>
          <w:caps/>
          <w:sz w:val="22"/>
          <w:szCs w:val="22"/>
          <w:lang w:eastAsia="et-EE"/>
        </w:rPr>
        <w:t>KINNITAN, ET MAJANDUSAASTA ARUANNE ON ESITATUD.</w:t>
      </w:r>
    </w:p>
    <w:p>
      <w:pPr>
        <w:pStyle w:val="ListParagraph"/>
        <w:numPr>
          <w:ilvl w:val="0"/>
          <w:numId w:val="1"/>
        </w:numPr>
        <w:rPr>
          <w:caps/>
          <w:sz w:val="22"/>
          <w:szCs w:val="22"/>
          <w:lang w:eastAsia="et-EE"/>
        </w:rPr>
      </w:pPr>
      <w:r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>
      <w:pPr>
        <w:pStyle w:val="Normal"/>
        <w:rPr>
          <w:lang w:eastAsia="et-EE"/>
        </w:rPr>
      </w:pPr>
      <w:r>
        <w:rPr>
          <w:lang w:eastAsia="et-EE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Taotluse koostaja:  Tiiu Sarv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(allkirjastatud digitaalselt)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unhideWhenUsed/>
    <w:rsid w:val="00006fde"/>
    <w:rPr>
      <w:color w:val="0000FF"/>
      <w:u w:val="single"/>
    </w:rPr>
  </w:style>
  <w:style w:type="character" w:styleId="HeaderChar" w:customStyle="1">
    <w:name w:val="Header Char"/>
    <w:link w:val="Header"/>
    <w:uiPriority w:val="99"/>
    <w:qFormat/>
    <w:rsid w:val="00b868e5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link w:val="Footer"/>
    <w:uiPriority w:val="99"/>
    <w:qFormat/>
    <w:rsid w:val="00b868e5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520042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520042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qFormat/>
    <w:rsid w:val="0052004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BalloonTextChar" w:customStyle="1">
    <w:name w:val="Balloon Text Char"/>
    <w:link w:val="BalloonText"/>
    <w:uiPriority w:val="99"/>
    <w:semiHidden/>
    <w:qFormat/>
    <w:rsid w:val="00520042"/>
    <w:rPr>
      <w:rFonts w:ascii="Tahoma" w:hAnsi="Tahoma" w:eastAsia="Times New Roman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06f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b868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FooterChar"/>
    <w:uiPriority w:val="99"/>
    <w:unhideWhenUsed/>
    <w:rsid w:val="00b868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20042"/>
    <w:pPr/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2004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00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0d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3</Pages>
  <Words>556</Words>
  <Characters>4007</Characters>
  <CharactersWithSpaces>4539</CharactersWithSpaces>
  <Paragraphs>69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2022-02-09T12:09:00Z</dcterms:created>
  <dc:creator>Aveli Ainsalu</dc:creator>
  <dc:description/>
  <dc:language>et-EE</dc:language>
  <cp:lastModifiedBy/>
  <dcterms:modified xsi:type="dcterms:W3CDTF">2023-01-26T19:32:41Z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SMIT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