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C7CBE" w14:textId="438B24E1" w:rsidR="00F53F35" w:rsidRPr="0080269B" w:rsidRDefault="00490972" w:rsidP="0080269B">
      <w:pPr>
        <w:spacing w:after="0" w:line="240" w:lineRule="auto"/>
        <w:rPr>
          <w:rFonts w:ascii="Times New Roman" w:hAnsi="Times New Roman" w:cs="Times New Roman"/>
          <w:b/>
          <w:bCs/>
          <w:sz w:val="24"/>
          <w:szCs w:val="24"/>
        </w:rPr>
      </w:pPr>
      <w:r w:rsidRPr="00490972">
        <w:rPr>
          <w:rFonts w:ascii="Times New Roman" w:hAnsi="Times New Roman" w:cs="Times New Roman"/>
          <w:b/>
          <w:bCs/>
          <w:sz w:val="24"/>
          <w:szCs w:val="24"/>
        </w:rPr>
        <w:t xml:space="preserve">Põhikooli- ja gümnaasiumiseaduse muutmise ja sellega seonduvalt teiste seaduste muutmise seaduse (toetuste tõstmine kohaliku omavalitsuse üksuste tulubaasi) eelnõu </w:t>
      </w:r>
      <w:r w:rsidR="00453502">
        <w:rPr>
          <w:rFonts w:ascii="Times New Roman" w:hAnsi="Times New Roman" w:cs="Times New Roman"/>
          <w:b/>
          <w:bCs/>
          <w:sz w:val="24"/>
          <w:szCs w:val="24"/>
        </w:rPr>
        <w:t>k</w:t>
      </w:r>
      <w:r w:rsidR="0080269B" w:rsidRPr="0080269B">
        <w:rPr>
          <w:rFonts w:ascii="Times New Roman" w:hAnsi="Times New Roman" w:cs="Times New Roman"/>
          <w:b/>
          <w:bCs/>
          <w:sz w:val="24"/>
          <w:szCs w:val="24"/>
        </w:rPr>
        <w:t xml:space="preserve">ooskõlastusringi </w:t>
      </w:r>
      <w:r w:rsidR="00453502">
        <w:rPr>
          <w:rFonts w:ascii="Times New Roman" w:hAnsi="Times New Roman" w:cs="Times New Roman"/>
          <w:b/>
          <w:bCs/>
          <w:sz w:val="24"/>
          <w:szCs w:val="24"/>
        </w:rPr>
        <w:t xml:space="preserve">märkuste </w:t>
      </w:r>
      <w:r w:rsidR="0080269B" w:rsidRPr="0080269B">
        <w:rPr>
          <w:rFonts w:ascii="Times New Roman" w:hAnsi="Times New Roman" w:cs="Times New Roman"/>
          <w:b/>
          <w:bCs/>
          <w:sz w:val="24"/>
          <w:szCs w:val="24"/>
        </w:rPr>
        <w:t>tabel</w:t>
      </w:r>
    </w:p>
    <w:p w14:paraId="7415F495" w14:textId="77777777" w:rsidR="0080269B" w:rsidRPr="0080269B" w:rsidRDefault="0080269B" w:rsidP="0080269B">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3"/>
        <w:gridCol w:w="4389"/>
      </w:tblGrid>
      <w:tr w:rsidR="0080269B" w:rsidRPr="0051610E" w14:paraId="20D665A5" w14:textId="77777777" w:rsidTr="0080269B">
        <w:tc>
          <w:tcPr>
            <w:tcW w:w="4673" w:type="dxa"/>
          </w:tcPr>
          <w:p w14:paraId="3F711C73" w14:textId="1E881293" w:rsidR="0080269B" w:rsidRPr="0051610E" w:rsidRDefault="005C5F62" w:rsidP="00BF2FA0">
            <w:pPr>
              <w:rPr>
                <w:rFonts w:ascii="Times New Roman" w:hAnsi="Times New Roman" w:cs="Times New Roman"/>
                <w:b/>
                <w:bCs/>
                <w:color w:val="44546A" w:themeColor="text2"/>
              </w:rPr>
            </w:pPr>
            <w:r w:rsidRPr="0051610E">
              <w:rPr>
                <w:rFonts w:ascii="Times New Roman" w:hAnsi="Times New Roman" w:cs="Times New Roman"/>
                <w:b/>
                <w:bCs/>
                <w:color w:val="44546A" w:themeColor="text2"/>
              </w:rPr>
              <w:t>Sotsiaalministeerium</w:t>
            </w:r>
          </w:p>
        </w:tc>
        <w:tc>
          <w:tcPr>
            <w:tcW w:w="4389" w:type="dxa"/>
          </w:tcPr>
          <w:p w14:paraId="715D3C12" w14:textId="77777777" w:rsidR="0080269B" w:rsidRPr="0051610E" w:rsidRDefault="0080269B" w:rsidP="0080269B">
            <w:pPr>
              <w:rPr>
                <w:rFonts w:ascii="Times New Roman" w:hAnsi="Times New Roman" w:cs="Times New Roman"/>
              </w:rPr>
            </w:pPr>
          </w:p>
        </w:tc>
      </w:tr>
      <w:tr w:rsidR="00FA3CD0" w:rsidRPr="0051610E" w14:paraId="1B1F3163" w14:textId="77777777" w:rsidTr="0080269B">
        <w:tc>
          <w:tcPr>
            <w:tcW w:w="4673" w:type="dxa"/>
          </w:tcPr>
          <w:p w14:paraId="5C061C05" w14:textId="4B26D234" w:rsidR="00FA3CD0" w:rsidRPr="0051610E" w:rsidRDefault="005C5F62" w:rsidP="006118DF">
            <w:pPr>
              <w:rPr>
                <w:rFonts w:ascii="Times New Roman" w:hAnsi="Times New Roman" w:cs="Times New Roman"/>
              </w:rPr>
            </w:pPr>
            <w:r w:rsidRPr="0051610E">
              <w:rPr>
                <w:rFonts w:ascii="Times New Roman" w:hAnsi="Times New Roman" w:cs="Times New Roman"/>
              </w:rPr>
              <w:t>Kuna muudetakse kehtetuks SHS § 156 lõiked 3</w:t>
            </w:r>
            <w:r w:rsidRPr="0051610E">
              <w:rPr>
                <w:rFonts w:ascii="Times New Roman" w:hAnsi="Times New Roman" w:cs="Times New Roman"/>
                <w:vertAlign w:val="superscript"/>
              </w:rPr>
              <w:t>1</w:t>
            </w:r>
            <w:r w:rsidRPr="0051610E">
              <w:rPr>
                <w:rFonts w:ascii="Times New Roman" w:hAnsi="Times New Roman" w:cs="Times New Roman"/>
              </w:rPr>
              <w:t>–3</w:t>
            </w:r>
            <w:r w:rsidRPr="0051610E">
              <w:rPr>
                <w:rFonts w:ascii="Times New Roman" w:hAnsi="Times New Roman" w:cs="Times New Roman"/>
                <w:vertAlign w:val="superscript"/>
              </w:rPr>
              <w:t>3</w:t>
            </w:r>
            <w:r w:rsidRPr="0051610E">
              <w:rPr>
                <w:rFonts w:ascii="Times New Roman" w:hAnsi="Times New Roman" w:cs="Times New Roman"/>
              </w:rPr>
              <w:t>, siis tuleb ka muud viited SHSis nendele sätetele ära muuta. Sellised viited on § 45</w:t>
            </w:r>
            <w:r w:rsidRPr="0051610E">
              <w:rPr>
                <w:rFonts w:ascii="Times New Roman" w:hAnsi="Times New Roman" w:cs="Times New Roman"/>
                <w:vertAlign w:val="superscript"/>
              </w:rPr>
              <w:t>2</w:t>
            </w:r>
            <w:r w:rsidRPr="0051610E">
              <w:rPr>
                <w:rFonts w:ascii="Times New Roman" w:hAnsi="Times New Roman" w:cs="Times New Roman"/>
              </w:rPr>
              <w:t xml:space="preserve"> lõikes 3 (tuleks ka kehtetuks tunnistada) ja § 144 lõike 1 punktis 7 (tuleks jätta välja viide § 156 lõikele 3</w:t>
            </w:r>
            <w:r w:rsidRPr="0051610E">
              <w:rPr>
                <w:rFonts w:ascii="Times New Roman" w:hAnsi="Times New Roman" w:cs="Times New Roman"/>
                <w:vertAlign w:val="superscript"/>
              </w:rPr>
              <w:t>2</w:t>
            </w:r>
            <w:r w:rsidRPr="0051610E">
              <w:rPr>
                <w:rFonts w:ascii="Times New Roman" w:hAnsi="Times New Roman" w:cs="Times New Roman"/>
              </w:rPr>
              <w:t>, sättesse jääb vaid viide teenustele). Palun lisage eelnõusse ka nende sätete muudatused.</w:t>
            </w:r>
          </w:p>
        </w:tc>
        <w:tc>
          <w:tcPr>
            <w:tcW w:w="4389" w:type="dxa"/>
          </w:tcPr>
          <w:p w14:paraId="3A0CE4BB" w14:textId="7F2E47DE" w:rsidR="00FA3CD0" w:rsidRPr="0051610E" w:rsidRDefault="005C5F62" w:rsidP="00FA3CD0">
            <w:pPr>
              <w:rPr>
                <w:rFonts w:ascii="Times New Roman" w:hAnsi="Times New Roman" w:cs="Times New Roman"/>
                <w:b/>
                <w:bCs/>
              </w:rPr>
            </w:pPr>
            <w:r w:rsidRPr="0051610E">
              <w:rPr>
                <w:rFonts w:ascii="Times New Roman" w:hAnsi="Times New Roman" w:cs="Times New Roman"/>
                <w:b/>
                <w:bCs/>
              </w:rPr>
              <w:t>A</w:t>
            </w:r>
            <w:r w:rsidR="00FA3CD0" w:rsidRPr="0051610E">
              <w:rPr>
                <w:rFonts w:ascii="Times New Roman" w:hAnsi="Times New Roman" w:cs="Times New Roman"/>
                <w:b/>
                <w:bCs/>
              </w:rPr>
              <w:t>rvestatud</w:t>
            </w:r>
          </w:p>
          <w:p w14:paraId="7EC62D89" w14:textId="77777777" w:rsidR="00FA3CD0" w:rsidRPr="0051610E" w:rsidRDefault="00FA3CD0" w:rsidP="00FA3CD0">
            <w:pPr>
              <w:rPr>
                <w:rFonts w:ascii="Times New Roman" w:hAnsi="Times New Roman" w:cs="Times New Roman"/>
              </w:rPr>
            </w:pPr>
          </w:p>
          <w:p w14:paraId="13CDCAB9" w14:textId="77777777" w:rsidR="00FA3CD0" w:rsidRPr="0051610E" w:rsidRDefault="00FA3CD0" w:rsidP="00FA3CD0">
            <w:pPr>
              <w:rPr>
                <w:rFonts w:ascii="Times New Roman" w:hAnsi="Times New Roman" w:cs="Times New Roman"/>
              </w:rPr>
            </w:pPr>
          </w:p>
          <w:p w14:paraId="716DC4AE" w14:textId="71E85358" w:rsidR="00FA3CD0" w:rsidRPr="0051610E" w:rsidRDefault="00FA3CD0" w:rsidP="00FA3CD0">
            <w:pPr>
              <w:rPr>
                <w:rFonts w:ascii="Times New Roman" w:hAnsi="Times New Roman" w:cs="Times New Roman"/>
              </w:rPr>
            </w:pPr>
          </w:p>
        </w:tc>
      </w:tr>
      <w:tr w:rsidR="002E0346" w:rsidRPr="0051610E" w14:paraId="2FE7A679" w14:textId="77777777" w:rsidTr="0080269B">
        <w:tc>
          <w:tcPr>
            <w:tcW w:w="4673" w:type="dxa"/>
          </w:tcPr>
          <w:p w14:paraId="549C4F46" w14:textId="2A10BFB6" w:rsidR="002E0346" w:rsidRPr="0051610E" w:rsidRDefault="002E0346" w:rsidP="006118DF">
            <w:pPr>
              <w:rPr>
                <w:rFonts w:ascii="Times New Roman" w:hAnsi="Times New Roman" w:cs="Times New Roman"/>
              </w:rPr>
            </w:pPr>
            <w:r w:rsidRPr="002E0346">
              <w:rPr>
                <w:rFonts w:ascii="Times New Roman" w:hAnsi="Times New Roman" w:cs="Times New Roman"/>
                <w:b/>
                <w:bCs/>
                <w:color w:val="44546A" w:themeColor="text2"/>
              </w:rPr>
              <w:t>Haridus- ja Teadusministeerium</w:t>
            </w:r>
          </w:p>
        </w:tc>
        <w:tc>
          <w:tcPr>
            <w:tcW w:w="4389" w:type="dxa"/>
          </w:tcPr>
          <w:p w14:paraId="0B9A0CBF" w14:textId="77777777" w:rsidR="002E0346" w:rsidRPr="0051610E" w:rsidRDefault="002E0346" w:rsidP="00FA3CD0">
            <w:pPr>
              <w:rPr>
                <w:rFonts w:ascii="Times New Roman" w:hAnsi="Times New Roman" w:cs="Times New Roman"/>
                <w:b/>
                <w:bCs/>
              </w:rPr>
            </w:pPr>
          </w:p>
        </w:tc>
      </w:tr>
      <w:tr w:rsidR="002E0346" w:rsidRPr="0051610E" w14:paraId="4F40D42E" w14:textId="77777777" w:rsidTr="0080269B">
        <w:tc>
          <w:tcPr>
            <w:tcW w:w="4673" w:type="dxa"/>
          </w:tcPr>
          <w:p w14:paraId="308D9F1E" w14:textId="03D463A8" w:rsidR="002E0346" w:rsidRPr="0051610E" w:rsidRDefault="002E0346" w:rsidP="002E0346">
            <w:pPr>
              <w:rPr>
                <w:rFonts w:ascii="Times New Roman" w:hAnsi="Times New Roman" w:cs="Times New Roman"/>
              </w:rPr>
            </w:pPr>
            <w:r>
              <w:rPr>
                <w:rFonts w:ascii="Times New Roman" w:hAnsi="Times New Roman" w:cs="Times New Roman"/>
              </w:rPr>
              <w:t>E</w:t>
            </w:r>
            <w:r w:rsidRPr="002E0346">
              <w:rPr>
                <w:rFonts w:ascii="Times New Roman" w:hAnsi="Times New Roman" w:cs="Times New Roman"/>
              </w:rPr>
              <w:t>ttepanek lisaks noorsootöö seaduse §15</w:t>
            </w:r>
            <w:r w:rsidRPr="002E0346">
              <w:rPr>
                <w:rFonts w:ascii="Times New Roman" w:hAnsi="Times New Roman" w:cs="Times New Roman"/>
                <w:vertAlign w:val="superscript"/>
              </w:rPr>
              <w:t xml:space="preserve">1 </w:t>
            </w:r>
            <w:r w:rsidRPr="002E0346">
              <w:rPr>
                <w:rFonts w:ascii="Times New Roman" w:hAnsi="Times New Roman" w:cs="Times New Roman"/>
              </w:rPr>
              <w:t>tunnista</w:t>
            </w:r>
            <w:r w:rsidR="005C621A">
              <w:rPr>
                <w:rFonts w:ascii="Times New Roman" w:hAnsi="Times New Roman" w:cs="Times New Roman"/>
              </w:rPr>
              <w:t>da</w:t>
            </w:r>
            <w:r w:rsidRPr="002E0346">
              <w:rPr>
                <w:rFonts w:ascii="Times New Roman" w:hAnsi="Times New Roman" w:cs="Times New Roman"/>
              </w:rPr>
              <w:t xml:space="preserve"> kehtetuks ka noorsootöö seaduse §15</w:t>
            </w:r>
            <w:r w:rsidRPr="002E0346">
              <w:rPr>
                <w:rFonts w:ascii="Times New Roman" w:hAnsi="Times New Roman" w:cs="Times New Roman"/>
                <w:vertAlign w:val="superscript"/>
              </w:rPr>
              <w:t>2</w:t>
            </w:r>
            <w:r w:rsidRPr="002E0346">
              <w:rPr>
                <w:rFonts w:ascii="Times New Roman" w:hAnsi="Times New Roman" w:cs="Times New Roman"/>
              </w:rPr>
              <w:t>.</w:t>
            </w:r>
          </w:p>
        </w:tc>
        <w:tc>
          <w:tcPr>
            <w:tcW w:w="4389" w:type="dxa"/>
          </w:tcPr>
          <w:p w14:paraId="441E08B5" w14:textId="05F79349" w:rsidR="002E0346" w:rsidRPr="0051610E" w:rsidRDefault="002E0346" w:rsidP="002E0346">
            <w:pPr>
              <w:rPr>
                <w:rFonts w:ascii="Times New Roman" w:hAnsi="Times New Roman" w:cs="Times New Roman"/>
                <w:b/>
                <w:bCs/>
              </w:rPr>
            </w:pPr>
            <w:r w:rsidRPr="0051610E">
              <w:rPr>
                <w:rFonts w:ascii="Times New Roman" w:hAnsi="Times New Roman" w:cs="Times New Roman"/>
                <w:b/>
                <w:bCs/>
              </w:rPr>
              <w:t>Arvestatud</w:t>
            </w:r>
          </w:p>
        </w:tc>
      </w:tr>
      <w:tr w:rsidR="00FA3CD0" w:rsidRPr="0051610E" w14:paraId="363CDEE7" w14:textId="77777777" w:rsidTr="0080269B">
        <w:tc>
          <w:tcPr>
            <w:tcW w:w="4673" w:type="dxa"/>
          </w:tcPr>
          <w:p w14:paraId="2B688460" w14:textId="673A0A21" w:rsidR="00FA3CD0" w:rsidRPr="0051610E" w:rsidRDefault="005C5F62" w:rsidP="00FA3CD0">
            <w:pPr>
              <w:rPr>
                <w:rFonts w:ascii="Times New Roman" w:hAnsi="Times New Roman" w:cs="Times New Roman"/>
                <w:b/>
                <w:bCs/>
                <w:color w:val="44546A" w:themeColor="text2"/>
              </w:rPr>
            </w:pPr>
            <w:r w:rsidRPr="0051610E">
              <w:rPr>
                <w:rFonts w:ascii="Times New Roman" w:hAnsi="Times New Roman" w:cs="Times New Roman"/>
                <w:b/>
                <w:bCs/>
                <w:color w:val="44546A" w:themeColor="text2"/>
              </w:rPr>
              <w:t>Kultuuriministeerium</w:t>
            </w:r>
          </w:p>
        </w:tc>
        <w:tc>
          <w:tcPr>
            <w:tcW w:w="4389" w:type="dxa"/>
          </w:tcPr>
          <w:p w14:paraId="63AB1B22" w14:textId="77777777" w:rsidR="00FA3CD0" w:rsidRPr="0051610E" w:rsidRDefault="00FA3CD0" w:rsidP="00FA3CD0">
            <w:pPr>
              <w:rPr>
                <w:rFonts w:ascii="Times New Roman" w:hAnsi="Times New Roman" w:cs="Times New Roman"/>
                <w:b/>
                <w:bCs/>
                <w:color w:val="44546A" w:themeColor="text2"/>
              </w:rPr>
            </w:pPr>
          </w:p>
        </w:tc>
      </w:tr>
      <w:tr w:rsidR="00FA3CD0" w:rsidRPr="0051610E" w14:paraId="083D4D03" w14:textId="77777777" w:rsidTr="0080269B">
        <w:tc>
          <w:tcPr>
            <w:tcW w:w="4673" w:type="dxa"/>
          </w:tcPr>
          <w:p w14:paraId="20D6B1A5" w14:textId="52AF9D4A" w:rsidR="005C5F62" w:rsidRPr="005C5F62" w:rsidRDefault="005C5F62" w:rsidP="00490972">
            <w:pPr>
              <w:autoSpaceDE w:val="0"/>
              <w:autoSpaceDN w:val="0"/>
              <w:adjustRightInd w:val="0"/>
              <w:jc w:val="both"/>
              <w:rPr>
                <w:rFonts w:ascii="Times New Roman" w:hAnsi="Times New Roman" w:cs="Times New Roman"/>
              </w:rPr>
            </w:pPr>
            <w:r w:rsidRPr="005C5F62">
              <w:rPr>
                <w:rFonts w:ascii="Times New Roman" w:hAnsi="Times New Roman" w:cs="Times New Roman"/>
              </w:rPr>
              <w:t xml:space="preserve">Esitame ühe ettepaneku, mida palume võimalusel kaaluda. Seletuskirja kohaselt tõstetakse eelnõuga kavandatavate muudatustega riigieelarves ette nähtud toetused (põhihariduse andmiseks antud toetused (v.a õpetaja tööjõukulude toetus ja kultuuriranits), </w:t>
            </w:r>
            <w:r w:rsidRPr="005C5F62">
              <w:rPr>
                <w:rFonts w:ascii="Times New Roman" w:hAnsi="Times New Roman" w:cs="Times New Roman"/>
                <w:i/>
                <w:iCs/>
              </w:rPr>
              <w:t>huvitegevuse ja -hariduse toetus</w:t>
            </w:r>
            <w:r w:rsidRPr="005C5F62">
              <w:rPr>
                <w:rFonts w:ascii="Times New Roman" w:hAnsi="Times New Roman" w:cs="Times New Roman"/>
              </w:rPr>
              <w:t xml:space="preserve">, õpilaskodu toetus, suure hooldus- ja abivajadusega lapsele abi osutamise toetus ja kohalike teede hoiu toetus) kohaliku omavalitsuse üksuste (edaspidi KOV) tulubaasi ehk jaotatakse läbi nende tulumaksu ja tasandusfondi laekumise suurendamise. </w:t>
            </w:r>
          </w:p>
          <w:p w14:paraId="769AF9C7" w14:textId="77777777" w:rsidR="00FA3CD0" w:rsidRDefault="005C5F62" w:rsidP="00490972">
            <w:pPr>
              <w:jc w:val="both"/>
              <w:rPr>
                <w:rFonts w:ascii="Times New Roman" w:hAnsi="Times New Roman" w:cs="Times New Roman"/>
              </w:rPr>
            </w:pPr>
            <w:r w:rsidRPr="0051610E">
              <w:rPr>
                <w:rFonts w:ascii="Times New Roman" w:hAnsi="Times New Roman" w:cs="Times New Roman"/>
              </w:rPr>
              <w:t>Seoses noortevaldkonna seaduse eelnõu valmimise edasilükkumisega 2028. aastasse teeme ettepaneku huvihariduse jätkusuutlikkuse tagamiseks tõsta riiklik huvihariduse ja huvitegevuse toetus KOV tulubaasi peale noortevaldkonna seaduse eelnõu valmimist või koos sellega.</w:t>
            </w:r>
          </w:p>
          <w:p w14:paraId="6D50B74E" w14:textId="77777777" w:rsidR="00B60007" w:rsidRPr="00B60007" w:rsidRDefault="00B60007" w:rsidP="00490972">
            <w:pPr>
              <w:jc w:val="both"/>
              <w:rPr>
                <w:rFonts w:ascii="Times New Roman" w:hAnsi="Times New Roman" w:cs="Times New Roman"/>
              </w:rPr>
            </w:pPr>
          </w:p>
          <w:p w14:paraId="58400328" w14:textId="571C4C85" w:rsidR="00B60007" w:rsidRPr="0051610E" w:rsidRDefault="00B60007" w:rsidP="00490972">
            <w:pPr>
              <w:jc w:val="both"/>
              <w:rPr>
                <w:rFonts w:ascii="Times New Roman" w:hAnsi="Times New Roman" w:cs="Times New Roman"/>
              </w:rPr>
            </w:pPr>
            <w:r w:rsidRPr="00B60007">
              <w:rPr>
                <w:rFonts w:ascii="Times New Roman" w:hAnsi="Times New Roman" w:cs="Times New Roman"/>
              </w:rPr>
              <w:t>Nimetatud eelnõus on kavas täpsemalt sätestada KOV-ide kohustused ja selged nõuded huvihariduse ja huvitegevuse korraldamiseks. Huviharidus ja -tegevus on otseselt seotud kultuuri ja spordi erialade järelkasvuga ning Eesti inimarengu aruande (2026) kohaselt on tegemist olulise noorte riskikäitumist vähendava ja heaolu parandava valdkonnaga. Leiame, et ilma noortevaldkonna seadusest tulenevate selgete kohustusteta ei ole KOV vastutus valdkondade korraldamisel piisavalt selge. Samuti võib KOV-idel tekkida kooskõlastamisele esitatud seaduse vastuvõtmisel ja valdkonna korraldamise kohustuse tekkimisel 2028. aastal ootus lisa eelarveliste vahendite saamiseks riigilt. Sellega seoses võiks tänane huvitegevuse- ja huvihariduse riiklik toetus jätkuda kuni noortevaldkonna seaduse eelnõu valmimiseni ning olla seetõttu tulubaasi liikumise viivitusega.</w:t>
            </w:r>
          </w:p>
        </w:tc>
        <w:tc>
          <w:tcPr>
            <w:tcW w:w="4389" w:type="dxa"/>
          </w:tcPr>
          <w:p w14:paraId="1390D4A4" w14:textId="77A7DFCE" w:rsidR="0051610E" w:rsidRPr="0051610E" w:rsidRDefault="0051610E" w:rsidP="0051610E">
            <w:pPr>
              <w:jc w:val="both"/>
              <w:rPr>
                <w:rFonts w:ascii="Times New Roman" w:hAnsi="Times New Roman"/>
                <w:b/>
                <w:bCs/>
              </w:rPr>
            </w:pPr>
            <w:r w:rsidRPr="0051610E">
              <w:rPr>
                <w:rFonts w:ascii="Times New Roman" w:hAnsi="Times New Roman"/>
                <w:b/>
                <w:bCs/>
              </w:rPr>
              <w:t>Selgitus</w:t>
            </w:r>
          </w:p>
          <w:p w14:paraId="7A953A8E" w14:textId="3C4A1264" w:rsidR="00FA3CD0" w:rsidRDefault="009A0B2D" w:rsidP="00B60007">
            <w:pPr>
              <w:jc w:val="both"/>
              <w:rPr>
                <w:rFonts w:ascii="Times New Roman" w:hAnsi="Times New Roman"/>
              </w:rPr>
            </w:pPr>
            <w:r>
              <w:rPr>
                <w:rFonts w:ascii="Times New Roman" w:hAnsi="Times New Roman"/>
              </w:rPr>
              <w:t xml:space="preserve">Huvitegevuse ja </w:t>
            </w:r>
            <w:r w:rsidR="00B73380">
              <w:rPr>
                <w:rFonts w:ascii="Times New Roman" w:hAnsi="Times New Roman"/>
              </w:rPr>
              <w:t>-</w:t>
            </w:r>
            <w:r>
              <w:rPr>
                <w:rFonts w:ascii="Times New Roman" w:hAnsi="Times New Roman"/>
              </w:rPr>
              <w:t>hariduse toetus, mis loodi mahus 14,25 mln eurot, on tänaseks kahe kärpe tulemusena vähenenud 9,25 mln eurole ning on kahanenud KOV-de vastava valdkonna kogukuludest 4%-le. Nõustume, et h</w:t>
            </w:r>
            <w:r w:rsidR="00B60007" w:rsidRPr="00B60007">
              <w:rPr>
                <w:rFonts w:ascii="Times New Roman" w:hAnsi="Times New Roman"/>
              </w:rPr>
              <w:t xml:space="preserve">uvitegevuse ja </w:t>
            </w:r>
            <w:r w:rsidR="00B73380">
              <w:rPr>
                <w:rFonts w:ascii="Times New Roman" w:hAnsi="Times New Roman"/>
              </w:rPr>
              <w:t>-</w:t>
            </w:r>
            <w:r w:rsidR="00B60007" w:rsidRPr="00B60007">
              <w:rPr>
                <w:rFonts w:ascii="Times New Roman" w:hAnsi="Times New Roman"/>
              </w:rPr>
              <w:t xml:space="preserve">hariduse toetuse </w:t>
            </w:r>
            <w:r>
              <w:rPr>
                <w:rFonts w:ascii="Times New Roman" w:hAnsi="Times New Roman"/>
              </w:rPr>
              <w:t>loomine</w:t>
            </w:r>
            <w:r w:rsidR="00B60007" w:rsidRPr="00B60007">
              <w:rPr>
                <w:rFonts w:ascii="Times New Roman" w:hAnsi="Times New Roman"/>
              </w:rPr>
              <w:t xml:space="preserve"> 20</w:t>
            </w:r>
            <w:r w:rsidR="006D78E2">
              <w:rPr>
                <w:rFonts w:ascii="Times New Roman" w:hAnsi="Times New Roman"/>
              </w:rPr>
              <w:t>1</w:t>
            </w:r>
            <w:r w:rsidR="00B60007" w:rsidRPr="00B60007">
              <w:rPr>
                <w:rFonts w:ascii="Times New Roman" w:hAnsi="Times New Roman"/>
              </w:rPr>
              <w:t>7. aasta</w:t>
            </w:r>
            <w:r w:rsidR="00B60007">
              <w:rPr>
                <w:rFonts w:ascii="Times New Roman" w:hAnsi="Times New Roman"/>
              </w:rPr>
              <w:t xml:space="preserve">l on mõjutanud positiivselt </w:t>
            </w:r>
            <w:r w:rsidR="00B60007" w:rsidRPr="00B60007">
              <w:rPr>
                <w:rFonts w:ascii="Times New Roman" w:hAnsi="Times New Roman"/>
              </w:rPr>
              <w:t xml:space="preserve">valdkonna </w:t>
            </w:r>
            <w:r w:rsidR="00B60007">
              <w:rPr>
                <w:rFonts w:ascii="Times New Roman" w:hAnsi="Times New Roman"/>
              </w:rPr>
              <w:t>rahastamist ja arengut</w:t>
            </w:r>
            <w:r w:rsidR="00B60007" w:rsidRPr="00B60007">
              <w:rPr>
                <w:rFonts w:ascii="Times New Roman" w:hAnsi="Times New Roman"/>
              </w:rPr>
              <w:t xml:space="preserve">. Siiski </w:t>
            </w:r>
            <w:r w:rsidR="00B60007">
              <w:rPr>
                <w:rFonts w:ascii="Times New Roman" w:hAnsi="Times New Roman"/>
              </w:rPr>
              <w:t xml:space="preserve">on </w:t>
            </w:r>
            <w:r>
              <w:rPr>
                <w:rFonts w:ascii="Times New Roman" w:hAnsi="Times New Roman"/>
              </w:rPr>
              <w:t xml:space="preserve">asjaolu, et seda juba varem ei ole KOV tulubaasi ümber tõstetud, </w:t>
            </w:r>
            <w:r w:rsidR="00B66316">
              <w:rPr>
                <w:rFonts w:ascii="Times New Roman" w:hAnsi="Times New Roman"/>
              </w:rPr>
              <w:t>mõjutanud edaspidiselt negatiivselt valdkonna arengut</w:t>
            </w:r>
            <w:r w:rsidR="004E3216">
              <w:rPr>
                <w:rFonts w:ascii="Times New Roman" w:hAnsi="Times New Roman"/>
              </w:rPr>
              <w:t>,</w:t>
            </w:r>
            <w:r>
              <w:rPr>
                <w:rFonts w:ascii="Times New Roman" w:hAnsi="Times New Roman"/>
              </w:rPr>
              <w:t xml:space="preserve"> ning see </w:t>
            </w:r>
            <w:r w:rsidR="004E3216">
              <w:rPr>
                <w:rFonts w:ascii="Times New Roman" w:hAnsi="Times New Roman"/>
              </w:rPr>
              <w:t xml:space="preserve">negatiivne mõju </w:t>
            </w:r>
            <w:r w:rsidR="00FD1F08">
              <w:rPr>
                <w:rFonts w:ascii="Times New Roman" w:hAnsi="Times New Roman"/>
              </w:rPr>
              <w:t>kasvaks</w:t>
            </w:r>
            <w:r w:rsidR="004E3216">
              <w:rPr>
                <w:rFonts w:ascii="Times New Roman" w:hAnsi="Times New Roman"/>
              </w:rPr>
              <w:t xml:space="preserve"> </w:t>
            </w:r>
            <w:r>
              <w:rPr>
                <w:rFonts w:ascii="Times New Roman" w:hAnsi="Times New Roman"/>
              </w:rPr>
              <w:t>järgnevatel aastatel.</w:t>
            </w:r>
          </w:p>
          <w:p w14:paraId="680C2106" w14:textId="77777777" w:rsidR="009A0B2D" w:rsidRDefault="009A0B2D" w:rsidP="00B60007">
            <w:pPr>
              <w:jc w:val="both"/>
              <w:rPr>
                <w:rFonts w:ascii="Times New Roman" w:hAnsi="Times New Roman"/>
              </w:rPr>
            </w:pPr>
          </w:p>
          <w:p w14:paraId="418E5689" w14:textId="6727CC3A" w:rsidR="009A0B2D" w:rsidRDefault="009A0B2D" w:rsidP="00B60007">
            <w:pPr>
              <w:jc w:val="both"/>
              <w:rPr>
                <w:rFonts w:ascii="Times New Roman" w:hAnsi="Times New Roman"/>
              </w:rPr>
            </w:pPr>
            <w:r>
              <w:rPr>
                <w:rFonts w:ascii="Times New Roman" w:hAnsi="Times New Roman"/>
              </w:rPr>
              <w:t xml:space="preserve">Erinevalt huvitegevuse ja </w:t>
            </w:r>
            <w:r w:rsidR="00B66316">
              <w:rPr>
                <w:rFonts w:ascii="Times New Roman" w:hAnsi="Times New Roman"/>
              </w:rPr>
              <w:t>-</w:t>
            </w:r>
            <w:r>
              <w:rPr>
                <w:rFonts w:ascii="Times New Roman" w:hAnsi="Times New Roman"/>
              </w:rPr>
              <w:t>hariduse toetusest, mis on langenud 1/3 võrra nende aastate jooksul</w:t>
            </w:r>
            <w:r w:rsidR="00B777BF">
              <w:rPr>
                <w:rFonts w:ascii="Times New Roman" w:hAnsi="Times New Roman"/>
              </w:rPr>
              <w:t xml:space="preserve"> (reaalväärtuses on langus oluliselt suurem)</w:t>
            </w:r>
            <w:r>
              <w:rPr>
                <w:rFonts w:ascii="Times New Roman" w:hAnsi="Times New Roman"/>
              </w:rPr>
              <w:t xml:space="preserve">, on </w:t>
            </w:r>
            <w:r w:rsidR="00B66316">
              <w:rPr>
                <w:rFonts w:ascii="Times New Roman" w:hAnsi="Times New Roman"/>
              </w:rPr>
              <w:t>KOV</w:t>
            </w:r>
            <w:r>
              <w:rPr>
                <w:rFonts w:ascii="Times New Roman" w:hAnsi="Times New Roman"/>
              </w:rPr>
              <w:t xml:space="preserve"> </w:t>
            </w:r>
            <w:r w:rsidR="006D78E2">
              <w:rPr>
                <w:rFonts w:ascii="Times New Roman" w:hAnsi="Times New Roman"/>
              </w:rPr>
              <w:t xml:space="preserve">enda </w:t>
            </w:r>
            <w:r>
              <w:rPr>
                <w:rFonts w:ascii="Times New Roman" w:hAnsi="Times New Roman"/>
              </w:rPr>
              <w:t>panus valdkon</w:t>
            </w:r>
            <w:r w:rsidR="005C621A">
              <w:rPr>
                <w:rFonts w:ascii="Times New Roman" w:hAnsi="Times New Roman"/>
              </w:rPr>
              <w:t>d</w:t>
            </w:r>
            <w:r>
              <w:rPr>
                <w:rFonts w:ascii="Times New Roman" w:hAnsi="Times New Roman"/>
              </w:rPr>
              <w:t xml:space="preserve">a kasvanud 2018. aasta 92 mln eurolt 2025. aastaks 170 mln eurole ehk 1,9 korda. </w:t>
            </w:r>
          </w:p>
          <w:p w14:paraId="41ABDD58" w14:textId="77777777" w:rsidR="009A0B2D" w:rsidRDefault="009A0B2D" w:rsidP="00B60007">
            <w:pPr>
              <w:jc w:val="both"/>
              <w:rPr>
                <w:rFonts w:ascii="Times New Roman" w:hAnsi="Times New Roman"/>
              </w:rPr>
            </w:pPr>
          </w:p>
          <w:p w14:paraId="28C90155" w14:textId="2FB57E95" w:rsidR="009A0B2D" w:rsidRDefault="009A0B2D" w:rsidP="004E3216">
            <w:pPr>
              <w:jc w:val="both"/>
              <w:rPr>
                <w:rFonts w:ascii="Times New Roman" w:hAnsi="Times New Roman"/>
              </w:rPr>
            </w:pPr>
            <w:r>
              <w:rPr>
                <w:rFonts w:ascii="Times New Roman" w:hAnsi="Times New Roman"/>
              </w:rPr>
              <w:t xml:space="preserve">Peame </w:t>
            </w:r>
            <w:r w:rsidR="00B66316">
              <w:rPr>
                <w:rFonts w:ascii="Times New Roman" w:hAnsi="Times New Roman"/>
              </w:rPr>
              <w:t xml:space="preserve">valdkonna arengu tagamise huvides oluliseks selle </w:t>
            </w:r>
            <w:r>
              <w:rPr>
                <w:rFonts w:ascii="Times New Roman" w:hAnsi="Times New Roman"/>
              </w:rPr>
              <w:t>rahastamise jätkusuutlikku</w:t>
            </w:r>
            <w:r w:rsidR="00B777BF">
              <w:rPr>
                <w:rFonts w:ascii="Times New Roman" w:hAnsi="Times New Roman"/>
              </w:rPr>
              <w:t>ks kujundamist</w:t>
            </w:r>
            <w:r>
              <w:rPr>
                <w:rFonts w:ascii="Times New Roman" w:hAnsi="Times New Roman"/>
              </w:rPr>
              <w:t xml:space="preserve"> ning ei nõustu, et seda oleks võimalik teha toetustega, mis jäävad aasta(kümne)teks samale tasemele või </w:t>
            </w:r>
            <w:r w:rsidR="00B66316">
              <w:rPr>
                <w:rFonts w:ascii="Times New Roman" w:hAnsi="Times New Roman"/>
              </w:rPr>
              <w:t>vähenevad</w:t>
            </w:r>
            <w:r>
              <w:rPr>
                <w:rFonts w:ascii="Times New Roman" w:hAnsi="Times New Roman"/>
              </w:rPr>
              <w:t xml:space="preserve"> ajal, kus inflatsioon </w:t>
            </w:r>
            <w:r w:rsidR="004E3216">
              <w:rPr>
                <w:rFonts w:ascii="Times New Roman" w:hAnsi="Times New Roman"/>
              </w:rPr>
              <w:t xml:space="preserve">ja keskmine palk </w:t>
            </w:r>
            <w:r>
              <w:rPr>
                <w:rFonts w:ascii="Times New Roman" w:hAnsi="Times New Roman"/>
              </w:rPr>
              <w:t>on kasvanud hüppeliselt.</w:t>
            </w:r>
            <w:r w:rsidR="004E3216">
              <w:rPr>
                <w:rFonts w:ascii="Times New Roman" w:hAnsi="Times New Roman"/>
              </w:rPr>
              <w:t xml:space="preserve"> </w:t>
            </w:r>
            <w:r w:rsidR="00490972">
              <w:rPr>
                <w:rFonts w:ascii="Times New Roman" w:hAnsi="Times New Roman"/>
              </w:rPr>
              <w:t>Vaatamata toetusega juhtunule on j</w:t>
            </w:r>
            <w:r w:rsidR="004E3216">
              <w:rPr>
                <w:rFonts w:ascii="Times New Roman" w:hAnsi="Times New Roman"/>
              </w:rPr>
              <w:t xml:space="preserve">ust tänu </w:t>
            </w:r>
            <w:r w:rsidR="00B66316">
              <w:rPr>
                <w:rFonts w:ascii="Times New Roman" w:hAnsi="Times New Roman"/>
              </w:rPr>
              <w:t>KOV</w:t>
            </w:r>
            <w:r w:rsidR="004E3216">
              <w:rPr>
                <w:rFonts w:ascii="Times New Roman" w:hAnsi="Times New Roman"/>
              </w:rPr>
              <w:t xml:space="preserve"> vastutusele valdkonna arengu tagamisel saavuta</w:t>
            </w:r>
            <w:r w:rsidR="006D78E2">
              <w:rPr>
                <w:rFonts w:ascii="Times New Roman" w:hAnsi="Times New Roman"/>
              </w:rPr>
              <w:t>t</w:t>
            </w:r>
            <w:r w:rsidR="004E3216">
              <w:rPr>
                <w:rFonts w:ascii="Times New Roman" w:hAnsi="Times New Roman"/>
              </w:rPr>
              <w:t>ud valdkonna rahastamisel hüppeline tõu</w:t>
            </w:r>
            <w:r w:rsidR="00B66316">
              <w:rPr>
                <w:rFonts w:ascii="Times New Roman" w:hAnsi="Times New Roman"/>
              </w:rPr>
              <w:t>s</w:t>
            </w:r>
            <w:r w:rsidR="00B777BF">
              <w:rPr>
                <w:rFonts w:ascii="Times New Roman" w:hAnsi="Times New Roman"/>
              </w:rPr>
              <w:t>, mitte vastupidi</w:t>
            </w:r>
            <w:r w:rsidR="00B66316">
              <w:rPr>
                <w:rFonts w:ascii="Times New Roman" w:hAnsi="Times New Roman"/>
              </w:rPr>
              <w:t>.</w:t>
            </w:r>
          </w:p>
          <w:p w14:paraId="3511E104" w14:textId="77777777" w:rsidR="004E3216" w:rsidRDefault="004E3216" w:rsidP="004E3216">
            <w:pPr>
              <w:jc w:val="both"/>
              <w:rPr>
                <w:rFonts w:ascii="Times New Roman" w:hAnsi="Times New Roman"/>
              </w:rPr>
            </w:pPr>
          </w:p>
          <w:p w14:paraId="7ACA091E" w14:textId="6B5252EB" w:rsidR="00B777BF" w:rsidRDefault="00B777BF" w:rsidP="00B777BF">
            <w:pPr>
              <w:jc w:val="both"/>
              <w:rPr>
                <w:rFonts w:ascii="Times New Roman" w:hAnsi="Times New Roman"/>
              </w:rPr>
            </w:pPr>
            <w:r>
              <w:rPr>
                <w:rFonts w:ascii="Times New Roman" w:hAnsi="Times New Roman"/>
              </w:rPr>
              <w:t>Kartus, et toetuste tulubaasi viimisel kaob valdkonnas 4% osas sihtotstarbelisus</w:t>
            </w:r>
            <w:r w:rsidR="00FD1F08">
              <w:rPr>
                <w:rFonts w:ascii="Times New Roman" w:hAnsi="Times New Roman"/>
              </w:rPr>
              <w:t xml:space="preserve"> ja seetõttu </w:t>
            </w:r>
            <w:r w:rsidR="006D78E2">
              <w:rPr>
                <w:rFonts w:ascii="Times New Roman" w:hAnsi="Times New Roman"/>
              </w:rPr>
              <w:t xml:space="preserve">väheneb </w:t>
            </w:r>
            <w:r w:rsidR="00FD1F08">
              <w:rPr>
                <w:rFonts w:ascii="Times New Roman" w:hAnsi="Times New Roman"/>
              </w:rPr>
              <w:t>raha kasutamine valdkonna huvides</w:t>
            </w:r>
            <w:r>
              <w:rPr>
                <w:rFonts w:ascii="Times New Roman" w:hAnsi="Times New Roman"/>
              </w:rPr>
              <w:t xml:space="preserve">, ei ole põhjendatud, sest kui KOV-idel ei oleks </w:t>
            </w:r>
            <w:r>
              <w:rPr>
                <w:rFonts w:ascii="Times New Roman" w:hAnsi="Times New Roman"/>
              </w:rPr>
              <w:lastRenderedPageBreak/>
              <w:t>tahet vastavat valdkonda tänases ulatuses rahastada, siis neil on olnud varem ja on ka edaspidi võimalus vähendada nende tänast omapanust ning neil ei ole vaja selleks ära oodata riigi toetuse mitte-sihtotstarbeliseks muutmist.</w:t>
            </w:r>
            <w:r w:rsidR="005C621A">
              <w:rPr>
                <w:rFonts w:ascii="Times New Roman" w:hAnsi="Times New Roman"/>
              </w:rPr>
              <w:t xml:space="preserve"> KOV-id ei oleks suurendanud oma rahastust, kui nende eesmärk oleks seda olnud hoopis vähendada.</w:t>
            </w:r>
          </w:p>
          <w:p w14:paraId="51C5689B" w14:textId="00F62C77" w:rsidR="00B777BF" w:rsidRDefault="00B777BF" w:rsidP="00B777BF">
            <w:pPr>
              <w:jc w:val="both"/>
              <w:rPr>
                <w:rFonts w:ascii="Times New Roman" w:hAnsi="Times New Roman"/>
              </w:rPr>
            </w:pPr>
          </w:p>
          <w:p w14:paraId="2AC5FB10" w14:textId="60C5D53F" w:rsidR="004E3216" w:rsidRPr="004E3216" w:rsidRDefault="00B66316" w:rsidP="00B777BF">
            <w:pPr>
              <w:jc w:val="both"/>
              <w:rPr>
                <w:rFonts w:ascii="Times New Roman" w:hAnsi="Times New Roman"/>
              </w:rPr>
            </w:pPr>
            <w:r>
              <w:rPr>
                <w:rFonts w:ascii="Times New Roman" w:hAnsi="Times New Roman"/>
              </w:rPr>
              <w:t xml:space="preserve">Kui noortevaldkonna seadusega kujunevad KOV-de jaoks uued rahalist mõju kaasa toovad kohustused, tuleb sama eelnõuga ära lahendada, mille arvelt neid lisakulusid kaetakse. Me ei nõustu, et olemasolevaid toetusi saab kasutada põhjenduseks </w:t>
            </w:r>
            <w:r w:rsidR="00B777BF">
              <w:rPr>
                <w:rFonts w:ascii="Times New Roman" w:hAnsi="Times New Roman"/>
              </w:rPr>
              <w:t>uute</w:t>
            </w:r>
            <w:r>
              <w:rPr>
                <w:rFonts w:ascii="Times New Roman" w:hAnsi="Times New Roman"/>
              </w:rPr>
              <w:t xml:space="preserve"> kohus</w:t>
            </w:r>
            <w:r w:rsidR="00B777BF">
              <w:rPr>
                <w:rFonts w:ascii="Times New Roman" w:hAnsi="Times New Roman"/>
              </w:rPr>
              <w:t>tuste seadmisel.</w:t>
            </w:r>
          </w:p>
        </w:tc>
      </w:tr>
      <w:tr w:rsidR="00C8634B" w:rsidRPr="0051610E" w14:paraId="63D84AAD" w14:textId="77777777" w:rsidTr="0080269B">
        <w:tc>
          <w:tcPr>
            <w:tcW w:w="4673" w:type="dxa"/>
          </w:tcPr>
          <w:p w14:paraId="3F9C0F8F" w14:textId="3521B546" w:rsidR="00C8634B" w:rsidRPr="0051610E" w:rsidRDefault="005C5F62" w:rsidP="00FA3CD0">
            <w:pPr>
              <w:rPr>
                <w:rFonts w:ascii="Times New Roman" w:hAnsi="Times New Roman" w:cs="Times New Roman"/>
                <w:b/>
                <w:bCs/>
                <w:color w:val="44546A" w:themeColor="text2"/>
              </w:rPr>
            </w:pPr>
            <w:r w:rsidRPr="0051610E">
              <w:rPr>
                <w:rFonts w:ascii="Times New Roman" w:hAnsi="Times New Roman" w:cs="Times New Roman"/>
                <w:b/>
                <w:bCs/>
                <w:color w:val="44546A" w:themeColor="text2"/>
              </w:rPr>
              <w:lastRenderedPageBreak/>
              <w:t>Rahandusministeerium</w:t>
            </w:r>
          </w:p>
        </w:tc>
        <w:tc>
          <w:tcPr>
            <w:tcW w:w="4389" w:type="dxa"/>
          </w:tcPr>
          <w:p w14:paraId="610DA74E" w14:textId="77777777" w:rsidR="00C8634B" w:rsidRPr="0051610E" w:rsidRDefault="00C8634B" w:rsidP="00FA3CD0">
            <w:pPr>
              <w:rPr>
                <w:rFonts w:ascii="Times New Roman" w:hAnsi="Times New Roman" w:cs="Times New Roman"/>
                <w:b/>
                <w:bCs/>
                <w:color w:val="44546A" w:themeColor="text2"/>
              </w:rPr>
            </w:pPr>
          </w:p>
        </w:tc>
      </w:tr>
      <w:tr w:rsidR="00C8634B" w:rsidRPr="0051610E" w14:paraId="559657AC" w14:textId="77777777" w:rsidTr="0080269B">
        <w:tc>
          <w:tcPr>
            <w:tcW w:w="4673" w:type="dxa"/>
          </w:tcPr>
          <w:p w14:paraId="54C7CBC5" w14:textId="77777777" w:rsidR="005C5F62" w:rsidRPr="0051610E" w:rsidRDefault="005C5F62" w:rsidP="005C5F62">
            <w:pPr>
              <w:jc w:val="both"/>
              <w:rPr>
                <w:rFonts w:ascii="Times New Roman" w:hAnsi="Times New Roman"/>
              </w:rPr>
            </w:pPr>
            <w:r w:rsidRPr="0051610E">
              <w:rPr>
                <w:rFonts w:ascii="Times New Roman" w:hAnsi="Times New Roman"/>
              </w:rPr>
              <w:t>Seletuskirja 7. osas „Seaduse rakendamisega seotud riigi ja kohaliku omavalitsuse tegevused, eeldatavad kulud ja tulud“ on märgitud, et toetused antakse tulubaasi riigieelarve-neutraalselt 2027. aastal ehk täiendavaid tulusid või kulusid need kaasa ei too. Järgnevatel aastatel sõltub KOV-ide laekumine tulumaksu aastasest muutusest. Seega võib järeldada, et kuluneutraalsus kehtib ainult 2027 aasta kohta. Leiame, et kogu muudatus peaks olema kuluneutraalne (2027+ vaates), st et riigile ei lisanduks täiendavaid lisakulusid ka pikemas perspektiivis (tasandusfond). VTK raames materjalidega tutvudes oli arvutuste järgi 2028 ja 2029 aasta täiendav lisakulu summas 10,7 mln eurot. Palume rakendusmudeli loomisel sellega arvestada.</w:t>
            </w:r>
          </w:p>
          <w:p w14:paraId="7BB5CBE6" w14:textId="508F2124" w:rsidR="00C8634B" w:rsidRPr="0051610E" w:rsidRDefault="00C8634B" w:rsidP="00FA3CD0">
            <w:pPr>
              <w:rPr>
                <w:rFonts w:ascii="Times New Roman" w:hAnsi="Times New Roman" w:cs="Times New Roman"/>
              </w:rPr>
            </w:pPr>
          </w:p>
        </w:tc>
        <w:tc>
          <w:tcPr>
            <w:tcW w:w="4389" w:type="dxa"/>
          </w:tcPr>
          <w:p w14:paraId="7EE3DF20" w14:textId="092C35F9" w:rsidR="00C8634B" w:rsidRPr="0051610E" w:rsidRDefault="0051610E" w:rsidP="005C5F62">
            <w:pPr>
              <w:jc w:val="both"/>
              <w:rPr>
                <w:rFonts w:ascii="Times New Roman" w:hAnsi="Times New Roman"/>
                <w:b/>
                <w:bCs/>
              </w:rPr>
            </w:pPr>
            <w:r w:rsidRPr="0051610E">
              <w:rPr>
                <w:rFonts w:ascii="Times New Roman" w:hAnsi="Times New Roman"/>
                <w:b/>
                <w:bCs/>
              </w:rPr>
              <w:t>Selgitus</w:t>
            </w:r>
          </w:p>
          <w:p w14:paraId="6C9BDE7F" w14:textId="06608F5F" w:rsidR="005C5F62" w:rsidRDefault="005C5F62" w:rsidP="005C5F62">
            <w:pPr>
              <w:jc w:val="both"/>
              <w:rPr>
                <w:rFonts w:ascii="Times New Roman" w:hAnsi="Times New Roman"/>
              </w:rPr>
            </w:pPr>
            <w:r w:rsidRPr="0051610E">
              <w:rPr>
                <w:rFonts w:ascii="Times New Roman" w:hAnsi="Times New Roman"/>
              </w:rPr>
              <w:t>Toetused tõstetakse eelnõu kohaselt omavalitsuse tulubaasi üle 2027. aastal eelarveneutraalselt</w:t>
            </w:r>
            <w:r w:rsidR="006118DF">
              <w:rPr>
                <w:rFonts w:ascii="Times New Roman" w:hAnsi="Times New Roman"/>
              </w:rPr>
              <w:t xml:space="preserve">, suurendades nendele laekuvat tulumaksu määra ja tasandusfondi. </w:t>
            </w:r>
            <w:r w:rsidR="008F0B09">
              <w:rPr>
                <w:rFonts w:ascii="Times New Roman" w:hAnsi="Times New Roman"/>
              </w:rPr>
              <w:t xml:space="preserve">Käesoleva eelnõuga </w:t>
            </w:r>
            <w:r w:rsidR="006118DF">
              <w:rPr>
                <w:rFonts w:ascii="Times New Roman" w:hAnsi="Times New Roman"/>
              </w:rPr>
              <w:t>ei ole kavandatud</w:t>
            </w:r>
            <w:r w:rsidR="008F0B09">
              <w:rPr>
                <w:rFonts w:ascii="Times New Roman" w:hAnsi="Times New Roman"/>
              </w:rPr>
              <w:t xml:space="preserve"> </w:t>
            </w:r>
            <w:r w:rsidR="005C621A">
              <w:rPr>
                <w:rFonts w:ascii="Times New Roman" w:hAnsi="Times New Roman"/>
              </w:rPr>
              <w:t>muuta</w:t>
            </w:r>
            <w:r w:rsidR="005C621A">
              <w:rPr>
                <w:rFonts w:ascii="Times New Roman" w:hAnsi="Times New Roman"/>
              </w:rPr>
              <w:t xml:space="preserve"> sellele </w:t>
            </w:r>
            <w:r w:rsidR="008F0B09">
              <w:rPr>
                <w:rFonts w:ascii="Times New Roman" w:hAnsi="Times New Roman"/>
              </w:rPr>
              <w:t>järgnevate aastate osas</w:t>
            </w:r>
            <w:r w:rsidR="006118DF">
              <w:rPr>
                <w:rFonts w:ascii="Times New Roman" w:hAnsi="Times New Roman"/>
              </w:rPr>
              <w:t xml:space="preserve"> </w:t>
            </w:r>
            <w:r w:rsidR="004E3216">
              <w:rPr>
                <w:rFonts w:ascii="Times New Roman" w:hAnsi="Times New Roman"/>
              </w:rPr>
              <w:t>kohaliku omavalitsuste tulumaksu määra või tasandusfondi mahtu</w:t>
            </w:r>
            <w:r w:rsidR="006118DF">
              <w:rPr>
                <w:rFonts w:ascii="Times New Roman" w:hAnsi="Times New Roman"/>
              </w:rPr>
              <w:t>.</w:t>
            </w:r>
          </w:p>
          <w:p w14:paraId="1221C384" w14:textId="77777777" w:rsidR="004E3216" w:rsidRDefault="004E3216" w:rsidP="005C5F62">
            <w:pPr>
              <w:jc w:val="both"/>
              <w:rPr>
                <w:rFonts w:ascii="Times New Roman" w:hAnsi="Times New Roman"/>
              </w:rPr>
            </w:pPr>
          </w:p>
          <w:p w14:paraId="085C3CD4" w14:textId="6F79F9D9" w:rsidR="004E3216" w:rsidRPr="0051610E" w:rsidRDefault="00F920E8" w:rsidP="005C5F62">
            <w:pPr>
              <w:jc w:val="both"/>
              <w:rPr>
                <w:rFonts w:ascii="Times New Roman" w:hAnsi="Times New Roman"/>
              </w:rPr>
            </w:pPr>
            <w:r>
              <w:rPr>
                <w:rFonts w:ascii="Times New Roman" w:hAnsi="Times New Roman"/>
              </w:rPr>
              <w:t>Käesoleva eelnõuga kavandatud t</w:t>
            </w:r>
            <w:r w:rsidR="004E3216">
              <w:rPr>
                <w:rFonts w:ascii="Times New Roman" w:hAnsi="Times New Roman"/>
              </w:rPr>
              <w:t xml:space="preserve">ulubaasi </w:t>
            </w:r>
            <w:r w:rsidR="00586C9D">
              <w:rPr>
                <w:rFonts w:ascii="Times New Roman" w:hAnsi="Times New Roman"/>
              </w:rPr>
              <w:t>ümber kujundamine</w:t>
            </w:r>
            <w:r w:rsidR="004E3216">
              <w:rPr>
                <w:rFonts w:ascii="Times New Roman" w:hAnsi="Times New Roman"/>
              </w:rPr>
              <w:t xml:space="preserve"> </w:t>
            </w:r>
            <w:r>
              <w:rPr>
                <w:rFonts w:ascii="Times New Roman" w:hAnsi="Times New Roman"/>
              </w:rPr>
              <w:t xml:space="preserve">on analoogne nii kõigile varasematele </w:t>
            </w:r>
            <w:r w:rsidR="00586C9D">
              <w:rPr>
                <w:rFonts w:ascii="Times New Roman" w:hAnsi="Times New Roman"/>
              </w:rPr>
              <w:t xml:space="preserve">toetuste </w:t>
            </w:r>
            <w:r>
              <w:rPr>
                <w:rFonts w:ascii="Times New Roman" w:hAnsi="Times New Roman"/>
              </w:rPr>
              <w:t xml:space="preserve">tulubaasi üle andmistele või </w:t>
            </w:r>
            <w:r w:rsidR="00236B0C">
              <w:rPr>
                <w:rFonts w:ascii="Times New Roman" w:hAnsi="Times New Roman"/>
              </w:rPr>
              <w:t xml:space="preserve">KOV tulubaasi </w:t>
            </w:r>
            <w:r w:rsidR="00586C9D">
              <w:rPr>
                <w:rFonts w:ascii="Times New Roman" w:hAnsi="Times New Roman"/>
              </w:rPr>
              <w:t xml:space="preserve">muudele </w:t>
            </w:r>
            <w:r>
              <w:rPr>
                <w:rFonts w:ascii="Times New Roman" w:hAnsi="Times New Roman"/>
              </w:rPr>
              <w:t xml:space="preserve">muudatustele. Me ei pea põhiseaduspäraseks lähtuda </w:t>
            </w:r>
            <w:r w:rsidR="00586C9D">
              <w:rPr>
                <w:rFonts w:ascii="Times New Roman" w:hAnsi="Times New Roman"/>
              </w:rPr>
              <w:t>KOV</w:t>
            </w:r>
            <w:r>
              <w:rPr>
                <w:rFonts w:ascii="Times New Roman" w:hAnsi="Times New Roman"/>
              </w:rPr>
              <w:t xml:space="preserve"> tulubaasi kujundamisel printsiibist, et nende tulubaas peaks jääma </w:t>
            </w:r>
            <w:r w:rsidR="00236B0C">
              <w:rPr>
                <w:rFonts w:ascii="Times New Roman" w:hAnsi="Times New Roman"/>
              </w:rPr>
              <w:t xml:space="preserve">üldsummas </w:t>
            </w:r>
            <w:r>
              <w:rPr>
                <w:rFonts w:ascii="Times New Roman" w:hAnsi="Times New Roman"/>
              </w:rPr>
              <w:t xml:space="preserve">kõigil järgnevatel aastatel samale tasemele </w:t>
            </w:r>
            <w:r w:rsidR="005C621A">
              <w:rPr>
                <w:rFonts w:ascii="Times New Roman" w:hAnsi="Times New Roman"/>
              </w:rPr>
              <w:t>(</w:t>
            </w:r>
            <w:r>
              <w:rPr>
                <w:rFonts w:ascii="Times New Roman" w:hAnsi="Times New Roman"/>
              </w:rPr>
              <w:t xml:space="preserve">ning </w:t>
            </w:r>
            <w:r w:rsidR="00236B0C">
              <w:rPr>
                <w:rFonts w:ascii="Times New Roman" w:hAnsi="Times New Roman"/>
              </w:rPr>
              <w:t>selle saavutamiseks</w:t>
            </w:r>
            <w:r>
              <w:rPr>
                <w:rFonts w:ascii="Times New Roman" w:hAnsi="Times New Roman"/>
              </w:rPr>
              <w:t xml:space="preserve"> vähendataks </w:t>
            </w:r>
            <w:r w:rsidR="00236B0C">
              <w:rPr>
                <w:rFonts w:ascii="Times New Roman" w:hAnsi="Times New Roman"/>
              </w:rPr>
              <w:t xml:space="preserve">näiteks </w:t>
            </w:r>
            <w:r>
              <w:rPr>
                <w:rFonts w:ascii="Times New Roman" w:hAnsi="Times New Roman"/>
              </w:rPr>
              <w:t xml:space="preserve">iga aasta </w:t>
            </w:r>
            <w:r w:rsidR="00236B0C">
              <w:rPr>
                <w:rFonts w:ascii="Times New Roman" w:hAnsi="Times New Roman"/>
              </w:rPr>
              <w:t>KOV-idele</w:t>
            </w:r>
            <w:r>
              <w:rPr>
                <w:rFonts w:ascii="Times New Roman" w:hAnsi="Times New Roman"/>
              </w:rPr>
              <w:t xml:space="preserve"> minevat tulumaksu määra</w:t>
            </w:r>
            <w:r w:rsidR="005C621A">
              <w:rPr>
                <w:rFonts w:ascii="Times New Roman" w:hAnsi="Times New Roman"/>
              </w:rPr>
              <w:t>)</w:t>
            </w:r>
            <w:r>
              <w:rPr>
                <w:rFonts w:ascii="Times New Roman" w:hAnsi="Times New Roman"/>
              </w:rPr>
              <w:t>. Eesti Põhiseaduse p</w:t>
            </w:r>
            <w:r w:rsidRPr="00F920E8">
              <w:rPr>
                <w:rFonts w:ascii="Times New Roman" w:hAnsi="Times New Roman"/>
              </w:rPr>
              <w:t xml:space="preserve">aragrahvi 154 </w:t>
            </w:r>
            <w:r w:rsidR="0079538D">
              <w:rPr>
                <w:rFonts w:ascii="Times New Roman" w:hAnsi="Times New Roman"/>
              </w:rPr>
              <w:t>lõikest</w:t>
            </w:r>
            <w:r w:rsidRPr="00F920E8">
              <w:rPr>
                <w:rFonts w:ascii="Times New Roman" w:hAnsi="Times New Roman"/>
              </w:rPr>
              <w:t xml:space="preserve"> 1 tuleneb, et omavalitsuslike ülesannete rahastatus ei tohi sattuda tervikuna ebaproportsionaalselt suurde sõltuvusse riigi ühekordsetest rahaeraldistest, vaid peab peegeldama adekvaatselt üldist majanduslikku olukorda</w:t>
            </w:r>
            <w:r>
              <w:rPr>
                <w:rStyle w:val="FootnoteReference"/>
                <w:rFonts w:ascii="Times New Roman" w:hAnsi="Times New Roman"/>
              </w:rPr>
              <w:footnoteReference w:id="1"/>
            </w:r>
            <w:r w:rsidRPr="00F920E8">
              <w:rPr>
                <w:rFonts w:ascii="Times New Roman" w:hAnsi="Times New Roman"/>
              </w:rPr>
              <w:t>.</w:t>
            </w:r>
            <w:r w:rsidR="00B42A00">
              <w:rPr>
                <w:rFonts w:ascii="Times New Roman" w:hAnsi="Times New Roman"/>
              </w:rPr>
              <w:t xml:space="preserve"> </w:t>
            </w:r>
            <w:r w:rsidR="00B42A00" w:rsidRPr="00B42A00">
              <w:rPr>
                <w:rFonts w:ascii="Times New Roman" w:hAnsi="Times New Roman"/>
              </w:rPr>
              <w:t>Rahandussüsteem, millel tuginevad kohalike võimuorganite rahalised vahendid, peab olema piisavalt mitmekülgne ja paindlik, et pidada sammu neile pandud ülesannete täitmiseks tarvilike kulutuste tegeliku muutumisega</w:t>
            </w:r>
            <w:r w:rsidR="00B42A00">
              <w:rPr>
                <w:rStyle w:val="FootnoteReference"/>
                <w:rFonts w:ascii="Times New Roman" w:hAnsi="Times New Roman"/>
              </w:rPr>
              <w:footnoteReference w:id="2"/>
            </w:r>
            <w:r w:rsidR="00B42A00" w:rsidRPr="00B42A00">
              <w:rPr>
                <w:rFonts w:ascii="Times New Roman" w:hAnsi="Times New Roman"/>
              </w:rPr>
              <w:t>.</w:t>
            </w:r>
          </w:p>
        </w:tc>
      </w:tr>
      <w:tr w:rsidR="00FA3CD0" w:rsidRPr="0051610E" w14:paraId="47F73BA0" w14:textId="77777777" w:rsidTr="0080269B">
        <w:tc>
          <w:tcPr>
            <w:tcW w:w="4673" w:type="dxa"/>
          </w:tcPr>
          <w:p w14:paraId="25270659" w14:textId="151E44E4" w:rsidR="00FA3CD0" w:rsidRPr="0051610E" w:rsidRDefault="00FA3CD0" w:rsidP="00FA3CD0">
            <w:pPr>
              <w:rPr>
                <w:rFonts w:ascii="Times New Roman" w:hAnsi="Times New Roman" w:cs="Times New Roman"/>
                <w:b/>
                <w:bCs/>
                <w:color w:val="44546A" w:themeColor="text2"/>
              </w:rPr>
            </w:pPr>
            <w:r w:rsidRPr="0051610E">
              <w:rPr>
                <w:rFonts w:ascii="Times New Roman" w:hAnsi="Times New Roman" w:cs="Times New Roman"/>
                <w:b/>
                <w:bCs/>
                <w:color w:val="44546A" w:themeColor="text2"/>
              </w:rPr>
              <w:t>Eesti Linnade ja Valdade Liit</w:t>
            </w:r>
          </w:p>
        </w:tc>
        <w:tc>
          <w:tcPr>
            <w:tcW w:w="4389" w:type="dxa"/>
          </w:tcPr>
          <w:p w14:paraId="652B44B2" w14:textId="77777777" w:rsidR="00FA3CD0" w:rsidRPr="0051610E" w:rsidRDefault="00FA3CD0" w:rsidP="00FA3CD0">
            <w:pPr>
              <w:rPr>
                <w:rFonts w:ascii="Times New Roman" w:hAnsi="Times New Roman" w:cs="Times New Roman"/>
                <w:b/>
                <w:bCs/>
                <w:color w:val="44546A" w:themeColor="text2"/>
              </w:rPr>
            </w:pPr>
          </w:p>
        </w:tc>
      </w:tr>
      <w:tr w:rsidR="00FA3CD0" w:rsidRPr="0051610E" w14:paraId="5981DB29" w14:textId="77777777" w:rsidTr="0080269B">
        <w:tc>
          <w:tcPr>
            <w:tcW w:w="4673" w:type="dxa"/>
          </w:tcPr>
          <w:p w14:paraId="72B75698" w14:textId="2C7286C8" w:rsidR="00FA3CD0" w:rsidRPr="0051610E" w:rsidRDefault="0051610E" w:rsidP="000E5B88">
            <w:pPr>
              <w:pStyle w:val="Default"/>
              <w:rPr>
                <w:b/>
                <w:bCs/>
                <w:color w:val="44546A" w:themeColor="text2"/>
                <w:sz w:val="22"/>
                <w:szCs w:val="22"/>
              </w:rPr>
            </w:pPr>
            <w:r w:rsidRPr="0051610E">
              <w:rPr>
                <w:sz w:val="22"/>
                <w:szCs w:val="22"/>
              </w:rPr>
              <w:t xml:space="preserve">Eelnõu § 6 sätestab tulumaksuseaduse muutmise. Eelnõus on toodud KOV-idele tulumaksu laekumist määrava määraks 10,57% aga </w:t>
            </w:r>
            <w:r w:rsidRPr="0051610E">
              <w:rPr>
                <w:sz w:val="22"/>
                <w:szCs w:val="22"/>
              </w:rPr>
              <w:lastRenderedPageBreak/>
              <w:t>seletuskirjas 10,58%. Palume eelnõu viia kooskõlla seletuskirjas toodud määraga 10,58%.</w:t>
            </w:r>
          </w:p>
        </w:tc>
        <w:tc>
          <w:tcPr>
            <w:tcW w:w="4389" w:type="dxa"/>
          </w:tcPr>
          <w:p w14:paraId="7E81ED84" w14:textId="31AF3C24" w:rsidR="00FA3CD0" w:rsidRPr="0051610E" w:rsidRDefault="0051610E" w:rsidP="0051610E">
            <w:pPr>
              <w:rPr>
                <w:rFonts w:ascii="Times New Roman" w:hAnsi="Times New Roman" w:cs="Times New Roman"/>
                <w:b/>
                <w:bCs/>
                <w:color w:val="000000"/>
                <w:kern w:val="0"/>
              </w:rPr>
            </w:pPr>
            <w:r w:rsidRPr="0051610E">
              <w:rPr>
                <w:rFonts w:ascii="Times New Roman" w:hAnsi="Times New Roman" w:cs="Times New Roman"/>
                <w:b/>
                <w:bCs/>
                <w:color w:val="000000"/>
                <w:kern w:val="0"/>
              </w:rPr>
              <w:lastRenderedPageBreak/>
              <w:t>Arvestatud</w:t>
            </w:r>
          </w:p>
        </w:tc>
      </w:tr>
      <w:tr w:rsidR="00FA3CD0" w:rsidRPr="0051610E" w14:paraId="33CEB5E4" w14:textId="77777777" w:rsidTr="0080269B">
        <w:tc>
          <w:tcPr>
            <w:tcW w:w="4673" w:type="dxa"/>
          </w:tcPr>
          <w:p w14:paraId="6E484C7E" w14:textId="77777777" w:rsidR="0051610E" w:rsidRPr="0051610E" w:rsidRDefault="0051610E" w:rsidP="0051610E">
            <w:pPr>
              <w:pStyle w:val="Default"/>
              <w:rPr>
                <w:sz w:val="22"/>
                <w:szCs w:val="22"/>
              </w:rPr>
            </w:pPr>
            <w:bookmarkStart w:id="0" w:name="_Hlk163285251"/>
            <w:r w:rsidRPr="0051610E">
              <w:rPr>
                <w:sz w:val="22"/>
                <w:szCs w:val="22"/>
              </w:rPr>
              <w:t>Mitmed omavalitsused on väljendanud muret, et kavandatavad muudatused puudutavad kohaliku</w:t>
            </w:r>
          </w:p>
          <w:p w14:paraId="66AB76B5" w14:textId="77777777" w:rsidR="0051610E" w:rsidRPr="0051610E" w:rsidRDefault="0051610E" w:rsidP="0051610E">
            <w:pPr>
              <w:pStyle w:val="Default"/>
              <w:rPr>
                <w:sz w:val="22"/>
                <w:szCs w:val="22"/>
              </w:rPr>
            </w:pPr>
            <w:r w:rsidRPr="0051610E">
              <w:rPr>
                <w:sz w:val="22"/>
                <w:szCs w:val="22"/>
              </w:rPr>
              <w:t>omavalitsuse üksustele antavate mitmete toetuste rahastamisallikate muutmist, kuid KOVide</w:t>
            </w:r>
          </w:p>
          <w:p w14:paraId="5AF5DE2F" w14:textId="77777777" w:rsidR="0051610E" w:rsidRPr="0051610E" w:rsidRDefault="0051610E" w:rsidP="0051610E">
            <w:pPr>
              <w:pStyle w:val="Default"/>
              <w:rPr>
                <w:sz w:val="22"/>
                <w:szCs w:val="22"/>
              </w:rPr>
            </w:pPr>
            <w:r w:rsidRPr="0051610E">
              <w:rPr>
                <w:sz w:val="22"/>
                <w:szCs w:val="22"/>
              </w:rPr>
              <w:t>ülesandeid, õigusi ega kohustusi ei muudeta. Samas on tänaseks välja kujunenud olukord, kus</w:t>
            </w:r>
          </w:p>
          <w:p w14:paraId="68033B0C" w14:textId="6E86A608" w:rsidR="00FA3CD0" w:rsidRPr="0051610E" w:rsidRDefault="0051610E" w:rsidP="0051610E">
            <w:pPr>
              <w:pStyle w:val="Default"/>
              <w:rPr>
                <w:b/>
                <w:bCs/>
                <w:color w:val="44546A" w:themeColor="text2"/>
                <w:sz w:val="22"/>
                <w:szCs w:val="22"/>
              </w:rPr>
            </w:pPr>
            <w:r w:rsidRPr="0051610E">
              <w:rPr>
                <w:sz w:val="22"/>
                <w:szCs w:val="22"/>
              </w:rPr>
              <w:t>üleantavad toetused katavad vaid osa neist kuludest, mida omavalitsused vastavate ülesannete</w:t>
            </w:r>
            <w:r>
              <w:rPr>
                <w:sz w:val="22"/>
                <w:szCs w:val="22"/>
              </w:rPr>
              <w:t xml:space="preserve"> </w:t>
            </w:r>
            <w:r w:rsidRPr="0051610E">
              <w:rPr>
                <w:sz w:val="22"/>
                <w:szCs w:val="22"/>
              </w:rPr>
              <w:t>täitmiseks teevad. Teisisõnu ületab KOVide tegelik rahastus nende teenuste osutamisel oluliselt</w:t>
            </w:r>
            <w:r>
              <w:rPr>
                <w:sz w:val="22"/>
                <w:szCs w:val="22"/>
              </w:rPr>
              <w:t xml:space="preserve"> </w:t>
            </w:r>
            <w:r w:rsidRPr="0051610E">
              <w:rPr>
                <w:sz w:val="22"/>
                <w:szCs w:val="22"/>
              </w:rPr>
              <w:t>riigipoolsete toetuste mahtu. Seetõttu on oluline, et KOVide rahastamise kujundamisel arvestataks</w:t>
            </w:r>
            <w:r>
              <w:rPr>
                <w:sz w:val="22"/>
                <w:szCs w:val="22"/>
              </w:rPr>
              <w:t xml:space="preserve"> </w:t>
            </w:r>
            <w:r w:rsidRPr="0051610E">
              <w:rPr>
                <w:sz w:val="22"/>
                <w:szCs w:val="22"/>
              </w:rPr>
              <w:t>eraldi kasvava kulusurvega valdkondades, kus kohustused on riiklikult määratud (näiteks</w:t>
            </w:r>
            <w:r>
              <w:rPr>
                <w:sz w:val="22"/>
                <w:szCs w:val="22"/>
              </w:rPr>
              <w:t xml:space="preserve"> </w:t>
            </w:r>
            <w:r w:rsidRPr="0051610E">
              <w:rPr>
                <w:sz w:val="22"/>
                <w:szCs w:val="22"/>
              </w:rPr>
              <w:t>haridusvaldkonnas tõhustatud ja eritoe rakendamisel).</w:t>
            </w:r>
          </w:p>
        </w:tc>
        <w:tc>
          <w:tcPr>
            <w:tcW w:w="4389" w:type="dxa"/>
          </w:tcPr>
          <w:p w14:paraId="0AA2DC1E" w14:textId="494BC011" w:rsidR="00FA3CD0" w:rsidRPr="0051610E" w:rsidRDefault="0051610E" w:rsidP="00FA3CD0">
            <w:pPr>
              <w:rPr>
                <w:rFonts w:ascii="Times New Roman" w:hAnsi="Times New Roman" w:cs="Times New Roman"/>
                <w:b/>
                <w:bCs/>
                <w:color w:val="000000"/>
                <w:kern w:val="0"/>
              </w:rPr>
            </w:pPr>
            <w:r>
              <w:rPr>
                <w:rFonts w:ascii="Times New Roman" w:hAnsi="Times New Roman" w:cs="Times New Roman"/>
                <w:b/>
                <w:bCs/>
                <w:color w:val="000000"/>
                <w:kern w:val="0"/>
              </w:rPr>
              <w:t>Võtame teadmiseks</w:t>
            </w:r>
          </w:p>
          <w:p w14:paraId="5EFD3B09" w14:textId="4339FA5B" w:rsidR="00FA3CD0" w:rsidRPr="0051610E" w:rsidRDefault="00FA3CD0" w:rsidP="0051610E">
            <w:pPr>
              <w:rPr>
                <w:rFonts w:ascii="Times New Roman" w:hAnsi="Times New Roman" w:cs="Times New Roman"/>
                <w:b/>
                <w:bCs/>
                <w:color w:val="44546A" w:themeColor="text2"/>
                <w:highlight w:val="yellow"/>
              </w:rPr>
            </w:pPr>
          </w:p>
        </w:tc>
      </w:tr>
      <w:tr w:rsidR="0051610E" w:rsidRPr="0051610E" w14:paraId="0CB387A3" w14:textId="77777777" w:rsidTr="0080269B">
        <w:tc>
          <w:tcPr>
            <w:tcW w:w="4673" w:type="dxa"/>
          </w:tcPr>
          <w:p w14:paraId="6A980A3A" w14:textId="1B98ACB8" w:rsidR="0051610E" w:rsidRPr="0051610E" w:rsidRDefault="0051610E" w:rsidP="0051610E">
            <w:pPr>
              <w:pStyle w:val="Default"/>
              <w:rPr>
                <w:sz w:val="22"/>
                <w:szCs w:val="22"/>
              </w:rPr>
            </w:pPr>
            <w:r w:rsidRPr="0051610E">
              <w:rPr>
                <w:sz w:val="22"/>
                <w:szCs w:val="22"/>
              </w:rPr>
              <w:t>Teeme ettepaneku kaaluda PGSi muudatuseks, kus alles</w:t>
            </w:r>
            <w:r w:rsidR="006118DF">
              <w:rPr>
                <w:sz w:val="22"/>
                <w:szCs w:val="22"/>
              </w:rPr>
              <w:t xml:space="preserve"> </w:t>
            </w:r>
            <w:r w:rsidRPr="0051610E">
              <w:rPr>
                <w:sz w:val="22"/>
                <w:szCs w:val="22"/>
              </w:rPr>
              <w:t>jäävad gümnaasiumi puudutavad toetusfondi komponendid juhtimiskulude, koolituskulude, õppevahendite ja koolitoidu kulude katteks oleks vabamalt kasutamiseks, st vähendada sihtotstarbelisi piiranguid.</w:t>
            </w:r>
            <w:r w:rsidRPr="0051610E">
              <w:t xml:space="preserve"> </w:t>
            </w:r>
          </w:p>
        </w:tc>
        <w:tc>
          <w:tcPr>
            <w:tcW w:w="4389" w:type="dxa"/>
          </w:tcPr>
          <w:p w14:paraId="0C5BA435" w14:textId="77777777" w:rsidR="0051610E" w:rsidRDefault="0051610E" w:rsidP="00FA3CD0">
            <w:pPr>
              <w:rPr>
                <w:rFonts w:ascii="Times New Roman" w:hAnsi="Times New Roman" w:cs="Times New Roman"/>
                <w:b/>
                <w:bCs/>
                <w:color w:val="000000"/>
                <w:kern w:val="0"/>
              </w:rPr>
            </w:pPr>
            <w:r>
              <w:rPr>
                <w:rFonts w:ascii="Times New Roman" w:hAnsi="Times New Roman" w:cs="Times New Roman"/>
                <w:b/>
                <w:bCs/>
                <w:color w:val="000000"/>
                <w:kern w:val="0"/>
              </w:rPr>
              <w:t>Mitte arvestatud</w:t>
            </w:r>
          </w:p>
          <w:p w14:paraId="65CD3693" w14:textId="5D1062BB" w:rsidR="0051610E" w:rsidRPr="0051610E" w:rsidRDefault="000E5B88" w:rsidP="00FA3CD0">
            <w:pPr>
              <w:rPr>
                <w:rFonts w:ascii="Times New Roman" w:hAnsi="Times New Roman" w:cs="Times New Roman"/>
                <w:color w:val="000000"/>
                <w:kern w:val="0"/>
              </w:rPr>
            </w:pPr>
            <w:r>
              <w:rPr>
                <w:rFonts w:ascii="Times New Roman" w:hAnsi="Times New Roman" w:cs="Times New Roman"/>
                <w:color w:val="000000"/>
                <w:kern w:val="0"/>
              </w:rPr>
              <w:t>PGS m</w:t>
            </w:r>
            <w:r w:rsidR="006118DF">
              <w:rPr>
                <w:rFonts w:ascii="Times New Roman" w:hAnsi="Times New Roman" w:cs="Times New Roman"/>
                <w:color w:val="000000"/>
                <w:kern w:val="0"/>
              </w:rPr>
              <w:t xml:space="preserve">uud muudatused, mis ei puuduta </w:t>
            </w:r>
            <w:r w:rsidR="005C621A">
              <w:rPr>
                <w:rFonts w:ascii="Times New Roman" w:hAnsi="Times New Roman" w:cs="Times New Roman"/>
                <w:color w:val="000000"/>
                <w:kern w:val="0"/>
              </w:rPr>
              <w:t xml:space="preserve">märgitud </w:t>
            </w:r>
            <w:r w:rsidR="006118DF">
              <w:rPr>
                <w:rFonts w:ascii="Times New Roman" w:hAnsi="Times New Roman" w:cs="Times New Roman"/>
                <w:color w:val="000000"/>
                <w:kern w:val="0"/>
              </w:rPr>
              <w:t>toetuste tulubaasi üle andmist,</w:t>
            </w:r>
            <w:r w:rsidR="0051610E">
              <w:rPr>
                <w:rFonts w:ascii="Times New Roman" w:hAnsi="Times New Roman" w:cs="Times New Roman"/>
                <w:color w:val="000000"/>
                <w:kern w:val="0"/>
              </w:rPr>
              <w:t xml:space="preserve"> </w:t>
            </w:r>
            <w:r w:rsidR="006118DF">
              <w:rPr>
                <w:rFonts w:ascii="Times New Roman" w:hAnsi="Times New Roman" w:cs="Times New Roman"/>
                <w:color w:val="000000"/>
                <w:kern w:val="0"/>
              </w:rPr>
              <w:t>tuleks eelnevalt läbi arutada ja kokku leppida Haridus- ja Teadusministeeriumiga.</w:t>
            </w:r>
          </w:p>
        </w:tc>
      </w:tr>
      <w:tr w:rsidR="0051610E" w:rsidRPr="0051610E" w14:paraId="4CDC598B" w14:textId="77777777" w:rsidTr="0080269B">
        <w:tc>
          <w:tcPr>
            <w:tcW w:w="4673" w:type="dxa"/>
          </w:tcPr>
          <w:p w14:paraId="132C790E" w14:textId="442D2612" w:rsidR="0051610E" w:rsidRPr="0051610E" w:rsidRDefault="0051610E" w:rsidP="0051610E">
            <w:pPr>
              <w:pStyle w:val="Default"/>
              <w:rPr>
                <w:sz w:val="22"/>
                <w:szCs w:val="22"/>
              </w:rPr>
            </w:pPr>
            <w:r w:rsidRPr="0051610E">
              <w:rPr>
                <w:sz w:val="22"/>
                <w:szCs w:val="22"/>
              </w:rPr>
              <w:t>Ühtlasi palume Teie toetust ja kaasaabi täiendavate vahendite leidmiseks 2027. aasta riigieelarvest,</w:t>
            </w:r>
            <w:r>
              <w:rPr>
                <w:sz w:val="22"/>
                <w:szCs w:val="22"/>
              </w:rPr>
              <w:t xml:space="preserve"> </w:t>
            </w:r>
            <w:r w:rsidRPr="0051610E">
              <w:rPr>
                <w:sz w:val="22"/>
                <w:szCs w:val="22"/>
              </w:rPr>
              <w:t>et toetusfondi vahendite tõstmisel tulubaasi ei tekiks ühelgi kohalikul omavalitsusel negatiivset</w:t>
            </w:r>
            <w:r>
              <w:rPr>
                <w:sz w:val="22"/>
                <w:szCs w:val="22"/>
              </w:rPr>
              <w:t xml:space="preserve"> </w:t>
            </w:r>
            <w:r w:rsidRPr="0051610E">
              <w:rPr>
                <w:sz w:val="22"/>
                <w:szCs w:val="22"/>
              </w:rPr>
              <w:t>tulemit.</w:t>
            </w:r>
          </w:p>
        </w:tc>
        <w:tc>
          <w:tcPr>
            <w:tcW w:w="4389" w:type="dxa"/>
          </w:tcPr>
          <w:p w14:paraId="75139447" w14:textId="77777777" w:rsidR="0051610E" w:rsidRDefault="006118DF" w:rsidP="00FA3CD0">
            <w:pPr>
              <w:rPr>
                <w:rFonts w:ascii="Times New Roman" w:hAnsi="Times New Roman" w:cs="Times New Roman"/>
                <w:b/>
                <w:bCs/>
                <w:color w:val="000000"/>
                <w:kern w:val="0"/>
              </w:rPr>
            </w:pPr>
            <w:r>
              <w:rPr>
                <w:rFonts w:ascii="Times New Roman" w:hAnsi="Times New Roman" w:cs="Times New Roman"/>
                <w:b/>
                <w:bCs/>
                <w:color w:val="000000"/>
                <w:kern w:val="0"/>
              </w:rPr>
              <w:t>Arvestatud</w:t>
            </w:r>
          </w:p>
          <w:p w14:paraId="2C2CC708" w14:textId="5A9E45D4" w:rsidR="006118DF" w:rsidRPr="006118DF" w:rsidRDefault="006118DF" w:rsidP="00FA3CD0">
            <w:pPr>
              <w:rPr>
                <w:rFonts w:ascii="Times New Roman" w:hAnsi="Times New Roman" w:cs="Times New Roman"/>
                <w:color w:val="000000"/>
                <w:kern w:val="0"/>
              </w:rPr>
            </w:pPr>
            <w:r>
              <w:rPr>
                <w:rFonts w:ascii="Times New Roman" w:hAnsi="Times New Roman" w:cs="Times New Roman"/>
                <w:color w:val="000000"/>
                <w:kern w:val="0"/>
              </w:rPr>
              <w:t>Esitame taotluse lisavahendite saamiseks.</w:t>
            </w:r>
          </w:p>
        </w:tc>
      </w:tr>
      <w:bookmarkEnd w:id="0"/>
      <w:tr w:rsidR="00FA3CD0" w:rsidRPr="0051610E" w14:paraId="4694BEF3" w14:textId="77777777" w:rsidTr="0080269B">
        <w:tc>
          <w:tcPr>
            <w:tcW w:w="4673" w:type="dxa"/>
          </w:tcPr>
          <w:p w14:paraId="16B66547" w14:textId="54FA2E72" w:rsidR="00FA3CD0" w:rsidRPr="0051610E" w:rsidRDefault="006118DF" w:rsidP="00FA3CD0">
            <w:pPr>
              <w:rPr>
                <w:rFonts w:ascii="Times New Roman" w:hAnsi="Times New Roman" w:cs="Times New Roman"/>
                <w:b/>
                <w:bCs/>
                <w:color w:val="44546A" w:themeColor="text2"/>
              </w:rPr>
            </w:pPr>
            <w:r w:rsidRPr="006118DF">
              <w:rPr>
                <w:rFonts w:ascii="Times New Roman" w:hAnsi="Times New Roman" w:cs="Times New Roman"/>
                <w:b/>
                <w:bCs/>
                <w:color w:val="44546A" w:themeColor="text2"/>
              </w:rPr>
              <w:t>Eesti Tantsuhuvihariduse Liit</w:t>
            </w:r>
            <w:r>
              <w:rPr>
                <w:rFonts w:ascii="Times New Roman" w:hAnsi="Times New Roman" w:cs="Times New Roman"/>
                <w:b/>
                <w:bCs/>
                <w:color w:val="44546A" w:themeColor="text2"/>
              </w:rPr>
              <w:t xml:space="preserve">, </w:t>
            </w:r>
            <w:r w:rsidRPr="006118DF">
              <w:rPr>
                <w:rFonts w:ascii="Times New Roman" w:hAnsi="Times New Roman" w:cs="Times New Roman"/>
                <w:b/>
                <w:bCs/>
                <w:color w:val="44546A" w:themeColor="text2"/>
              </w:rPr>
              <w:t>Eesti Kunstikoolide Liit</w:t>
            </w:r>
            <w:r>
              <w:rPr>
                <w:rFonts w:ascii="Times New Roman" w:hAnsi="Times New Roman" w:cs="Times New Roman"/>
                <w:b/>
                <w:bCs/>
                <w:color w:val="44546A" w:themeColor="text2"/>
              </w:rPr>
              <w:t>,</w:t>
            </w:r>
            <w:r w:rsidRPr="006118DF">
              <w:rPr>
                <w:rFonts w:ascii="Aptos" w:hAnsi="Aptos" w:cs="Aptos"/>
                <w:kern w:val="0"/>
              </w:rPr>
              <w:t xml:space="preserve"> </w:t>
            </w:r>
            <w:r w:rsidRPr="006118DF">
              <w:rPr>
                <w:rFonts w:ascii="Times New Roman" w:hAnsi="Times New Roman" w:cs="Times New Roman"/>
                <w:b/>
                <w:bCs/>
                <w:color w:val="44546A" w:themeColor="text2"/>
              </w:rPr>
              <w:t>Eesti Huvikoolide Liit</w:t>
            </w:r>
            <w:r>
              <w:rPr>
                <w:rFonts w:ascii="Times New Roman" w:hAnsi="Times New Roman" w:cs="Times New Roman"/>
                <w:b/>
                <w:bCs/>
                <w:color w:val="44546A" w:themeColor="text2"/>
              </w:rPr>
              <w:t xml:space="preserve">, </w:t>
            </w:r>
            <w:r w:rsidRPr="006118DF">
              <w:rPr>
                <w:rFonts w:ascii="Times New Roman" w:hAnsi="Times New Roman" w:cs="Times New Roman"/>
                <w:b/>
                <w:bCs/>
                <w:color w:val="44546A" w:themeColor="text2"/>
              </w:rPr>
              <w:t>Eesti Erahuvikoolide Liit</w:t>
            </w:r>
            <w:r>
              <w:rPr>
                <w:rFonts w:ascii="Times New Roman" w:hAnsi="Times New Roman" w:cs="Times New Roman"/>
                <w:b/>
                <w:bCs/>
                <w:color w:val="44546A" w:themeColor="text2"/>
              </w:rPr>
              <w:t xml:space="preserve">, </w:t>
            </w:r>
            <w:r w:rsidRPr="006118DF">
              <w:rPr>
                <w:rFonts w:ascii="Times New Roman" w:hAnsi="Times New Roman" w:cs="Times New Roman"/>
                <w:b/>
                <w:bCs/>
                <w:color w:val="44546A" w:themeColor="text2"/>
              </w:rPr>
              <w:t>Eesti Teadushuvihariduse Liit</w:t>
            </w:r>
          </w:p>
        </w:tc>
        <w:tc>
          <w:tcPr>
            <w:tcW w:w="4389" w:type="dxa"/>
          </w:tcPr>
          <w:p w14:paraId="6E58251D" w14:textId="77777777" w:rsidR="00FA3CD0" w:rsidRPr="0051610E" w:rsidRDefault="00FA3CD0" w:rsidP="00FA3CD0">
            <w:pPr>
              <w:rPr>
                <w:rFonts w:ascii="Times New Roman" w:hAnsi="Times New Roman" w:cs="Times New Roman"/>
                <w:b/>
                <w:bCs/>
                <w:color w:val="44546A" w:themeColor="text2"/>
              </w:rPr>
            </w:pPr>
          </w:p>
        </w:tc>
      </w:tr>
      <w:tr w:rsidR="00FA3CD0" w:rsidRPr="0051610E" w14:paraId="2AD120FC" w14:textId="77777777" w:rsidTr="0080269B">
        <w:tc>
          <w:tcPr>
            <w:tcW w:w="4673" w:type="dxa"/>
          </w:tcPr>
          <w:p w14:paraId="7F0CE7AE" w14:textId="2510D9B9" w:rsidR="006118DF" w:rsidRPr="006118DF" w:rsidRDefault="006118DF" w:rsidP="006118DF">
            <w:pPr>
              <w:pStyle w:val="Default"/>
              <w:rPr>
                <w:sz w:val="22"/>
                <w:szCs w:val="22"/>
              </w:rPr>
            </w:pPr>
            <w:r w:rsidRPr="006118DF">
              <w:rPr>
                <w:sz w:val="22"/>
                <w:szCs w:val="22"/>
              </w:rPr>
              <w:t>Kui riiklik huvihariduse ja huvitegevuse toetus suunata tulubaasi ilma</w:t>
            </w:r>
            <w:r>
              <w:rPr>
                <w:sz w:val="22"/>
                <w:szCs w:val="22"/>
              </w:rPr>
              <w:t xml:space="preserve"> </w:t>
            </w:r>
            <w:r w:rsidR="00FB5AA9">
              <w:rPr>
                <w:sz w:val="22"/>
                <w:szCs w:val="22"/>
              </w:rPr>
              <w:t>s</w:t>
            </w:r>
            <w:r w:rsidRPr="006118DF">
              <w:rPr>
                <w:sz w:val="22"/>
                <w:szCs w:val="22"/>
              </w:rPr>
              <w:t>ihtfinantseerimiskohustuseta, siis huvihariduse jaoks tähendaks selline muudatus suurt</w:t>
            </w:r>
          </w:p>
          <w:p w14:paraId="2D20F9FE" w14:textId="77777777" w:rsidR="006118DF" w:rsidRPr="006118DF" w:rsidRDefault="006118DF" w:rsidP="006118DF">
            <w:pPr>
              <w:pStyle w:val="Default"/>
              <w:rPr>
                <w:sz w:val="22"/>
                <w:szCs w:val="22"/>
              </w:rPr>
            </w:pPr>
            <w:r w:rsidRPr="006118DF">
              <w:rPr>
                <w:sz w:val="22"/>
                <w:szCs w:val="22"/>
              </w:rPr>
              <w:t>tagasilööki, sest riikliku lisarahastuse toel on loodud toimivad süsteemid paljudes KOV-des ja</w:t>
            </w:r>
          </w:p>
          <w:p w14:paraId="652361CF" w14:textId="77777777" w:rsidR="006118DF" w:rsidRPr="006118DF" w:rsidRDefault="006118DF" w:rsidP="006118DF">
            <w:pPr>
              <w:pStyle w:val="Default"/>
              <w:rPr>
                <w:sz w:val="22"/>
                <w:szCs w:val="22"/>
              </w:rPr>
            </w:pPr>
            <w:r w:rsidRPr="006118DF">
              <w:rPr>
                <w:sz w:val="22"/>
                <w:szCs w:val="22"/>
              </w:rPr>
              <w:t>kui rahastus katkeks, siis laguneb ka loodu. Oluline on edendada korraga mõlemat, nii</w:t>
            </w:r>
          </w:p>
          <w:p w14:paraId="196C288E" w14:textId="77777777" w:rsidR="006118DF" w:rsidRPr="006118DF" w:rsidRDefault="006118DF" w:rsidP="006118DF">
            <w:pPr>
              <w:pStyle w:val="Default"/>
              <w:rPr>
                <w:sz w:val="22"/>
                <w:szCs w:val="22"/>
              </w:rPr>
            </w:pPr>
            <w:r w:rsidRPr="006118DF">
              <w:rPr>
                <w:sz w:val="22"/>
                <w:szCs w:val="22"/>
              </w:rPr>
              <w:t>omavalitsuste autonoomiat kui ka huvihariduse kättesaadavust - seega tänane lahendus oleks</w:t>
            </w:r>
          </w:p>
          <w:p w14:paraId="536E3C07" w14:textId="7C592E87" w:rsidR="00FA3CD0" w:rsidRPr="0051610E" w:rsidRDefault="006118DF" w:rsidP="006118DF">
            <w:pPr>
              <w:pStyle w:val="Default"/>
              <w:rPr>
                <w:sz w:val="22"/>
                <w:szCs w:val="22"/>
              </w:rPr>
            </w:pPr>
            <w:r w:rsidRPr="006118DF">
              <w:rPr>
                <w:sz w:val="22"/>
                <w:szCs w:val="22"/>
              </w:rPr>
              <w:t>riikliku huvihariduse ja huvitegevuse toetuse sihtotstarbeliseks jätmine, kuni jõustub uus valmiv</w:t>
            </w:r>
            <w:r>
              <w:rPr>
                <w:sz w:val="22"/>
                <w:szCs w:val="22"/>
              </w:rPr>
              <w:t xml:space="preserve"> </w:t>
            </w:r>
            <w:r w:rsidRPr="006118DF">
              <w:rPr>
                <w:sz w:val="22"/>
                <w:szCs w:val="22"/>
              </w:rPr>
              <w:t>noortevaldkonna seadus, milles kirjeldatakse ära kohalike omavalitsuste kohustused</w:t>
            </w:r>
            <w:r>
              <w:rPr>
                <w:sz w:val="22"/>
                <w:szCs w:val="22"/>
              </w:rPr>
              <w:t xml:space="preserve"> </w:t>
            </w:r>
            <w:r w:rsidRPr="006118DF">
              <w:rPr>
                <w:sz w:val="22"/>
                <w:szCs w:val="22"/>
              </w:rPr>
              <w:t>huvihariduse ja huvitegevuse tagamiseks.</w:t>
            </w:r>
            <w:r w:rsidR="00FA3CD0" w:rsidRPr="0051610E">
              <w:rPr>
                <w:rFonts w:eastAsia="DINPro"/>
                <w:b/>
                <w:bCs/>
                <w:sz w:val="22"/>
                <w:szCs w:val="22"/>
              </w:rPr>
              <w:t xml:space="preserve"> </w:t>
            </w:r>
          </w:p>
        </w:tc>
        <w:tc>
          <w:tcPr>
            <w:tcW w:w="4389" w:type="dxa"/>
          </w:tcPr>
          <w:p w14:paraId="4DD04767" w14:textId="5AF58DA8" w:rsidR="00FA3CD0" w:rsidRPr="0051610E" w:rsidRDefault="006118DF" w:rsidP="00FA3CD0">
            <w:pPr>
              <w:rPr>
                <w:rFonts w:ascii="Times New Roman" w:hAnsi="Times New Roman" w:cs="Times New Roman"/>
                <w:b/>
                <w:bCs/>
              </w:rPr>
            </w:pPr>
            <w:r>
              <w:rPr>
                <w:rFonts w:ascii="Times New Roman" w:hAnsi="Times New Roman" w:cs="Times New Roman"/>
                <w:b/>
                <w:bCs/>
              </w:rPr>
              <w:t>Selgitame</w:t>
            </w:r>
          </w:p>
          <w:p w14:paraId="51B379D8" w14:textId="1525280A" w:rsidR="005C621A" w:rsidRDefault="005C621A" w:rsidP="00FA3CD0">
            <w:pPr>
              <w:rPr>
                <w:rFonts w:ascii="Times New Roman" w:hAnsi="Times New Roman" w:cs="Times New Roman"/>
              </w:rPr>
            </w:pPr>
            <w:r>
              <w:rPr>
                <w:rFonts w:ascii="Times New Roman" w:hAnsi="Times New Roman" w:cs="Times New Roman"/>
              </w:rPr>
              <w:t>KOV-de rahastust muudatustega ei vähendata.</w:t>
            </w:r>
          </w:p>
          <w:p w14:paraId="661D326A" w14:textId="58A87593" w:rsidR="00FA3CD0" w:rsidRPr="0051610E" w:rsidRDefault="00B66316" w:rsidP="00FA3CD0">
            <w:pPr>
              <w:rPr>
                <w:rFonts w:ascii="Times New Roman" w:hAnsi="Times New Roman" w:cs="Times New Roman"/>
              </w:rPr>
            </w:pPr>
            <w:r>
              <w:rPr>
                <w:rFonts w:ascii="Times New Roman" w:hAnsi="Times New Roman" w:cs="Times New Roman"/>
              </w:rPr>
              <w:t>Vt Kultuuriministeeriumi ettepanekule lisatud selgitust.</w:t>
            </w:r>
          </w:p>
          <w:p w14:paraId="46B84E7C" w14:textId="6DFA49BB" w:rsidR="00FA3CD0" w:rsidRPr="0051610E" w:rsidRDefault="00FA3CD0" w:rsidP="00FA3CD0">
            <w:pPr>
              <w:rPr>
                <w:rFonts w:ascii="Times New Roman" w:hAnsi="Times New Roman" w:cs="Times New Roman"/>
              </w:rPr>
            </w:pPr>
          </w:p>
          <w:p w14:paraId="4701CAE2" w14:textId="0B7C768C" w:rsidR="00FA3CD0" w:rsidRPr="0051610E" w:rsidRDefault="00FA3CD0" w:rsidP="00FA3CD0">
            <w:pPr>
              <w:rPr>
                <w:rFonts w:ascii="Times New Roman" w:hAnsi="Times New Roman" w:cs="Times New Roman"/>
              </w:rPr>
            </w:pPr>
          </w:p>
        </w:tc>
      </w:tr>
      <w:tr w:rsidR="00385690" w:rsidRPr="0051610E" w14:paraId="5A3CA35E" w14:textId="77777777" w:rsidTr="0080269B">
        <w:tc>
          <w:tcPr>
            <w:tcW w:w="4673" w:type="dxa"/>
          </w:tcPr>
          <w:p w14:paraId="470F3F57" w14:textId="24F72A72" w:rsidR="00385690" w:rsidRPr="006118DF" w:rsidRDefault="00385690" w:rsidP="00385690">
            <w:r>
              <w:rPr>
                <w:rFonts w:ascii="Times New Roman" w:hAnsi="Times New Roman" w:cs="Times New Roman"/>
                <w:b/>
                <w:bCs/>
                <w:color w:val="44546A" w:themeColor="text2"/>
              </w:rPr>
              <w:t>Eesti Puuetega Inimeste Koda</w:t>
            </w:r>
          </w:p>
        </w:tc>
        <w:tc>
          <w:tcPr>
            <w:tcW w:w="4389" w:type="dxa"/>
          </w:tcPr>
          <w:p w14:paraId="2EFDD0B6" w14:textId="77777777" w:rsidR="00385690" w:rsidRDefault="00385690" w:rsidP="00FA3CD0">
            <w:pPr>
              <w:rPr>
                <w:rFonts w:ascii="Times New Roman" w:hAnsi="Times New Roman" w:cs="Times New Roman"/>
                <w:b/>
                <w:bCs/>
              </w:rPr>
            </w:pPr>
          </w:p>
        </w:tc>
      </w:tr>
      <w:tr w:rsidR="00385690" w:rsidRPr="0051610E" w14:paraId="52428783" w14:textId="77777777" w:rsidTr="0080269B">
        <w:tc>
          <w:tcPr>
            <w:tcW w:w="4673" w:type="dxa"/>
          </w:tcPr>
          <w:p w14:paraId="706DBC6B" w14:textId="3C8ECC8C" w:rsidR="00385690" w:rsidRDefault="00F61FB0" w:rsidP="00385690">
            <w:pPr>
              <w:pStyle w:val="Default"/>
              <w:rPr>
                <w:sz w:val="22"/>
                <w:szCs w:val="22"/>
              </w:rPr>
            </w:pPr>
            <w:r>
              <w:rPr>
                <w:sz w:val="22"/>
                <w:szCs w:val="22"/>
              </w:rPr>
              <w:t>K</w:t>
            </w:r>
            <w:r w:rsidR="00385690" w:rsidRPr="00385690">
              <w:rPr>
                <w:sz w:val="22"/>
                <w:szCs w:val="22"/>
              </w:rPr>
              <w:t>ehtestada riiklikud miinimumstandardid ja tugev järelevalvemehhanism, et tagada laste võrdne ligipääs haridusele ja tugiteenustele.</w:t>
            </w:r>
          </w:p>
        </w:tc>
        <w:tc>
          <w:tcPr>
            <w:tcW w:w="4389" w:type="dxa"/>
          </w:tcPr>
          <w:p w14:paraId="105D79BF" w14:textId="7A1E7287" w:rsidR="00385690" w:rsidRDefault="002F1144" w:rsidP="00FA3CD0">
            <w:pPr>
              <w:rPr>
                <w:rFonts w:ascii="Times New Roman" w:hAnsi="Times New Roman" w:cs="Times New Roman"/>
                <w:b/>
                <w:bCs/>
              </w:rPr>
            </w:pPr>
            <w:r>
              <w:rPr>
                <w:rFonts w:ascii="Times New Roman" w:hAnsi="Times New Roman" w:cs="Times New Roman"/>
                <w:b/>
                <w:bCs/>
              </w:rPr>
              <w:t>Selgitus</w:t>
            </w:r>
          </w:p>
          <w:p w14:paraId="5DA78C69" w14:textId="2F21CEC0" w:rsidR="007C2799" w:rsidRDefault="007C2799" w:rsidP="007C2799">
            <w:pPr>
              <w:rPr>
                <w:rFonts w:ascii="Times New Roman" w:hAnsi="Times New Roman" w:cs="Times New Roman"/>
              </w:rPr>
            </w:pPr>
            <w:r>
              <w:rPr>
                <w:rFonts w:ascii="Times New Roman" w:hAnsi="Times New Roman" w:cs="Times New Roman"/>
              </w:rPr>
              <w:t xml:space="preserve">Nõustume, et praegu olukordi, kus </w:t>
            </w:r>
            <w:r w:rsidRPr="007C2799">
              <w:rPr>
                <w:rFonts w:ascii="Times New Roman" w:hAnsi="Times New Roman" w:cs="Times New Roman"/>
              </w:rPr>
              <w:t xml:space="preserve">teenuse vajajad </w:t>
            </w:r>
            <w:r>
              <w:rPr>
                <w:rFonts w:ascii="Times New Roman" w:hAnsi="Times New Roman" w:cs="Times New Roman"/>
              </w:rPr>
              <w:t xml:space="preserve">on </w:t>
            </w:r>
            <w:r w:rsidRPr="007C2799">
              <w:rPr>
                <w:rFonts w:ascii="Times New Roman" w:hAnsi="Times New Roman" w:cs="Times New Roman"/>
              </w:rPr>
              <w:t xml:space="preserve">liiga sageli jäetud abita või on neid eksitatud administratiivsetesse rituaalidesse, mille lõpptulemus ei ole abi siiski vajalikult </w:t>
            </w:r>
            <w:r w:rsidRPr="007C2799">
              <w:rPr>
                <w:rFonts w:ascii="Times New Roman" w:hAnsi="Times New Roman" w:cs="Times New Roman"/>
              </w:rPr>
              <w:lastRenderedPageBreak/>
              <w:t>taganud. HTMi loodavas kaasava hariduse standardis määratletakse praktiliste näidete varal osapooltele kehtivast regulatsioonist tulenevad õigustatud ootused ja kohustused, mis aitaksid erimeelsusi ennetada ja lahendada ning kirjeldatakse ka protsessiskeem, mil viisil peaks tegutsema lapsevanem, kui tema lapse toevajadusele ei vastata asjakohaste meetmetega haridusasutuses.</w:t>
            </w:r>
            <w:r>
              <w:rPr>
                <w:rFonts w:ascii="Times New Roman" w:hAnsi="Times New Roman" w:cs="Times New Roman"/>
              </w:rPr>
              <w:t xml:space="preserve"> Selle loomisesse kaasatakse ka EPIK.</w:t>
            </w:r>
          </w:p>
          <w:p w14:paraId="6669EADE" w14:textId="77777777" w:rsidR="007C2799" w:rsidRDefault="007C2799" w:rsidP="00FA3CD0">
            <w:pPr>
              <w:rPr>
                <w:rFonts w:ascii="Times New Roman" w:hAnsi="Times New Roman" w:cs="Times New Roman"/>
              </w:rPr>
            </w:pPr>
          </w:p>
          <w:p w14:paraId="3CE25779" w14:textId="43BF4C7F" w:rsidR="00F61FB0" w:rsidRPr="00F61FB0" w:rsidRDefault="00F61FB0" w:rsidP="00FA3CD0">
            <w:pPr>
              <w:rPr>
                <w:rFonts w:ascii="Times New Roman" w:hAnsi="Times New Roman" w:cs="Times New Roman"/>
              </w:rPr>
            </w:pPr>
          </w:p>
        </w:tc>
      </w:tr>
      <w:tr w:rsidR="00385690" w:rsidRPr="0051610E" w14:paraId="19A9C888" w14:textId="77777777" w:rsidTr="0080269B">
        <w:tc>
          <w:tcPr>
            <w:tcW w:w="4673" w:type="dxa"/>
          </w:tcPr>
          <w:p w14:paraId="2F9FDF41" w14:textId="256D574D" w:rsidR="00385690" w:rsidRPr="00385690" w:rsidRDefault="00385690" w:rsidP="00385690">
            <w:pPr>
              <w:pStyle w:val="Default"/>
              <w:rPr>
                <w:sz w:val="22"/>
                <w:szCs w:val="22"/>
              </w:rPr>
            </w:pPr>
            <w:r w:rsidRPr="00385690">
              <w:rPr>
                <w:sz w:val="22"/>
                <w:szCs w:val="22"/>
              </w:rPr>
              <w:lastRenderedPageBreak/>
              <w:t>HEV õpilaste rahastamine peab toimuma nii, et arvesse võetakse klassikomplekte (ka vähendatud mahus) terviklikult, mitte üksnes õpilasepõhise pearaha alusel. Arvestama peab tegeliku ressursivajadusega, sh sellega, palju tugipersonali, sh õpetaja abisid, tugiisikuid või viipekeele tõlke vaja on ning milline on vajadus kohandatud õppevahendite ja –keskkonna järele.</w:t>
            </w:r>
          </w:p>
        </w:tc>
        <w:tc>
          <w:tcPr>
            <w:tcW w:w="4389" w:type="dxa"/>
          </w:tcPr>
          <w:p w14:paraId="6EF81BCC" w14:textId="77777777" w:rsidR="00F7684F" w:rsidRDefault="00F7684F" w:rsidP="00F7684F">
            <w:pPr>
              <w:rPr>
                <w:rFonts w:ascii="Times New Roman" w:hAnsi="Times New Roman" w:cs="Times New Roman"/>
                <w:b/>
                <w:bCs/>
              </w:rPr>
            </w:pPr>
            <w:r>
              <w:rPr>
                <w:rFonts w:ascii="Times New Roman" w:hAnsi="Times New Roman" w:cs="Times New Roman"/>
                <w:b/>
                <w:bCs/>
              </w:rPr>
              <w:t>Selgitus</w:t>
            </w:r>
          </w:p>
          <w:p w14:paraId="234498E2" w14:textId="360EF235" w:rsidR="00385690" w:rsidRPr="00F7684F" w:rsidRDefault="007C2799" w:rsidP="00FA3CD0">
            <w:pPr>
              <w:rPr>
                <w:rFonts w:ascii="Times New Roman" w:hAnsi="Times New Roman" w:cs="Times New Roman"/>
              </w:rPr>
            </w:pPr>
            <w:r>
              <w:rPr>
                <w:rFonts w:ascii="Times New Roman" w:hAnsi="Times New Roman" w:cs="Times New Roman"/>
              </w:rPr>
              <w:t>E</w:t>
            </w:r>
            <w:r w:rsidRPr="007C2799">
              <w:rPr>
                <w:rFonts w:ascii="Times New Roman" w:hAnsi="Times New Roman" w:cs="Times New Roman"/>
              </w:rPr>
              <w:t>ttepanek on sisuliselt mõistetav, kuid on keeruline asuda seisukohale, et see aitaks vajaliku õppekorralduse tagamisele senisest paremini kaasa. Klasside suurused on EHISe järgi äärmiselt varieeruvad, praktikas ei ole harvad juhud, kus koolivälise nõustamismeeskonna soovitatud õpe väikeklassis on juba nn tavaklassi suurust arvestades tagatud. Klassideüleste õpperühmade moodustamine on levinud, samuti ajutiselt või osaajaliselt kas väiksemas õpperühmas või ühele õpilasele keskendunud õppe korraldamine. Klass on seepärast ajas muutuv formaalne üksus, mis ei sobi standardiseeritud toetuse arvestuse aluseks. Pigem tuleks eelistada lihtsamalt administreeritavaid ja enam õppekorralduslikku paindlikust soosivaid toetuse arvestamise mudeleid.</w:t>
            </w:r>
          </w:p>
        </w:tc>
      </w:tr>
      <w:tr w:rsidR="00385690" w:rsidRPr="0051610E" w14:paraId="03819E94" w14:textId="77777777" w:rsidTr="0080269B">
        <w:tc>
          <w:tcPr>
            <w:tcW w:w="4673" w:type="dxa"/>
          </w:tcPr>
          <w:p w14:paraId="2212E5FB" w14:textId="7BBFCD6A" w:rsidR="00385690" w:rsidRPr="00385690" w:rsidRDefault="00F7684F" w:rsidP="00385690">
            <w:pPr>
              <w:pStyle w:val="Default"/>
              <w:rPr>
                <w:sz w:val="22"/>
                <w:szCs w:val="22"/>
              </w:rPr>
            </w:pPr>
            <w:r>
              <w:rPr>
                <w:sz w:val="22"/>
                <w:szCs w:val="22"/>
              </w:rPr>
              <w:t>M</w:t>
            </w:r>
            <w:r w:rsidR="00385690" w:rsidRPr="00385690">
              <w:rPr>
                <w:sz w:val="22"/>
                <w:szCs w:val="22"/>
              </w:rPr>
              <w:t>ääratleda selgelt teenuste vastutusjaotus, luua ühtne rahastusloogika ning tugevdada Haridus- ja Teadusministeeriumi ja Sotsiaalministeeriumi koostööd.</w:t>
            </w:r>
          </w:p>
        </w:tc>
        <w:tc>
          <w:tcPr>
            <w:tcW w:w="4389" w:type="dxa"/>
          </w:tcPr>
          <w:p w14:paraId="2E505DCA" w14:textId="77777777" w:rsidR="00385690" w:rsidRDefault="00F7684F" w:rsidP="00FA3CD0">
            <w:pPr>
              <w:rPr>
                <w:rFonts w:ascii="Times New Roman" w:hAnsi="Times New Roman" w:cs="Times New Roman"/>
                <w:b/>
                <w:bCs/>
              </w:rPr>
            </w:pPr>
            <w:r>
              <w:rPr>
                <w:rFonts w:ascii="Times New Roman" w:hAnsi="Times New Roman" w:cs="Times New Roman"/>
                <w:b/>
                <w:bCs/>
              </w:rPr>
              <w:t>Selgitus</w:t>
            </w:r>
          </w:p>
          <w:p w14:paraId="4A0D83AF" w14:textId="1B360454" w:rsidR="00F7684F" w:rsidRPr="00F7684F" w:rsidRDefault="007C4DD5" w:rsidP="007C4DD5">
            <w:pPr>
              <w:rPr>
                <w:rFonts w:ascii="Times New Roman" w:hAnsi="Times New Roman" w:cs="Times New Roman"/>
              </w:rPr>
            </w:pPr>
            <w:r w:rsidRPr="007C4DD5">
              <w:rPr>
                <w:rFonts w:ascii="Times New Roman" w:hAnsi="Times New Roman" w:cs="Times New Roman"/>
              </w:rPr>
              <w:t xml:space="preserve">Hariduse ja sotsiaalvaldkonna </w:t>
            </w:r>
            <w:r>
              <w:rPr>
                <w:rFonts w:ascii="Times New Roman" w:hAnsi="Times New Roman" w:cs="Times New Roman"/>
              </w:rPr>
              <w:t xml:space="preserve">eelarve </w:t>
            </w:r>
            <w:r w:rsidRPr="007C4DD5">
              <w:rPr>
                <w:rFonts w:ascii="Times New Roman" w:hAnsi="Times New Roman" w:cs="Times New Roman"/>
              </w:rPr>
              <w:t>vahel tekib eelnõuga suurem paindlikkus teenuste korraldamiseks ning ei ole edaspidi vaja seal KOV-il enam nii täpseid piire tõmmata.</w:t>
            </w:r>
          </w:p>
        </w:tc>
      </w:tr>
      <w:tr w:rsidR="00385690" w:rsidRPr="0051610E" w14:paraId="2AE3F922" w14:textId="77777777" w:rsidTr="0080269B">
        <w:tc>
          <w:tcPr>
            <w:tcW w:w="4673" w:type="dxa"/>
          </w:tcPr>
          <w:p w14:paraId="18AF2E0E" w14:textId="63D2C1C2" w:rsidR="00385690" w:rsidRPr="00385690" w:rsidRDefault="00385690" w:rsidP="00385690">
            <w:pPr>
              <w:pStyle w:val="Default"/>
              <w:rPr>
                <w:sz w:val="22"/>
                <w:szCs w:val="22"/>
              </w:rPr>
            </w:pPr>
            <w:r w:rsidRPr="00385690">
              <w:rPr>
                <w:sz w:val="22"/>
                <w:szCs w:val="22"/>
              </w:rPr>
              <w:t>Sätestada õigusaktis või selle rakendusaktides selged põhimõtted, mis tagavad erivajadustega laste võrdse ligipääsu huvitegevusele sõltumata elukohast. Selleks tuleb ette näha, et huvitegevuse rahastamisel arvestatakse erivajadustega lastega kaasnevaid täiendavaid kulusid (nt tugiisik, viipekeele tõlk, kohandatud tegevused) ning need kulud kaetakse sihtotstarbeliselt. Samuti on vajalik kehtestada miinimumstandardid või -nõuded teenuste kättesaadavusele, et vältida liigset varieeruvust kohalike omavalitsuste lõikes. EPIKoda peab kriitiliselt oluliseks, et rahastusmudel toetaks erivajadustega laste tegelikku osalemist, mitte ei jätaks seda üksnes KOV otsustada.</w:t>
            </w:r>
          </w:p>
        </w:tc>
        <w:tc>
          <w:tcPr>
            <w:tcW w:w="4389" w:type="dxa"/>
          </w:tcPr>
          <w:p w14:paraId="4EF8F562" w14:textId="77777777" w:rsidR="00F7684F" w:rsidRDefault="00F7684F" w:rsidP="00F7684F">
            <w:pPr>
              <w:rPr>
                <w:rFonts w:ascii="Times New Roman" w:hAnsi="Times New Roman" w:cs="Times New Roman"/>
                <w:b/>
                <w:bCs/>
              </w:rPr>
            </w:pPr>
            <w:r>
              <w:rPr>
                <w:rFonts w:ascii="Times New Roman" w:hAnsi="Times New Roman" w:cs="Times New Roman"/>
                <w:b/>
                <w:bCs/>
              </w:rPr>
              <w:t>Selgitus</w:t>
            </w:r>
          </w:p>
          <w:p w14:paraId="13868689" w14:textId="50D697E8" w:rsidR="00F7684F" w:rsidRPr="00F7684F" w:rsidRDefault="007C4DD5" w:rsidP="00F7684F">
            <w:pPr>
              <w:rPr>
                <w:rFonts w:ascii="Times New Roman" w:hAnsi="Times New Roman" w:cs="Times New Roman"/>
              </w:rPr>
            </w:pPr>
            <w:r>
              <w:rPr>
                <w:rFonts w:ascii="Times New Roman" w:hAnsi="Times New Roman" w:cs="Times New Roman"/>
              </w:rPr>
              <w:t>Nõustume EPIK arvamusega, et erivajadustega laste huvitegevuse võimalused on piiratud eelkõige selleks sobivate tegevuste puuduse tõttu ja see vajab täiendavat tähelepanu ja KOV-ide vastavad juhendamist. Huvitegevuse ja -hariduse toetuse osa erivajadustega laste huvitegevuse rahastamisel on väike ehk 5–8 eurot lapse kohta kuus ja seda probleemi ei lahenda. Eelnõuga parandatakse huvitegevuse rahastamise võimalusi KOV-ides.</w:t>
            </w:r>
          </w:p>
        </w:tc>
      </w:tr>
      <w:tr w:rsidR="00385690" w:rsidRPr="0051610E" w14:paraId="77BCB0DE" w14:textId="77777777" w:rsidTr="0080269B">
        <w:tc>
          <w:tcPr>
            <w:tcW w:w="4673" w:type="dxa"/>
          </w:tcPr>
          <w:p w14:paraId="584D6C72" w14:textId="5FCFCDEF" w:rsidR="00385690" w:rsidRPr="00385690" w:rsidRDefault="00385690" w:rsidP="00385690">
            <w:pPr>
              <w:pStyle w:val="Default"/>
              <w:rPr>
                <w:sz w:val="22"/>
                <w:szCs w:val="22"/>
              </w:rPr>
            </w:pPr>
            <w:r w:rsidRPr="00385690">
              <w:rPr>
                <w:sz w:val="22"/>
                <w:szCs w:val="22"/>
              </w:rPr>
              <w:t>Luua selge ja siduv KOV-ide vaheline rahastamismudel, mis tagab teenuste katkematuse sõltumata lapse elukohast.</w:t>
            </w:r>
          </w:p>
        </w:tc>
        <w:tc>
          <w:tcPr>
            <w:tcW w:w="4389" w:type="dxa"/>
          </w:tcPr>
          <w:p w14:paraId="622A2A89" w14:textId="77777777" w:rsidR="00385690" w:rsidRDefault="009B6BC0" w:rsidP="00FA3CD0">
            <w:pPr>
              <w:rPr>
                <w:rFonts w:ascii="Times New Roman" w:hAnsi="Times New Roman" w:cs="Times New Roman"/>
                <w:b/>
                <w:bCs/>
              </w:rPr>
            </w:pPr>
            <w:r>
              <w:rPr>
                <w:rFonts w:ascii="Times New Roman" w:hAnsi="Times New Roman" w:cs="Times New Roman"/>
                <w:b/>
                <w:bCs/>
              </w:rPr>
              <w:t>Selgitus</w:t>
            </w:r>
          </w:p>
          <w:p w14:paraId="2D4629C2" w14:textId="212548B9" w:rsidR="009B6BC0" w:rsidRPr="009B6BC0" w:rsidRDefault="009B6BC0" w:rsidP="00FA3CD0">
            <w:pPr>
              <w:rPr>
                <w:rFonts w:ascii="Times New Roman" w:hAnsi="Times New Roman" w:cs="Times New Roman"/>
              </w:rPr>
            </w:pPr>
            <w:r>
              <w:rPr>
                <w:rFonts w:ascii="Times New Roman" w:hAnsi="Times New Roman" w:cs="Times New Roman"/>
              </w:rPr>
              <w:t xml:space="preserve">KOV peab tagama oma põhikooliealistele lastele õppimise võimalused lähtuvalt laste </w:t>
            </w:r>
            <w:r>
              <w:rPr>
                <w:rFonts w:ascii="Times New Roman" w:hAnsi="Times New Roman" w:cs="Times New Roman"/>
              </w:rPr>
              <w:lastRenderedPageBreak/>
              <w:t xml:space="preserve">vajadustest, sh HEV lastele. </w:t>
            </w:r>
            <w:r w:rsidR="007C4DD5">
              <w:rPr>
                <w:rFonts w:ascii="Times New Roman" w:hAnsi="Times New Roman" w:cs="Times New Roman"/>
              </w:rPr>
              <w:t>Seejuures tasuvad KOV-id teises üksuses koolis käivate laste eest</w:t>
            </w:r>
            <w:r w:rsidR="00F64885">
              <w:rPr>
                <w:rFonts w:ascii="Times New Roman" w:hAnsi="Times New Roman" w:cs="Times New Roman"/>
              </w:rPr>
              <w:t xml:space="preserve"> ning see antud eelnõuga ei muutu.</w:t>
            </w:r>
            <w:r>
              <w:rPr>
                <w:rFonts w:ascii="Times New Roman" w:hAnsi="Times New Roman" w:cs="Times New Roman"/>
              </w:rPr>
              <w:t xml:space="preserve">  </w:t>
            </w:r>
          </w:p>
        </w:tc>
      </w:tr>
    </w:tbl>
    <w:p w14:paraId="1B1B2E63" w14:textId="77777777" w:rsidR="0080269B" w:rsidRPr="0080269B" w:rsidRDefault="0080269B" w:rsidP="0080269B">
      <w:pPr>
        <w:spacing w:after="0" w:line="240" w:lineRule="auto"/>
        <w:rPr>
          <w:rFonts w:ascii="Times New Roman" w:hAnsi="Times New Roman" w:cs="Times New Roman"/>
          <w:sz w:val="24"/>
          <w:szCs w:val="24"/>
        </w:rPr>
      </w:pPr>
    </w:p>
    <w:sectPr w:rsidR="0080269B" w:rsidRPr="008026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7B28F" w14:textId="77777777" w:rsidR="00103D6C" w:rsidRDefault="00103D6C" w:rsidP="004C638F">
      <w:pPr>
        <w:spacing w:after="0" w:line="240" w:lineRule="auto"/>
      </w:pPr>
      <w:r>
        <w:separator/>
      </w:r>
    </w:p>
  </w:endnote>
  <w:endnote w:type="continuationSeparator" w:id="0">
    <w:p w14:paraId="383ED4A1" w14:textId="77777777" w:rsidR="00103D6C" w:rsidRDefault="00103D6C" w:rsidP="004C6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INPro">
    <w:panose1 w:val="00000000000000000000"/>
    <w:charset w:val="00"/>
    <w:family w:val="swiss"/>
    <w:notTrueType/>
    <w:pitch w:val="variable"/>
    <w:sig w:usb0="A00002BF" w:usb1="4000207B" w:usb2="00000008"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6C1C5" w14:textId="77777777" w:rsidR="00103D6C" w:rsidRDefault="00103D6C" w:rsidP="004C638F">
      <w:pPr>
        <w:spacing w:after="0" w:line="240" w:lineRule="auto"/>
      </w:pPr>
      <w:r>
        <w:separator/>
      </w:r>
    </w:p>
  </w:footnote>
  <w:footnote w:type="continuationSeparator" w:id="0">
    <w:p w14:paraId="7A2796A0" w14:textId="77777777" w:rsidR="00103D6C" w:rsidRDefault="00103D6C" w:rsidP="004C638F">
      <w:pPr>
        <w:spacing w:after="0" w:line="240" w:lineRule="auto"/>
      </w:pPr>
      <w:r>
        <w:continuationSeparator/>
      </w:r>
    </w:p>
  </w:footnote>
  <w:footnote w:id="1">
    <w:p w14:paraId="2E79E54F" w14:textId="16E3306F" w:rsidR="00F920E8" w:rsidRDefault="00F920E8">
      <w:pPr>
        <w:pStyle w:val="FootnoteText"/>
      </w:pPr>
      <w:r>
        <w:rPr>
          <w:rStyle w:val="FootnoteReference"/>
        </w:rPr>
        <w:footnoteRef/>
      </w:r>
      <w:r>
        <w:t xml:space="preserve"> </w:t>
      </w:r>
      <w:hyperlink r:id="rId1" w:history="1">
        <w:r w:rsidRPr="004F258A">
          <w:rPr>
            <w:rStyle w:val="Hyperlink"/>
          </w:rPr>
          <w:t>https://pohiseadus.ee/sisu/3639</w:t>
        </w:r>
      </w:hyperlink>
      <w:r>
        <w:t xml:space="preserve"> </w:t>
      </w:r>
    </w:p>
  </w:footnote>
  <w:footnote w:id="2">
    <w:p w14:paraId="61E1D85B" w14:textId="59571574" w:rsidR="00B42A00" w:rsidRDefault="00B42A00">
      <w:pPr>
        <w:pStyle w:val="FootnoteText"/>
      </w:pPr>
      <w:r>
        <w:rPr>
          <w:rStyle w:val="FootnoteReference"/>
        </w:rPr>
        <w:footnoteRef/>
      </w:r>
      <w:r>
        <w:t xml:space="preserve"> </w:t>
      </w:r>
      <w:r w:rsidRPr="00B42A00">
        <w:t>Euroopa kohaliku omavalitsuse harta</w:t>
      </w:r>
      <w:r>
        <w:t xml:space="preserve"> artikkel 9 punkt 4 (</w:t>
      </w:r>
      <w:hyperlink r:id="rId2" w:history="1">
        <w:r w:rsidRPr="00386B2B">
          <w:rPr>
            <w:rStyle w:val="Hyperlink"/>
          </w:rPr>
          <w:t>https://www.riigiteataja.ee/akt/13104622</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25A3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F0B7D6"/>
    <w:multiLevelType w:val="hybridMultilevel"/>
    <w:tmpl w:val="C4CE86C6"/>
    <w:lvl w:ilvl="0" w:tplc="042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16F98C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47703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17720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41C0E2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9A763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5B507B"/>
    <w:multiLevelType w:val="hybridMultilevel"/>
    <w:tmpl w:val="77D6B2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F9D12C1"/>
    <w:multiLevelType w:val="hybridMultilevel"/>
    <w:tmpl w:val="C4881FA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B0F2BCE"/>
    <w:multiLevelType w:val="hybridMultilevel"/>
    <w:tmpl w:val="AECC7D5E"/>
    <w:lvl w:ilvl="0" w:tplc="042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0D3D7E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2BE5B01"/>
    <w:multiLevelType w:val="hybridMultilevel"/>
    <w:tmpl w:val="900C9E3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34D847F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E8A5222"/>
    <w:multiLevelType w:val="hybridMultilevel"/>
    <w:tmpl w:val="00D4FE0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64AF377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B507D5A"/>
    <w:multiLevelType w:val="hybridMultilevel"/>
    <w:tmpl w:val="6D4C87A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691344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3838734">
    <w:abstractNumId w:val="8"/>
  </w:num>
  <w:num w:numId="3" w16cid:durableId="1589659790">
    <w:abstractNumId w:val="11"/>
  </w:num>
  <w:num w:numId="4" w16cid:durableId="1735658132">
    <w:abstractNumId w:val="3"/>
  </w:num>
  <w:num w:numId="5" w16cid:durableId="1546287466">
    <w:abstractNumId w:val="10"/>
  </w:num>
  <w:num w:numId="6" w16cid:durableId="2139909984">
    <w:abstractNumId w:val="0"/>
  </w:num>
  <w:num w:numId="7" w16cid:durableId="225799753">
    <w:abstractNumId w:val="4"/>
  </w:num>
  <w:num w:numId="8" w16cid:durableId="1743675426">
    <w:abstractNumId w:val="6"/>
  </w:num>
  <w:num w:numId="9" w16cid:durableId="823743065">
    <w:abstractNumId w:val="1"/>
  </w:num>
  <w:num w:numId="10" w16cid:durableId="808597272">
    <w:abstractNumId w:val="2"/>
  </w:num>
  <w:num w:numId="11" w16cid:durableId="817696191">
    <w:abstractNumId w:val="5"/>
  </w:num>
  <w:num w:numId="12" w16cid:durableId="2027511897">
    <w:abstractNumId w:val="12"/>
  </w:num>
  <w:num w:numId="13" w16cid:durableId="1815829489">
    <w:abstractNumId w:val="14"/>
  </w:num>
  <w:num w:numId="14" w16cid:durableId="632246912">
    <w:abstractNumId w:val="13"/>
  </w:num>
  <w:num w:numId="15" w16cid:durableId="804665783">
    <w:abstractNumId w:val="9"/>
  </w:num>
  <w:num w:numId="16" w16cid:durableId="16543356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69B"/>
    <w:rsid w:val="000003C7"/>
    <w:rsid w:val="000044CC"/>
    <w:rsid w:val="000359F2"/>
    <w:rsid w:val="00047793"/>
    <w:rsid w:val="000D43D7"/>
    <w:rsid w:val="000E493F"/>
    <w:rsid w:val="000E5B88"/>
    <w:rsid w:val="000E7B29"/>
    <w:rsid w:val="00103D6C"/>
    <w:rsid w:val="0017696F"/>
    <w:rsid w:val="00183D4F"/>
    <w:rsid w:val="001A380E"/>
    <w:rsid w:val="00236B0C"/>
    <w:rsid w:val="002806E2"/>
    <w:rsid w:val="00281373"/>
    <w:rsid w:val="002949F0"/>
    <w:rsid w:val="002B7A09"/>
    <w:rsid w:val="002E0346"/>
    <w:rsid w:val="002F1144"/>
    <w:rsid w:val="0030788F"/>
    <w:rsid w:val="00374F31"/>
    <w:rsid w:val="00384555"/>
    <w:rsid w:val="00385690"/>
    <w:rsid w:val="003921E9"/>
    <w:rsid w:val="0039591E"/>
    <w:rsid w:val="003E0268"/>
    <w:rsid w:val="00453502"/>
    <w:rsid w:val="00490972"/>
    <w:rsid w:val="004C638F"/>
    <w:rsid w:val="004D04CE"/>
    <w:rsid w:val="004D319C"/>
    <w:rsid w:val="004E3216"/>
    <w:rsid w:val="0051610E"/>
    <w:rsid w:val="0052288A"/>
    <w:rsid w:val="005802ED"/>
    <w:rsid w:val="00586C9D"/>
    <w:rsid w:val="005A26CF"/>
    <w:rsid w:val="005A75E5"/>
    <w:rsid w:val="005C5F62"/>
    <w:rsid w:val="005C621A"/>
    <w:rsid w:val="005F79F4"/>
    <w:rsid w:val="006118DF"/>
    <w:rsid w:val="00614C0C"/>
    <w:rsid w:val="00656B7F"/>
    <w:rsid w:val="00680F22"/>
    <w:rsid w:val="00681467"/>
    <w:rsid w:val="006A059D"/>
    <w:rsid w:val="006A244C"/>
    <w:rsid w:val="006D067E"/>
    <w:rsid w:val="006D78E2"/>
    <w:rsid w:val="007014E0"/>
    <w:rsid w:val="00741497"/>
    <w:rsid w:val="007740DE"/>
    <w:rsid w:val="0079538D"/>
    <w:rsid w:val="007C2799"/>
    <w:rsid w:val="007C4DD5"/>
    <w:rsid w:val="0080269B"/>
    <w:rsid w:val="0081062E"/>
    <w:rsid w:val="00845997"/>
    <w:rsid w:val="00857FA4"/>
    <w:rsid w:val="00861202"/>
    <w:rsid w:val="0086420E"/>
    <w:rsid w:val="008C0F4D"/>
    <w:rsid w:val="008F0B09"/>
    <w:rsid w:val="008F5E34"/>
    <w:rsid w:val="00975995"/>
    <w:rsid w:val="0098476D"/>
    <w:rsid w:val="009A0B2D"/>
    <w:rsid w:val="009B6BC0"/>
    <w:rsid w:val="00A31065"/>
    <w:rsid w:val="00A35156"/>
    <w:rsid w:val="00A95836"/>
    <w:rsid w:val="00AD6890"/>
    <w:rsid w:val="00B21478"/>
    <w:rsid w:val="00B42A00"/>
    <w:rsid w:val="00B60007"/>
    <w:rsid w:val="00B66316"/>
    <w:rsid w:val="00B73380"/>
    <w:rsid w:val="00B764CE"/>
    <w:rsid w:val="00B777BF"/>
    <w:rsid w:val="00BB2831"/>
    <w:rsid w:val="00BC73A6"/>
    <w:rsid w:val="00BD0908"/>
    <w:rsid w:val="00BD2C97"/>
    <w:rsid w:val="00BF2FA0"/>
    <w:rsid w:val="00C533BC"/>
    <w:rsid w:val="00C5768B"/>
    <w:rsid w:val="00C67C70"/>
    <w:rsid w:val="00C8634B"/>
    <w:rsid w:val="00D1426A"/>
    <w:rsid w:val="00D15A6D"/>
    <w:rsid w:val="00D435D8"/>
    <w:rsid w:val="00D96B1B"/>
    <w:rsid w:val="00DE606E"/>
    <w:rsid w:val="00E07237"/>
    <w:rsid w:val="00E27441"/>
    <w:rsid w:val="00E3601F"/>
    <w:rsid w:val="00E639D0"/>
    <w:rsid w:val="00EA2D75"/>
    <w:rsid w:val="00ED6DF7"/>
    <w:rsid w:val="00ED730C"/>
    <w:rsid w:val="00F328BB"/>
    <w:rsid w:val="00F45269"/>
    <w:rsid w:val="00F53F35"/>
    <w:rsid w:val="00F61FB0"/>
    <w:rsid w:val="00F64885"/>
    <w:rsid w:val="00F7684F"/>
    <w:rsid w:val="00F920E8"/>
    <w:rsid w:val="00FA3CD0"/>
    <w:rsid w:val="00FA6C98"/>
    <w:rsid w:val="00FB5AA9"/>
    <w:rsid w:val="00FD1F08"/>
    <w:rsid w:val="00FD21B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0E4B"/>
  <w15:chartTrackingRefBased/>
  <w15:docId w15:val="{922B59BB-DE00-4282-A51F-101A988F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D6DF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t-E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2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69B"/>
    <w:pPr>
      <w:spacing w:after="0" w:line="240" w:lineRule="auto"/>
      <w:ind w:left="720"/>
      <w:contextualSpacing/>
      <w:jc w:val="both"/>
    </w:pPr>
    <w:rPr>
      <w:rFonts w:ascii="Times New Roman" w:eastAsia="Times New Roman" w:hAnsi="Times New Roman" w:cs="Times New Roman"/>
      <w:kern w:val="0"/>
      <w:sz w:val="24"/>
      <w:szCs w:val="24"/>
      <w14:ligatures w14:val="none"/>
    </w:rPr>
  </w:style>
  <w:style w:type="paragraph" w:customStyle="1" w:styleId="Default">
    <w:name w:val="Default"/>
    <w:rsid w:val="00C67C7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5A75E5"/>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Heading3Char">
    <w:name w:val="Heading 3 Char"/>
    <w:basedOn w:val="DefaultParagraphFont"/>
    <w:link w:val="Heading3"/>
    <w:uiPriority w:val="9"/>
    <w:rsid w:val="00ED6DF7"/>
    <w:rPr>
      <w:rFonts w:ascii="Times New Roman" w:eastAsia="Times New Roman" w:hAnsi="Times New Roman" w:cs="Times New Roman"/>
      <w:b/>
      <w:bCs/>
      <w:kern w:val="0"/>
      <w:sz w:val="27"/>
      <w:szCs w:val="27"/>
      <w:lang w:eastAsia="et-EE"/>
      <w14:ligatures w14:val="none"/>
    </w:rPr>
  </w:style>
  <w:style w:type="character" w:styleId="Strong">
    <w:name w:val="Strong"/>
    <w:basedOn w:val="DefaultParagraphFont"/>
    <w:uiPriority w:val="22"/>
    <w:qFormat/>
    <w:rsid w:val="00ED6DF7"/>
    <w:rPr>
      <w:b/>
      <w:bCs/>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l"/>
    <w:link w:val="FootnoteTextChar"/>
    <w:uiPriority w:val="99"/>
    <w:unhideWhenUsed/>
    <w:qFormat/>
    <w:rsid w:val="004C638F"/>
    <w:pPr>
      <w:spacing w:after="0" w:line="240" w:lineRule="auto"/>
      <w:ind w:left="-57"/>
    </w:pPr>
    <w:rPr>
      <w:kern w:val="0"/>
      <w:sz w:val="20"/>
      <w:szCs w:val="20"/>
      <w14:ligatures w14:val="none"/>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rsid w:val="004C638F"/>
    <w:rPr>
      <w:kern w:val="0"/>
      <w:sz w:val="20"/>
      <w:szCs w:val="20"/>
      <w14:ligatures w14:val="none"/>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uiPriority w:val="99"/>
    <w:unhideWhenUsed/>
    <w:rsid w:val="004C638F"/>
    <w:rPr>
      <w:vertAlign w:val="superscript"/>
    </w:rPr>
  </w:style>
  <w:style w:type="character" w:styleId="CommentReference">
    <w:name w:val="annotation reference"/>
    <w:basedOn w:val="DefaultParagraphFont"/>
    <w:uiPriority w:val="99"/>
    <w:semiHidden/>
    <w:unhideWhenUsed/>
    <w:rsid w:val="00B21478"/>
    <w:rPr>
      <w:sz w:val="16"/>
      <w:szCs w:val="16"/>
    </w:rPr>
  </w:style>
  <w:style w:type="paragraph" w:styleId="CommentText">
    <w:name w:val="annotation text"/>
    <w:basedOn w:val="Normal"/>
    <w:link w:val="CommentTextChar"/>
    <w:uiPriority w:val="99"/>
    <w:unhideWhenUsed/>
    <w:rsid w:val="00B21478"/>
    <w:pPr>
      <w:spacing w:line="240" w:lineRule="auto"/>
    </w:pPr>
    <w:rPr>
      <w:sz w:val="20"/>
      <w:szCs w:val="20"/>
    </w:rPr>
  </w:style>
  <w:style w:type="character" w:customStyle="1" w:styleId="CommentTextChar">
    <w:name w:val="Comment Text Char"/>
    <w:basedOn w:val="DefaultParagraphFont"/>
    <w:link w:val="CommentText"/>
    <w:uiPriority w:val="99"/>
    <w:rsid w:val="00B21478"/>
    <w:rPr>
      <w:sz w:val="20"/>
      <w:szCs w:val="20"/>
    </w:rPr>
  </w:style>
  <w:style w:type="paragraph" w:styleId="CommentSubject">
    <w:name w:val="annotation subject"/>
    <w:basedOn w:val="CommentText"/>
    <w:next w:val="CommentText"/>
    <w:link w:val="CommentSubjectChar"/>
    <w:uiPriority w:val="99"/>
    <w:semiHidden/>
    <w:unhideWhenUsed/>
    <w:rsid w:val="00B21478"/>
    <w:rPr>
      <w:b/>
      <w:bCs/>
    </w:rPr>
  </w:style>
  <w:style w:type="character" w:customStyle="1" w:styleId="CommentSubjectChar">
    <w:name w:val="Comment Subject Char"/>
    <w:basedOn w:val="CommentTextChar"/>
    <w:link w:val="CommentSubject"/>
    <w:uiPriority w:val="99"/>
    <w:semiHidden/>
    <w:rsid w:val="00B21478"/>
    <w:rPr>
      <w:b/>
      <w:bCs/>
      <w:sz w:val="20"/>
      <w:szCs w:val="20"/>
    </w:rPr>
  </w:style>
  <w:style w:type="character" w:styleId="Hyperlink">
    <w:name w:val="Hyperlink"/>
    <w:basedOn w:val="DefaultParagraphFont"/>
    <w:uiPriority w:val="99"/>
    <w:unhideWhenUsed/>
    <w:rsid w:val="00F920E8"/>
    <w:rPr>
      <w:color w:val="0563C1" w:themeColor="hyperlink"/>
      <w:u w:val="single"/>
    </w:rPr>
  </w:style>
  <w:style w:type="character" w:styleId="UnresolvedMention">
    <w:name w:val="Unresolved Mention"/>
    <w:basedOn w:val="DefaultParagraphFont"/>
    <w:uiPriority w:val="99"/>
    <w:semiHidden/>
    <w:unhideWhenUsed/>
    <w:rsid w:val="00F92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2402">
      <w:bodyDiv w:val="1"/>
      <w:marLeft w:val="0"/>
      <w:marRight w:val="0"/>
      <w:marTop w:val="0"/>
      <w:marBottom w:val="0"/>
      <w:divBdr>
        <w:top w:val="none" w:sz="0" w:space="0" w:color="auto"/>
        <w:left w:val="none" w:sz="0" w:space="0" w:color="auto"/>
        <w:bottom w:val="none" w:sz="0" w:space="0" w:color="auto"/>
        <w:right w:val="none" w:sz="0" w:space="0" w:color="auto"/>
      </w:divBdr>
    </w:div>
    <w:div w:id="716705371">
      <w:bodyDiv w:val="1"/>
      <w:marLeft w:val="0"/>
      <w:marRight w:val="0"/>
      <w:marTop w:val="0"/>
      <w:marBottom w:val="0"/>
      <w:divBdr>
        <w:top w:val="none" w:sz="0" w:space="0" w:color="auto"/>
        <w:left w:val="none" w:sz="0" w:space="0" w:color="auto"/>
        <w:bottom w:val="none" w:sz="0" w:space="0" w:color="auto"/>
        <w:right w:val="none" w:sz="0" w:space="0" w:color="auto"/>
      </w:divBdr>
    </w:div>
    <w:div w:id="1222328489">
      <w:bodyDiv w:val="1"/>
      <w:marLeft w:val="0"/>
      <w:marRight w:val="0"/>
      <w:marTop w:val="0"/>
      <w:marBottom w:val="0"/>
      <w:divBdr>
        <w:top w:val="none" w:sz="0" w:space="0" w:color="auto"/>
        <w:left w:val="none" w:sz="0" w:space="0" w:color="auto"/>
        <w:bottom w:val="none" w:sz="0" w:space="0" w:color="auto"/>
        <w:right w:val="none" w:sz="0" w:space="0" w:color="auto"/>
      </w:divBdr>
    </w:div>
    <w:div w:id="1252009779">
      <w:bodyDiv w:val="1"/>
      <w:marLeft w:val="0"/>
      <w:marRight w:val="0"/>
      <w:marTop w:val="0"/>
      <w:marBottom w:val="0"/>
      <w:divBdr>
        <w:top w:val="none" w:sz="0" w:space="0" w:color="auto"/>
        <w:left w:val="none" w:sz="0" w:space="0" w:color="auto"/>
        <w:bottom w:val="none" w:sz="0" w:space="0" w:color="auto"/>
        <w:right w:val="none" w:sz="0" w:space="0" w:color="auto"/>
      </w:divBdr>
    </w:div>
    <w:div w:id="1797914944">
      <w:bodyDiv w:val="1"/>
      <w:marLeft w:val="0"/>
      <w:marRight w:val="0"/>
      <w:marTop w:val="0"/>
      <w:marBottom w:val="0"/>
      <w:divBdr>
        <w:top w:val="none" w:sz="0" w:space="0" w:color="auto"/>
        <w:left w:val="none" w:sz="0" w:space="0" w:color="auto"/>
        <w:bottom w:val="none" w:sz="0" w:space="0" w:color="auto"/>
        <w:right w:val="none" w:sz="0" w:space="0" w:color="auto"/>
      </w:divBdr>
    </w:div>
    <w:div w:id="1810705521">
      <w:bodyDiv w:val="1"/>
      <w:marLeft w:val="0"/>
      <w:marRight w:val="0"/>
      <w:marTop w:val="0"/>
      <w:marBottom w:val="0"/>
      <w:divBdr>
        <w:top w:val="none" w:sz="0" w:space="0" w:color="auto"/>
        <w:left w:val="none" w:sz="0" w:space="0" w:color="auto"/>
        <w:bottom w:val="none" w:sz="0" w:space="0" w:color="auto"/>
        <w:right w:val="none" w:sz="0" w:space="0" w:color="auto"/>
      </w:divBdr>
      <w:divsChild>
        <w:div w:id="953632314">
          <w:marLeft w:val="0"/>
          <w:marRight w:val="0"/>
          <w:marTop w:val="0"/>
          <w:marBottom w:val="0"/>
          <w:divBdr>
            <w:top w:val="single" w:sz="6" w:space="2" w:color="C0C0C0"/>
            <w:left w:val="single" w:sz="6" w:space="3" w:color="C0C0C0"/>
            <w:bottom w:val="single" w:sz="6" w:space="2" w:color="C0C0C0"/>
            <w:right w:val="single" w:sz="6" w:space="3" w:color="C0C0C0"/>
          </w:divBdr>
        </w:div>
        <w:div w:id="1186863849">
          <w:marLeft w:val="0"/>
          <w:marRight w:val="0"/>
          <w:marTop w:val="0"/>
          <w:marBottom w:val="0"/>
          <w:divBdr>
            <w:top w:val="single" w:sz="6" w:space="2" w:color="C0C0C0"/>
            <w:left w:val="single" w:sz="6" w:space="3" w:color="C0C0C0"/>
            <w:bottom w:val="single" w:sz="6" w:space="2" w:color="C0C0C0"/>
            <w:right w:val="single" w:sz="6" w:space="3" w:color="C0C0C0"/>
          </w:divBdr>
        </w:div>
        <w:div w:id="2123651239">
          <w:marLeft w:val="0"/>
          <w:marRight w:val="0"/>
          <w:marTop w:val="0"/>
          <w:marBottom w:val="0"/>
          <w:divBdr>
            <w:top w:val="single" w:sz="6" w:space="2" w:color="C0C0C0"/>
            <w:left w:val="single" w:sz="6" w:space="3" w:color="C0C0C0"/>
            <w:bottom w:val="single" w:sz="6" w:space="2" w:color="C0C0C0"/>
            <w:right w:val="single" w:sz="6" w:space="3" w:color="C0C0C0"/>
          </w:divBdr>
        </w:div>
        <w:div w:id="568001984">
          <w:marLeft w:val="0"/>
          <w:marRight w:val="0"/>
          <w:marTop w:val="0"/>
          <w:marBottom w:val="0"/>
          <w:divBdr>
            <w:top w:val="single" w:sz="6" w:space="2" w:color="C0C0C0"/>
            <w:left w:val="single" w:sz="6" w:space="3" w:color="C0C0C0"/>
            <w:bottom w:val="single" w:sz="6" w:space="2" w:color="C0C0C0"/>
            <w:right w:val="single" w:sz="6" w:space="3" w:color="C0C0C0"/>
          </w:divBdr>
        </w:div>
        <w:div w:id="738021680">
          <w:marLeft w:val="0"/>
          <w:marRight w:val="0"/>
          <w:marTop w:val="0"/>
          <w:marBottom w:val="0"/>
          <w:divBdr>
            <w:top w:val="single" w:sz="6" w:space="2" w:color="C0C0C0"/>
            <w:left w:val="single" w:sz="6" w:space="3" w:color="C0C0C0"/>
            <w:bottom w:val="single" w:sz="6" w:space="2" w:color="C0C0C0"/>
            <w:right w:val="single" w:sz="6" w:space="3" w:color="C0C0C0"/>
          </w:divBdr>
        </w:div>
        <w:div w:id="1195509063">
          <w:marLeft w:val="0"/>
          <w:marRight w:val="0"/>
          <w:marTop w:val="0"/>
          <w:marBottom w:val="0"/>
          <w:divBdr>
            <w:top w:val="single" w:sz="6" w:space="2" w:color="C0C0C0"/>
            <w:left w:val="single" w:sz="6" w:space="3" w:color="C0C0C0"/>
            <w:bottom w:val="single" w:sz="6" w:space="2" w:color="C0C0C0"/>
            <w:right w:val="single" w:sz="6" w:space="3" w:color="C0C0C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igiteataja.ee/akt/13104622" TargetMode="External"/><Relationship Id="rId1" Type="http://schemas.openxmlformats.org/officeDocument/2006/relationships/hyperlink" Target="https://pohiseadus.ee/sisu/3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6844C-903D-457A-8734-782637003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Pages>
  <Words>1847</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Maaeluministeerium</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Sulev Liivik</dc:creator>
  <cp:keywords/>
  <dc:description/>
  <cp:lastModifiedBy>Andrus Jõgi</cp:lastModifiedBy>
  <cp:revision>25</cp:revision>
  <dcterms:created xsi:type="dcterms:W3CDTF">2026-05-07T06:46:00Z</dcterms:created>
  <dcterms:modified xsi:type="dcterms:W3CDTF">2026-05-27T09:08:00Z</dcterms:modified>
</cp:coreProperties>
</file>