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361E" w14:textId="77777777" w:rsidR="00E1408F" w:rsidRPr="00E1408F" w:rsidRDefault="00E1408F" w:rsidP="00E1408F">
      <w:pPr>
        <w:jc w:val="right"/>
        <w:rPr>
          <w:rFonts w:ascii="Arial" w:hAnsi="Arial" w:cs="Arial"/>
          <w:sz w:val="20"/>
          <w:szCs w:val="20"/>
          <w:lang w:val="et-EE"/>
        </w:rPr>
      </w:pPr>
      <w:bookmarkStart w:id="0" w:name="_GoBack"/>
      <w:bookmarkEnd w:id="0"/>
      <w:r w:rsidRPr="00E1408F">
        <w:rPr>
          <w:rFonts w:ascii="Arial" w:hAnsi="Arial" w:cs="Arial"/>
          <w:sz w:val="20"/>
          <w:szCs w:val="20"/>
          <w:lang w:val="et-EE"/>
        </w:rPr>
        <w:t>Kantsleri 18.01.2022 käskkirjaga nr 3-4/1651-1</w:t>
      </w:r>
    </w:p>
    <w:p w14:paraId="30920593" w14:textId="77777777" w:rsidR="00E1408F" w:rsidRPr="00E1408F" w:rsidRDefault="00E1408F" w:rsidP="00E1408F">
      <w:pPr>
        <w:jc w:val="right"/>
        <w:rPr>
          <w:rFonts w:ascii="Arial" w:hAnsi="Arial" w:cs="Arial"/>
          <w:sz w:val="20"/>
          <w:szCs w:val="20"/>
          <w:lang w:val="et-EE"/>
        </w:rPr>
      </w:pPr>
      <w:r w:rsidRPr="00E1408F">
        <w:rPr>
          <w:rFonts w:ascii="Arial" w:hAnsi="Arial" w:cs="Arial"/>
          <w:sz w:val="20"/>
          <w:szCs w:val="20"/>
          <w:lang w:val="et-EE"/>
        </w:rPr>
        <w:t>kinnitatud „Sotsiaalministeeriumi</w:t>
      </w:r>
    </w:p>
    <w:p w14:paraId="6CECA8CC" w14:textId="77777777" w:rsidR="00E1408F" w:rsidRPr="00E1408F" w:rsidRDefault="00E1408F" w:rsidP="00E1408F">
      <w:pPr>
        <w:jc w:val="right"/>
        <w:rPr>
          <w:rFonts w:ascii="Arial" w:hAnsi="Arial" w:cs="Arial"/>
          <w:sz w:val="20"/>
          <w:szCs w:val="20"/>
          <w:lang w:val="et-EE"/>
        </w:rPr>
      </w:pPr>
      <w:r w:rsidRPr="00E1408F">
        <w:rPr>
          <w:rFonts w:ascii="Arial" w:hAnsi="Arial" w:cs="Arial"/>
          <w:sz w:val="20"/>
          <w:szCs w:val="20"/>
          <w:lang w:val="et-EE"/>
        </w:rPr>
        <w:t xml:space="preserve">riigieelarveliste tegevus- ja projektitoetuste </w:t>
      </w:r>
    </w:p>
    <w:p w14:paraId="4E14967D" w14:textId="77777777" w:rsidR="00E1408F" w:rsidRPr="00E1408F" w:rsidRDefault="00E1408F" w:rsidP="00E1408F">
      <w:pPr>
        <w:jc w:val="right"/>
        <w:rPr>
          <w:rFonts w:ascii="Arial" w:hAnsi="Arial" w:cs="Arial"/>
          <w:sz w:val="20"/>
          <w:szCs w:val="20"/>
          <w:lang w:val="et-EE"/>
        </w:rPr>
      </w:pPr>
      <w:r w:rsidRPr="00E1408F">
        <w:rPr>
          <w:rFonts w:ascii="Arial" w:hAnsi="Arial" w:cs="Arial"/>
          <w:sz w:val="20"/>
          <w:szCs w:val="20"/>
          <w:lang w:val="et-EE"/>
        </w:rPr>
        <w:t>andmise tingimused ja kord“</w:t>
      </w:r>
    </w:p>
    <w:p w14:paraId="06DE2755" w14:textId="77777777" w:rsidR="00E1408F" w:rsidRPr="00E1408F" w:rsidRDefault="00E1408F" w:rsidP="00E1408F">
      <w:pPr>
        <w:pStyle w:val="Title"/>
        <w:jc w:val="right"/>
        <w:rPr>
          <w:rFonts w:ascii="Arial" w:hAnsi="Arial" w:cs="Arial"/>
          <w:sz w:val="20"/>
          <w:szCs w:val="20"/>
        </w:rPr>
      </w:pPr>
      <w:r w:rsidRPr="00E1408F">
        <w:rPr>
          <w:rFonts w:ascii="Arial" w:hAnsi="Arial" w:cs="Arial"/>
          <w:sz w:val="20"/>
          <w:szCs w:val="20"/>
        </w:rPr>
        <w:t>Lisa 1</w:t>
      </w:r>
    </w:p>
    <w:p w14:paraId="1397AD44" w14:textId="77777777" w:rsidR="0035258B" w:rsidRPr="00E1408F" w:rsidRDefault="0035258B">
      <w:pPr>
        <w:pStyle w:val="Title"/>
        <w:rPr>
          <w:rFonts w:ascii="Calibri" w:hAnsi="Calibri" w:cs="Calibri"/>
          <w:sz w:val="22"/>
          <w:szCs w:val="22"/>
        </w:rPr>
      </w:pPr>
    </w:p>
    <w:p w14:paraId="3CDEC4D2" w14:textId="77777777" w:rsidR="00C54D12" w:rsidRPr="00A55FF2" w:rsidRDefault="00C54D12">
      <w:pPr>
        <w:pStyle w:val="Title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B6114B" w:rsidRPr="00A55FF2" w14:paraId="1276515E" w14:textId="77777777" w:rsidTr="4FBE1E83">
        <w:tc>
          <w:tcPr>
            <w:tcW w:w="9606" w:type="dxa"/>
          </w:tcPr>
          <w:p w14:paraId="49319231" w14:textId="77777777" w:rsidR="00B6114B" w:rsidRDefault="00B6114B" w:rsidP="00B6114B">
            <w:pPr>
              <w:pStyle w:val="Titl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55FF2">
              <w:rPr>
                <w:rFonts w:ascii="Calibri" w:hAnsi="Calibri" w:cs="Calibri"/>
                <w:sz w:val="22"/>
                <w:szCs w:val="22"/>
              </w:rPr>
              <w:t>1.Taotleja nimi ja registrikood</w:t>
            </w:r>
          </w:p>
          <w:p w14:paraId="0DC23CD8" w14:textId="77777777" w:rsidR="00A55FF2" w:rsidRPr="00A55FF2" w:rsidRDefault="00A55FF2" w:rsidP="00B6114B">
            <w:pPr>
              <w:pStyle w:val="Titl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6FA4D22E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Tartu Ülikool</w:t>
            </w:r>
          </w:p>
          <w:p w14:paraId="212012E4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Reg</w:t>
            </w:r>
            <w:r w:rsidR="00573536">
              <w:rPr>
                <w:rFonts w:ascii="Calibri" w:hAnsi="Calibri" w:cs="Calibri"/>
                <w:sz w:val="22"/>
                <w:szCs w:val="22"/>
                <w:lang w:val="et-EE"/>
              </w:rPr>
              <w:t>istri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kood: 74001073</w:t>
            </w:r>
          </w:p>
          <w:p w14:paraId="6681891F" w14:textId="77777777" w:rsidR="00B6114B" w:rsidRPr="00A55FF2" w:rsidRDefault="00B6114B">
            <w:pPr>
              <w:pStyle w:val="Titl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58B" w:rsidRPr="00A55FF2" w14:paraId="413C5B84" w14:textId="77777777" w:rsidTr="4FBE1E83">
        <w:tc>
          <w:tcPr>
            <w:tcW w:w="9606" w:type="dxa"/>
          </w:tcPr>
          <w:p w14:paraId="601C343A" w14:textId="77777777" w:rsidR="0035258B" w:rsidRDefault="0035258B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2. </w:t>
            </w:r>
            <w:r w:rsidR="001B2CA5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Taotleja </w:t>
            </w:r>
            <w:r w:rsidR="005341A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juriidiline aadress</w:t>
            </w:r>
          </w:p>
          <w:p w14:paraId="350C6DF0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38E25400" w14:textId="77777777" w:rsidR="002D6787" w:rsidRPr="00A55FF2" w:rsidRDefault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Ülikooli 18, 50090 Tartu</w:t>
            </w:r>
          </w:p>
          <w:p w14:paraId="5DBD463C" w14:textId="77777777" w:rsidR="00155E67" w:rsidRPr="00A55FF2" w:rsidRDefault="00155E67">
            <w:pPr>
              <w:rPr>
                <w:rFonts w:ascii="Calibri" w:hAnsi="Calibri" w:cs="Calibri"/>
                <w:color w:val="999999"/>
                <w:sz w:val="22"/>
                <w:szCs w:val="22"/>
                <w:lang w:val="et-EE"/>
              </w:rPr>
            </w:pPr>
          </w:p>
        </w:tc>
      </w:tr>
      <w:tr w:rsidR="00C54D12" w:rsidRPr="00A55FF2" w14:paraId="4609B816" w14:textId="77777777" w:rsidTr="4FBE1E83">
        <w:tc>
          <w:tcPr>
            <w:tcW w:w="9606" w:type="dxa"/>
          </w:tcPr>
          <w:p w14:paraId="438FAA20" w14:textId="77777777" w:rsidR="00C54D12" w:rsidRDefault="002C5EF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4</w:t>
            </w:r>
            <w:r w:rsidR="0019284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. K</w:t>
            </w:r>
            <w:r w:rsidR="00C54D12" w:rsidRPr="00A55FF2">
              <w:rPr>
                <w:rFonts w:ascii="Calibri" w:hAnsi="Calibri" w:cs="Calibri"/>
                <w:sz w:val="22"/>
                <w:szCs w:val="22"/>
                <w:lang w:val="et-EE"/>
              </w:rPr>
              <w:t>ontaktandmed</w:t>
            </w:r>
            <w:r w:rsidR="00030B30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(telefon ja e-posti aadress)</w:t>
            </w:r>
          </w:p>
          <w:p w14:paraId="797E58ED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7F266AFD" w14:textId="77777777" w:rsidR="00155E67" w:rsidRPr="00A55FF2" w:rsidRDefault="003F5B08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Lili Milani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="00DA24C5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TÜ genoomika instituudi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Eesti </w:t>
            </w:r>
            <w:r w:rsidR="00DA24C5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eenivaramu </w:t>
            </w:r>
            <w:r w:rsidR="00DA24C5">
              <w:rPr>
                <w:rFonts w:ascii="Calibri" w:hAnsi="Calibri" w:cs="Calibri"/>
                <w:sz w:val="22"/>
                <w:szCs w:val="22"/>
                <w:lang w:val="et-EE"/>
              </w:rPr>
              <w:t>juhataja</w:t>
            </w:r>
          </w:p>
          <w:p w14:paraId="7FE36584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Aadress: Riia 23b, 51010 Tartu</w:t>
            </w:r>
          </w:p>
          <w:p w14:paraId="51BA71A9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Tel. + 372 5</w:t>
            </w:r>
            <w:r w:rsidR="003F5B08">
              <w:rPr>
                <w:rFonts w:ascii="Calibri" w:hAnsi="Calibri" w:cs="Calibri"/>
                <w:sz w:val="22"/>
                <w:szCs w:val="22"/>
                <w:lang w:val="et-EE"/>
              </w:rPr>
              <w:t>304 5400</w:t>
            </w:r>
          </w:p>
          <w:p w14:paraId="78A75235" w14:textId="77777777" w:rsidR="00C54D12" w:rsidRPr="00A55FF2" w:rsidRDefault="00C54D1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35258B" w:rsidRPr="00A55FF2" w14:paraId="28632C0D" w14:textId="77777777" w:rsidTr="4FBE1E83">
        <w:tc>
          <w:tcPr>
            <w:tcW w:w="9606" w:type="dxa"/>
          </w:tcPr>
          <w:p w14:paraId="7DE7EF24" w14:textId="77777777" w:rsidR="0035258B" w:rsidRPr="00A55FF2" w:rsidRDefault="002C5EF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  <w:r w:rsidR="0035258B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5341A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Arveldus</w:t>
            </w:r>
            <w:r w:rsidR="005D7D34" w:rsidRPr="00A55FF2">
              <w:rPr>
                <w:rFonts w:ascii="Calibri" w:hAnsi="Calibri" w:cs="Calibri"/>
                <w:sz w:val="22"/>
                <w:szCs w:val="22"/>
                <w:lang w:val="et-EE"/>
              </w:rPr>
              <w:t>konto</w:t>
            </w:r>
            <w:r w:rsidR="005341A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number</w:t>
            </w:r>
            <w:r w:rsidR="001E034C" w:rsidRPr="00A55FF2">
              <w:rPr>
                <w:rFonts w:ascii="Calibri" w:hAnsi="Calibri" w:cs="Calibri"/>
                <w:sz w:val="22"/>
                <w:szCs w:val="22"/>
                <w:lang w:val="et-EE"/>
              </w:rPr>
              <w:t>, viitenumber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="001E034C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pank</w:t>
            </w:r>
          </w:p>
          <w:p w14:paraId="45CE3F66" w14:textId="77777777" w:rsidR="00E169C3" w:rsidRDefault="00E169C3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146307B2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IBAN EE281010102000234007</w:t>
            </w:r>
          </w:p>
          <w:p w14:paraId="362AF0C3" w14:textId="77777777" w:rsidR="002D6787" w:rsidRPr="00A55FF2" w:rsidRDefault="002D678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35258B" w:rsidRPr="00A55FF2" w14:paraId="2C1FF43D" w14:textId="77777777" w:rsidTr="4FBE1E83">
        <w:tc>
          <w:tcPr>
            <w:tcW w:w="9606" w:type="dxa"/>
          </w:tcPr>
          <w:p w14:paraId="7F9DC5F0" w14:textId="77777777" w:rsidR="0035258B" w:rsidRDefault="002C5EF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  <w:r w:rsidR="0035258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. Taotletav summa</w:t>
            </w:r>
          </w:p>
          <w:p w14:paraId="62BF7282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6598DBD6" w14:textId="77777777" w:rsidR="002D6787" w:rsidRPr="00A55FF2" w:rsidRDefault="00214ECA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1</w:t>
            </w:r>
            <w:r w:rsidR="003F5B08">
              <w:rPr>
                <w:rFonts w:ascii="Calibri" w:hAnsi="Calibri" w:cs="Calibri"/>
                <w:sz w:val="22"/>
                <w:szCs w:val="22"/>
                <w:lang w:val="et-EE"/>
              </w:rPr>
              <w:t> 251 9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00 EUR</w:t>
            </w:r>
          </w:p>
          <w:p w14:paraId="34368F30" w14:textId="77777777" w:rsidR="00155E67" w:rsidRPr="00A55FF2" w:rsidRDefault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170E96" w:rsidRPr="00A55FF2" w14:paraId="16EC0EF1" w14:textId="77777777" w:rsidTr="4FBE1E83">
        <w:tc>
          <w:tcPr>
            <w:tcW w:w="9606" w:type="dxa"/>
          </w:tcPr>
          <w:p w14:paraId="60E98CCB" w14:textId="77777777" w:rsidR="00170E96" w:rsidRDefault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7. Toetuse kasutamise eesmärk</w:t>
            </w:r>
          </w:p>
          <w:p w14:paraId="7ACB3045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6007AFD1" w14:textId="38E8F430" w:rsidR="00155E67" w:rsidRDefault="00155E67" w:rsidP="004E4F0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Geenivaramu andmekogu</w:t>
            </w:r>
            <w:r w:rsidR="00941A5C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arendamine,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andmete ja koeproovide säilitamine ja pidamine vastavalt </w:t>
            </w:r>
            <w:r w:rsidR="0D071B9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inimgeeniuuringute seadusele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, kehtestatud protseduurireeglitele, </w:t>
            </w:r>
            <w:r w:rsidR="00E1408F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standardi EVS-NE ISO/IEC 17025:2017 nõuetele ja 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headele laboritavadele</w:t>
            </w:r>
            <w:r w:rsidR="00941A5C" w:rsidRPr="4FBE1E83">
              <w:rPr>
                <w:rFonts w:ascii="Calibri" w:hAnsi="Calibri" w:cs="Calibri"/>
                <w:sz w:val="22"/>
                <w:szCs w:val="22"/>
                <w:lang w:val="et-EE"/>
              </w:rPr>
              <w:t>, sealhulgas riikliku tähtsusega teadustaristu „Eesti Genoomikakeskus“ omafinantseerimine.</w:t>
            </w:r>
            <w:r>
              <w:br/>
            </w:r>
          </w:p>
          <w:p w14:paraId="21F0BC5F" w14:textId="7D67CB62" w:rsidR="00B30C5A" w:rsidRDefault="00323A54" w:rsidP="004E4F0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B30C5A" w:rsidRPr="4FBE1E83">
              <w:rPr>
                <w:rFonts w:ascii="Calibri" w:hAnsi="Calibri" w:cs="Calibri"/>
                <w:sz w:val="22"/>
                <w:szCs w:val="22"/>
                <w:lang w:val="et-EE"/>
              </w:rPr>
              <w:t>eenidoonori</w:t>
            </w:r>
            <w:r w:rsidR="0057353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te</w:t>
            </w:r>
            <w:r w:rsidR="00B30C5A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proovide 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sekven</w:t>
            </w:r>
            <w:r w:rsidR="00E655CE" w:rsidRPr="4FBE1E83">
              <w:rPr>
                <w:rFonts w:ascii="Calibri" w:hAnsi="Calibri" w:cs="Calibri"/>
                <w:sz w:val="22"/>
                <w:szCs w:val="22"/>
                <w:lang w:val="et-EE"/>
              </w:rPr>
              <w:t>eerimine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61736A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Euroopa algatuse 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„1</w:t>
            </w:r>
            <w:r w:rsidR="0061736A" w:rsidRPr="4FBE1E83">
              <w:rPr>
                <w:rFonts w:ascii="Calibri" w:hAnsi="Calibri" w:cs="Calibri"/>
                <w:sz w:val="22"/>
                <w:szCs w:val="22"/>
                <w:lang w:val="et-EE"/>
              </w:rPr>
              <w:t>+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Miljonit Genoomi“ (1+MG) </w:t>
            </w:r>
            <w:r w:rsidR="0F72A003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ja Euroopa Komisjoni projekti “Genome of Europe” (GoE) 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raames</w:t>
            </w:r>
            <w:r w:rsidR="007C6B09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181FCC44" w14:textId="77777777" w:rsidR="004E4F03" w:rsidRPr="00A55FF2" w:rsidRDefault="004E4F03" w:rsidP="004E4F0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170E96" w:rsidRPr="00A55FF2" w14:paraId="467F17D0" w14:textId="77777777" w:rsidTr="4FBE1E83">
        <w:tc>
          <w:tcPr>
            <w:tcW w:w="9606" w:type="dxa"/>
          </w:tcPr>
          <w:p w14:paraId="7905FCE7" w14:textId="77777777" w:rsidR="00170E96" w:rsidRDefault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8. Tegevuse elluviimise periood </w:t>
            </w:r>
          </w:p>
          <w:p w14:paraId="75C42373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0090E499" w14:textId="77777777" w:rsidR="00155E67" w:rsidRDefault="006A19EF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01.01.20</w:t>
            </w:r>
            <w:r w:rsidR="00214ECA" w:rsidRPr="00A55FF2"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="003F5B08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31.12.20</w:t>
            </w:r>
            <w:r w:rsidR="00214ECA" w:rsidRPr="00A55FF2"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="003F5B08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</w:p>
          <w:p w14:paraId="519E71C3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170E96" w:rsidRPr="00A55FF2" w14:paraId="37F52766" w14:textId="77777777" w:rsidTr="4FBE1E83">
        <w:trPr>
          <w:trHeight w:val="2684"/>
        </w:trPr>
        <w:tc>
          <w:tcPr>
            <w:tcW w:w="9606" w:type="dxa"/>
          </w:tcPr>
          <w:p w14:paraId="14C160EE" w14:textId="77777777" w:rsidR="008D0C71" w:rsidRPr="00A55FF2" w:rsidRDefault="00A90388" w:rsidP="008D0C7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9. Tegevuste kirjeldus</w:t>
            </w:r>
            <w:r w:rsidR="008D0C71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koo</w:t>
            </w:r>
            <w:r w:rsidR="0039701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s ajagraafikuga (kululiigid peavad ühtima p</w:t>
            </w:r>
            <w:r w:rsidR="004930B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39701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14 finantseelarvega)</w:t>
            </w:r>
          </w:p>
          <w:p w14:paraId="59B0402F" w14:textId="77777777" w:rsidR="00155E67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599B2DFA" w14:textId="77777777" w:rsidR="002A44FC" w:rsidRPr="00E022C4" w:rsidRDefault="002A44FC" w:rsidP="00155E67">
            <w:pPr>
              <w:rPr>
                <w:rFonts w:cs="Calibri"/>
                <w:sz w:val="22"/>
                <w:szCs w:val="22"/>
                <w:u w:val="single"/>
                <w:lang w:val="et-EE"/>
              </w:rPr>
            </w:pPr>
            <w:r w:rsidRPr="00E022C4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Geenivaramu vastutava töötleja tegevus koeproovide võtmisel, terviseseisundi kirjelduste ja sugupuude koostamisel</w:t>
            </w:r>
            <w:r w:rsid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, </w:t>
            </w:r>
            <w:r w:rsidR="00BB406C" w:rsidRP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nende pseudonüümimisel ja depseudonüümimisel ning geeniuuringute tegemisel</w:t>
            </w:r>
            <w:r w:rsidRPr="00E022C4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vastavalt IGUS § 27</w:t>
            </w:r>
            <w:r w:rsidRPr="00E022C4">
              <w:rPr>
                <w:rFonts w:ascii="Calibri" w:hAnsi="Calibri" w:cs="Calibri"/>
                <w:sz w:val="22"/>
                <w:szCs w:val="22"/>
                <w:u w:val="single"/>
                <w:vertAlign w:val="superscript"/>
                <w:lang w:val="et-EE"/>
              </w:rPr>
              <w:t>1</w:t>
            </w:r>
            <w:r w:rsidRPr="00E022C4">
              <w:rPr>
                <w:rFonts w:cs="Calibri"/>
                <w:sz w:val="22"/>
                <w:szCs w:val="22"/>
                <w:u w:val="single"/>
                <w:lang w:val="et-EE"/>
              </w:rPr>
              <w:t xml:space="preserve"> </w:t>
            </w:r>
            <w:r w:rsidRP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lg 2:</w:t>
            </w:r>
          </w:p>
          <w:p w14:paraId="313FC708" w14:textId="77777777" w:rsidR="002A44FC" w:rsidRPr="002A44FC" w:rsidRDefault="002A44FC" w:rsidP="00155E67">
            <w:pPr>
              <w:rPr>
                <w:rFonts w:cs="Calibri"/>
                <w:sz w:val="22"/>
                <w:szCs w:val="22"/>
                <w:lang w:val="et-EE"/>
              </w:rPr>
            </w:pPr>
          </w:p>
          <w:p w14:paraId="76C3575E" w14:textId="26D5231B" w:rsidR="00323A54" w:rsidRPr="003F5B08" w:rsidRDefault="002A44FC" w:rsidP="4FBE1E8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Kululiik 1</w:t>
            </w:r>
            <w:r w:rsidR="00A2492C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.1.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299CC499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eenidoonori</w:t>
            </w:r>
            <w:r w:rsidR="470F2869" w:rsidRPr="4FBE1E83">
              <w:rPr>
                <w:rFonts w:ascii="Calibri" w:hAnsi="Calibri" w:cs="Calibri"/>
                <w:sz w:val="22"/>
                <w:szCs w:val="22"/>
                <w:lang w:val="et-EE"/>
              </w:rPr>
              <w:t>te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proovi</w:t>
            </w:r>
            <w:r w:rsidR="6B0080A8" w:rsidRPr="4FBE1E83">
              <w:rPr>
                <w:rFonts w:ascii="Calibri" w:hAnsi="Calibri" w:cs="Calibri"/>
                <w:sz w:val="22"/>
                <w:szCs w:val="22"/>
                <w:lang w:val="et-EE"/>
              </w:rPr>
              <w:t>de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sekvene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erimine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FB2A4F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Euroopa algatuse 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„1</w:t>
            </w:r>
            <w:r w:rsidR="00FB2A4F" w:rsidRPr="4FBE1E83">
              <w:rPr>
                <w:rFonts w:ascii="Calibri" w:hAnsi="Calibri" w:cs="Calibri"/>
                <w:sz w:val="22"/>
                <w:szCs w:val="22"/>
                <w:lang w:val="et-EE"/>
              </w:rPr>
              <w:t>+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Miljonit Genoomi“ (1+MG) </w:t>
            </w:r>
            <w:r w:rsidR="617F8E73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ja Euroopa Komisjoni projekti “Genome of Europe” (GoE) 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raames.</w:t>
            </w:r>
            <w:r w:rsidR="00995F7D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Kokku on </w:t>
            </w:r>
            <w:r w:rsidR="1EE33F28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1+MG 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algatuse raames plaanis sekveneerida 13</w:t>
            </w:r>
            <w:r w:rsidR="008807C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00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eest</w:t>
            </w:r>
            <w:r w:rsidR="00FB2A4F" w:rsidRPr="4FBE1E83">
              <w:rPr>
                <w:rFonts w:ascii="Calibri" w:hAnsi="Calibri" w:cs="Calibri"/>
                <w:sz w:val="22"/>
                <w:szCs w:val="22"/>
                <w:lang w:val="et-EE"/>
              </w:rPr>
              <w:t>i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 500 vene</w:t>
            </w:r>
            <w:r w:rsidR="00FB2A4F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rahvusest geenidoonori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proovid</w:t>
            </w:r>
            <w:r w:rsidR="00FB2A4F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Käesoleva lepingu raames on eesmärgiks sekveneerida kuni </w:t>
            </w:r>
            <w:r w:rsidR="00C8377B" w:rsidRPr="4FBE1E83">
              <w:rPr>
                <w:rFonts w:ascii="Calibri" w:hAnsi="Calibri" w:cs="Calibri"/>
                <w:sz w:val="22"/>
                <w:szCs w:val="22"/>
                <w:lang w:val="et-EE"/>
              </w:rPr>
              <w:t>512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geenidoonori proovid</w:t>
            </w:r>
            <w:r w:rsidR="488DAB08" w:rsidRPr="4FBE1E83">
              <w:rPr>
                <w:rFonts w:ascii="Calibri" w:hAnsi="Calibri" w:cs="Calibri"/>
                <w:sz w:val="22"/>
                <w:szCs w:val="22"/>
                <w:lang w:val="et-EE"/>
              </w:rPr>
              <w:t>, mis on kaasrahastatud Euroopa Komisjoni poolt GoE projekti raames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3EFBACB5" w14:textId="77777777" w:rsidR="002A44FC" w:rsidRDefault="00E022C4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Periood: jaanuar-detsember 202</w:t>
            </w:r>
            <w:r w:rsidR="003F5B08" w:rsidRPr="4FBE1E83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</w:p>
          <w:p w14:paraId="581D6376" w14:textId="77777777" w:rsidR="00A2492C" w:rsidRDefault="00A2492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7A7D792F" w14:textId="6107684E" w:rsidR="00A2492C" w:rsidRDefault="00A2492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lastRenderedPageBreak/>
              <w:t xml:space="preserve">Kululiik 1.2. - </w:t>
            </w:r>
            <w:r w:rsidR="000F7AB3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Geeniuuringu</w:t>
            </w:r>
            <w:r w:rsidR="591397DD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te toetamiseks vajalikud </w:t>
            </w:r>
            <w:r w:rsidR="789CC211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portaali </w:t>
            </w:r>
            <w:r w:rsidR="591397DD" w:rsidRPr="4FBE1E83">
              <w:rPr>
                <w:rFonts w:ascii="Calibri" w:hAnsi="Calibri" w:cs="Calibri"/>
                <w:sz w:val="22"/>
                <w:szCs w:val="22"/>
                <w:lang w:val="et-EE"/>
              </w:rPr>
              <w:t>arendused</w:t>
            </w:r>
            <w:r w:rsidR="0BBCD55B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</w:t>
            </w:r>
            <w:r w:rsidR="591397DD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ülalpidami</w:t>
            </w:r>
            <w:r w:rsidR="36C1F67F" w:rsidRPr="4FBE1E83">
              <w:rPr>
                <w:rFonts w:ascii="Calibri" w:hAnsi="Calibri" w:cs="Calibri"/>
                <w:sz w:val="22"/>
                <w:szCs w:val="22"/>
                <w:lang w:val="et-EE"/>
              </w:rPr>
              <w:t>ne</w:t>
            </w:r>
            <w:r w:rsidR="000F7AB3" w:rsidRPr="4FBE1E83">
              <w:rPr>
                <w:rFonts w:ascii="Calibri" w:hAnsi="Calibri" w:cs="Calibri"/>
                <w:sz w:val="22"/>
                <w:szCs w:val="22"/>
                <w:lang w:val="et-EE"/>
              </w:rPr>
              <w:t>, sh IT lahendused, tööjõukulu</w:t>
            </w:r>
            <w:r w:rsidR="291A4CC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65A8C05D" w14:textId="728EC96E" w:rsidR="00E022C4" w:rsidRDefault="00E022C4" w:rsidP="3A0BD31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15E89D42" w14:textId="77777777" w:rsidR="002A44FC" w:rsidRPr="00E022C4" w:rsidRDefault="002A44FC" w:rsidP="00155E67">
            <w:pPr>
              <w:rPr>
                <w:rFonts w:cs="Calibri"/>
                <w:sz w:val="22"/>
                <w:szCs w:val="22"/>
                <w:u w:val="single"/>
                <w:lang w:val="et-EE"/>
              </w:rPr>
            </w:pPr>
            <w:r w:rsidRPr="00E022C4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Geenivaramu vastutava töötleja tegevus geenivaramu pidamisel ja säilitamisel vastavalt IGUS § 27</w:t>
            </w:r>
            <w:r w:rsidRPr="00E022C4">
              <w:rPr>
                <w:rFonts w:ascii="Calibri" w:hAnsi="Calibri" w:cs="Calibri"/>
                <w:sz w:val="22"/>
                <w:szCs w:val="22"/>
                <w:u w:val="single"/>
                <w:vertAlign w:val="superscript"/>
                <w:lang w:val="et-EE"/>
              </w:rPr>
              <w:t>1</w:t>
            </w:r>
            <w:r w:rsidRPr="00E022C4">
              <w:rPr>
                <w:rFonts w:cs="Calibri"/>
                <w:sz w:val="22"/>
                <w:szCs w:val="22"/>
                <w:u w:val="single"/>
                <w:lang w:val="et-EE"/>
              </w:rPr>
              <w:t xml:space="preserve"> </w:t>
            </w:r>
            <w:r w:rsidRP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lg 1:</w:t>
            </w:r>
          </w:p>
          <w:p w14:paraId="17E5BA61" w14:textId="77777777" w:rsidR="002A44FC" w:rsidRDefault="002A44F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632BE710" w14:textId="7A412652" w:rsidR="00A2492C" w:rsidRDefault="00A2492C" w:rsidP="00A2492C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Kululiik 2 - riikliku tähtsusega teadustaristu „Eesti Genoomikakeskus“ finantseerimi</w:t>
            </w:r>
            <w:r w:rsidR="5DCE8668" w:rsidRPr="4FBE1E83">
              <w:rPr>
                <w:rFonts w:ascii="Calibri" w:hAnsi="Calibri" w:cs="Calibri"/>
                <w:sz w:val="22"/>
                <w:szCs w:val="22"/>
                <w:lang w:val="et-EE"/>
              </w:rPr>
              <w:t>s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e</w:t>
            </w:r>
            <w:r w:rsidR="5DCE8668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kaudu Eesti geenivaramu pidamise ja säilitamise ülesannete täitmine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Eesti Genoomikakeskuse </w:t>
            </w:r>
            <w:r w:rsidR="00D1B150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rahastuse 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raames on planeeritud Eesti geenivaramu IT infrastruktuuri arendamine, andmeturbe parendamine ning Eesti geenivaramu  andmetele ligipääsu lihtsustamine.</w:t>
            </w:r>
          </w:p>
          <w:p w14:paraId="264C4A20" w14:textId="112B7EC1" w:rsidR="00A2492C" w:rsidRDefault="18C088F4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Periood: jaanuar - detsember 2025</w:t>
            </w:r>
          </w:p>
          <w:p w14:paraId="538045A8" w14:textId="55376037" w:rsidR="4FBE1E83" w:rsidRDefault="4FBE1E83" w:rsidP="4FBE1E8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57C46406" w14:textId="77777777" w:rsidR="00155E67" w:rsidRPr="00186AA1" w:rsidRDefault="00155E67" w:rsidP="4FBE1E8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A2492C" w:rsidRPr="4FBE1E83">
              <w:rPr>
                <w:rFonts w:ascii="Calibri" w:hAnsi="Calibri" w:cs="Calibri"/>
                <w:sz w:val="22"/>
                <w:szCs w:val="22"/>
                <w:lang w:val="et-EE"/>
              </w:rPr>
              <w:t>3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0054440C" w:rsidRPr="4FBE1E83">
              <w:rPr>
                <w:rFonts w:ascii="Calibri" w:hAnsi="Calibri" w:cs="Calibri"/>
                <w:sz w:val="22"/>
                <w:szCs w:val="22"/>
                <w:lang w:val="et-EE"/>
              </w:rPr>
              <w:t>T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ööjõukulud:</w:t>
            </w:r>
            <w:r w:rsidR="00750660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Eesti geenivaram</w:t>
            </w:r>
            <w:r w:rsidR="001359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u</w:t>
            </w:r>
            <w:r w:rsidR="00750660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töötajate (administratiivtöötajad,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IT</w:t>
            </w:r>
            <w:r w:rsidR="00750660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 andmekogumise osakondade nin</w:t>
            </w:r>
            <w:r w:rsidR="005B7E63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750660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biopanga</w:t>
            </w:r>
            <w:r w:rsidR="00750660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labori ja hoidla töötaja</w:t>
            </w:r>
            <w:r w:rsidR="005B7E63" w:rsidRPr="4FBE1E83">
              <w:rPr>
                <w:rFonts w:ascii="Calibri" w:hAnsi="Calibri" w:cs="Calibri"/>
                <w:sz w:val="22"/>
                <w:szCs w:val="22"/>
                <w:lang w:val="et-EE"/>
              </w:rPr>
              <w:t>te</w:t>
            </w:r>
            <w:r w:rsidR="00750660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). </w:t>
            </w:r>
            <w:r w:rsidR="005B7E63" w:rsidRPr="4FBE1E83">
              <w:rPr>
                <w:rFonts w:ascii="Calibri" w:hAnsi="Calibri" w:cs="Calibri"/>
                <w:sz w:val="22"/>
                <w:szCs w:val="22"/>
                <w:lang w:val="et-EE"/>
              </w:rPr>
              <w:t>Tegevustest võib näitena välja tuua geenivaramu andmebaasi täiendamise ja korrastamise,</w:t>
            </w:r>
            <w:r w:rsidR="00E000FA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labori</w:t>
            </w:r>
            <w:r w:rsidR="001359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s </w:t>
            </w:r>
            <w:r w:rsidR="00E000FA" w:rsidRPr="4FBE1E83">
              <w:rPr>
                <w:rFonts w:ascii="Calibri" w:hAnsi="Calibri" w:cs="Calibri"/>
                <w:sz w:val="22"/>
                <w:szCs w:val="22"/>
                <w:lang w:val="et-EE"/>
              </w:rPr>
              <w:t>sekveneerimisproovide ettevalmistami</w:t>
            </w:r>
            <w:r w:rsidR="001359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ne</w:t>
            </w:r>
            <w:r w:rsidR="00E000FA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ning olemasolevate proovide kvaliteedi kontrollimi</w:t>
            </w:r>
            <w:r w:rsidR="001359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ne</w:t>
            </w:r>
            <w:r w:rsidR="00E000FA" w:rsidRPr="4FBE1E83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="005B7E63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TÜ senati ning Eesti bioeetika ja inimuuringute nõukogu kooskõlastuste 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taotlemi</w:t>
            </w:r>
            <w:r w:rsidR="001359B2" w:rsidRPr="00186AA1">
              <w:rPr>
                <w:rFonts w:ascii="Calibri" w:hAnsi="Calibri" w:cs="Calibri"/>
                <w:sz w:val="22"/>
                <w:szCs w:val="22"/>
                <w:lang w:val="et-EE"/>
              </w:rPr>
              <w:t>ne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, </w:t>
            </w:r>
            <w:r w:rsidR="00BB406C" w:rsidRPr="00186AA1">
              <w:rPr>
                <w:rFonts w:ascii="Calibri" w:hAnsi="Calibri" w:cs="Calibri"/>
                <w:sz w:val="22"/>
                <w:szCs w:val="22"/>
                <w:lang w:val="et-EE"/>
              </w:rPr>
              <w:t>geenidoonoritega suhtlemi</w:t>
            </w:r>
            <w:r w:rsidR="001359B2" w:rsidRPr="00186AA1">
              <w:rPr>
                <w:rFonts w:ascii="Calibri" w:hAnsi="Calibri" w:cs="Calibri"/>
                <w:sz w:val="22"/>
                <w:szCs w:val="22"/>
                <w:lang w:val="et-EE"/>
              </w:rPr>
              <w:t>ne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="00C26C8D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sh läbi geenidoonorite portaali „Minu</w:t>
            </w:r>
            <w:r w:rsidR="001359B2" w:rsidRPr="00186AA1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C26C8D" w:rsidRPr="00186AA1">
              <w:rPr>
                <w:rFonts w:ascii="Calibri" w:hAnsi="Calibri" w:cs="Calibri"/>
                <w:sz w:val="22"/>
                <w:szCs w:val="22"/>
                <w:lang w:val="et-EE"/>
              </w:rPr>
              <w:t>eenivaramu“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243E0F13" w14:textId="5AC0ED16" w:rsidR="00155E67" w:rsidRPr="00186AA1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>Periood:</w:t>
            </w:r>
            <w:r w:rsidR="00290573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jaanuar</w:t>
            </w:r>
            <w:r w:rsidR="487B73D3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29057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-</w:t>
            </w:r>
            <w:r w:rsidR="487B73D3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29057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detsember 20</w:t>
            </w:r>
            <w:r w:rsidR="00BC7978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="003F5B08" w:rsidRPr="00186AA1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</w:p>
          <w:p w14:paraId="7BD51E05" w14:textId="77777777" w:rsidR="00BE62B5" w:rsidRPr="00186AA1" w:rsidRDefault="00BE62B5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39EDA904" w14:textId="77777777" w:rsidR="00BE62B5" w:rsidRPr="00186AA1" w:rsidRDefault="00BE62B5" w:rsidP="00BE62B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A2492C" w:rsidRPr="00186AA1">
              <w:rPr>
                <w:rFonts w:ascii="Calibri" w:hAnsi="Calibri" w:cs="Calibri"/>
                <w:sz w:val="22"/>
                <w:szCs w:val="22"/>
                <w:lang w:val="et-EE"/>
              </w:rPr>
              <w:t>4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IT kulud</w:t>
            </w:r>
            <w:r w:rsidR="001359B2" w:rsidRPr="00186AA1">
              <w:rPr>
                <w:rFonts w:ascii="Calibri" w:hAnsi="Calibri" w:cs="Calibri"/>
                <w:sz w:val="22"/>
                <w:szCs w:val="22"/>
                <w:lang w:val="et-EE"/>
              </w:rPr>
              <w:t>: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IT riistvara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sh serveripar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gi uuendamine</w:t>
            </w:r>
            <w:r w:rsidR="001359B2" w:rsidRPr="00186AA1">
              <w:rPr>
                <w:rFonts w:ascii="Calibri" w:hAnsi="Calibri" w:cs="Calibri"/>
                <w:sz w:val="22"/>
                <w:szCs w:val="22"/>
                <w:lang w:val="et-EE"/>
              </w:rPr>
              <w:t>;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tarkvara haldamine, hooldamine ja arendamine, andmebaasi kasutamise funktsionaalsuse tagamine</w:t>
            </w:r>
            <w:r w:rsidR="001359B2" w:rsidRPr="00186AA1">
              <w:rPr>
                <w:rFonts w:ascii="Calibri" w:hAnsi="Calibri" w:cs="Calibri"/>
                <w:sz w:val="22"/>
                <w:szCs w:val="22"/>
                <w:lang w:val="et-EE"/>
              </w:rPr>
              <w:t>;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andmete varundamine.</w:t>
            </w:r>
            <w:r w:rsidR="006E4A8C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</w:p>
          <w:p w14:paraId="6D79DA63" w14:textId="77777777" w:rsidR="00BE62B5" w:rsidRPr="00186AA1" w:rsidRDefault="00BE62B5" w:rsidP="00BE62B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detsember </w:t>
            </w:r>
            <w:r w:rsidR="0023408B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3F5B08" w:rsidRPr="00186AA1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</w:p>
          <w:p w14:paraId="76BC034B" w14:textId="77777777" w:rsidR="00BE62B5" w:rsidRPr="00186AA1" w:rsidRDefault="00BE62B5" w:rsidP="00BE62B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25D753DA" w14:textId="28651F33" w:rsidR="00D66543" w:rsidRPr="00186AA1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A2492C" w:rsidRPr="00186AA1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0054440C" w:rsidRPr="00186AA1">
              <w:rPr>
                <w:rFonts w:ascii="Calibri" w:hAnsi="Calibri" w:cs="Calibri"/>
                <w:sz w:val="22"/>
                <w:szCs w:val="22"/>
                <w:lang w:val="et-EE"/>
              </w:rPr>
              <w:t>I</w:t>
            </w:r>
            <w:r w:rsidR="00E41EAB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nvesteeringud põhivarasse: </w:t>
            </w:r>
            <w:r w:rsidR="6DB37509" w:rsidRPr="00186AA1">
              <w:rPr>
                <w:rFonts w:ascii="Calibri" w:hAnsi="Calibri" w:cs="Calibri"/>
                <w:sz w:val="22"/>
                <w:szCs w:val="22"/>
                <w:lang w:val="et-EE"/>
              </w:rPr>
              <w:t>geenidoonorite koeproovide hoiustamiseks kasutatavate veeldatud lämmastiku hoiunõude täitmine veeldatud lämmastikuga</w:t>
            </w:r>
            <w:r w:rsidR="00E41EAB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Veeldatud </w:t>
            </w:r>
            <w:r w:rsidR="0029057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lämmastik</w:t>
            </w:r>
            <w:r w:rsidR="0054440C" w:rsidRPr="00186AA1">
              <w:rPr>
                <w:rFonts w:ascii="Calibri" w:hAnsi="Calibri" w:cs="Calibri"/>
                <w:sz w:val="22"/>
                <w:szCs w:val="22"/>
                <w:lang w:val="et-EE"/>
              </w:rPr>
              <w:t>u</w:t>
            </w:r>
            <w:r w:rsidR="00BC7978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54440C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 </w:t>
            </w:r>
            <w:r w:rsidR="00BC7978" w:rsidRPr="00186AA1">
              <w:rPr>
                <w:rFonts w:ascii="Calibri" w:hAnsi="Calibri" w:cs="Calibri"/>
                <w:sz w:val="22"/>
                <w:szCs w:val="22"/>
                <w:lang w:val="et-EE"/>
              </w:rPr>
              <w:t>a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>asta</w:t>
            </w:r>
            <w:r w:rsidR="0054440C" w:rsidRPr="00186AA1">
              <w:rPr>
                <w:rFonts w:ascii="Calibri" w:hAnsi="Calibri" w:cs="Calibri"/>
                <w:sz w:val="22"/>
                <w:szCs w:val="22"/>
                <w:lang w:val="et-EE"/>
              </w:rPr>
              <w:t>s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on 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ca </w:t>
            </w:r>
            <w:r w:rsidR="00E41EAB" w:rsidRPr="00186AA1">
              <w:rPr>
                <w:rFonts w:ascii="Calibri" w:hAnsi="Calibri" w:cs="Calibri"/>
                <w:sz w:val="22"/>
                <w:szCs w:val="22"/>
                <w:lang w:val="et-EE"/>
              </w:rPr>
              <w:t>1</w:t>
            </w:r>
            <w:r w:rsidR="00B30C5A" w:rsidRPr="00186AA1">
              <w:rPr>
                <w:rFonts w:ascii="Calibri" w:hAnsi="Calibri" w:cs="Calibri"/>
                <w:sz w:val="22"/>
                <w:szCs w:val="22"/>
                <w:lang w:val="et-EE"/>
              </w:rPr>
              <w:t>3</w:t>
            </w:r>
            <w:r w:rsidR="005F0299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tonni. </w:t>
            </w:r>
          </w:p>
          <w:p w14:paraId="50B8928F" w14:textId="77777777" w:rsidR="00155E67" w:rsidRPr="00186AA1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detsember </w:t>
            </w:r>
            <w:r w:rsidR="0023408B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3F5B08" w:rsidRPr="00186AA1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</w:p>
          <w:p w14:paraId="53DB52E9" w14:textId="77777777" w:rsidR="00E022C4" w:rsidRPr="00186AA1" w:rsidRDefault="00E022C4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2008A21E" w14:textId="7BA8852D" w:rsidR="00282FD1" w:rsidRPr="00186AA1" w:rsidRDefault="00D17E17" w:rsidP="00282FD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A2492C" w:rsidRPr="00186AA1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00BC7978" w:rsidRPr="00186AA1">
              <w:rPr>
                <w:rFonts w:ascii="Calibri" w:hAnsi="Calibri" w:cs="Calibri"/>
                <w:sz w:val="22"/>
                <w:szCs w:val="22"/>
                <w:lang w:val="et-EE"/>
              </w:rPr>
              <w:t>Inventari ja s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>eadmete</w:t>
            </w:r>
            <w:r w:rsidR="00BC7978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soetused ja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EA2536" w:rsidRPr="00186AA1">
              <w:rPr>
                <w:rFonts w:ascii="Calibri" w:hAnsi="Calibri" w:cs="Calibri"/>
                <w:sz w:val="22"/>
                <w:szCs w:val="22"/>
                <w:lang w:val="et-EE"/>
              </w:rPr>
              <w:t>hooldus</w:t>
            </w:r>
            <w:r w:rsidR="00260226" w:rsidRPr="00186AA1">
              <w:rPr>
                <w:rFonts w:ascii="Calibri" w:hAnsi="Calibri" w:cs="Calibri"/>
                <w:sz w:val="22"/>
                <w:szCs w:val="22"/>
                <w:lang w:val="et-EE"/>
              </w:rPr>
              <w:t>, sh</w:t>
            </w:r>
            <w:r w:rsidR="26E1EEEB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282FD1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biopanga </w:t>
            </w:r>
            <w:r w:rsidR="2C02F845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automatiseeritud –20C </w:t>
            </w:r>
            <w:r w:rsidR="00282FD1" w:rsidRPr="00186AA1">
              <w:rPr>
                <w:rFonts w:ascii="Calibri" w:hAnsi="Calibri" w:cs="Calibri"/>
                <w:sz w:val="22"/>
                <w:szCs w:val="22"/>
                <w:lang w:val="et-EE"/>
              </w:rPr>
              <w:t>säilitussüsteem</w:t>
            </w:r>
            <w:r w:rsidR="2B413C4A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koos DNA väljastamise robotiga</w:t>
            </w:r>
            <w:r w:rsidR="00282FD1" w:rsidRPr="00186AA1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="1C7F00A0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veeldatud lämmastiku hoiunõud,</w:t>
            </w:r>
            <w:r w:rsidR="00282FD1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hapniku kontsentratsiooni mõõte</w:t>
            </w:r>
            <w:r w:rsidR="00C53BB1" w:rsidRPr="00186AA1">
              <w:rPr>
                <w:rFonts w:ascii="Calibri" w:hAnsi="Calibri" w:cs="Calibri"/>
                <w:sz w:val="22"/>
                <w:szCs w:val="22"/>
                <w:lang w:val="et-EE"/>
              </w:rPr>
              <w:t>-</w:t>
            </w:r>
            <w:r w:rsidR="00282FD1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 häiresüsteem, </w:t>
            </w:r>
            <w:r w:rsidR="65179ADD" w:rsidRPr="00186AA1">
              <w:rPr>
                <w:rFonts w:ascii="Calibri" w:hAnsi="Calibri" w:cs="Calibri"/>
                <w:sz w:val="22"/>
                <w:szCs w:val="22"/>
                <w:lang w:val="et-EE"/>
              </w:rPr>
              <w:t>-20C ja –80C külmikud, temperatuuride mõõte- ja häiresüsteem, vereproovide</w:t>
            </w:r>
            <w:r w:rsidR="00282FD1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fraktsioneerimise robot,  DNA eraldamise seade, DNA kvaliteedikontrolli seade, andmete hoiustamisserverid jms.</w:t>
            </w:r>
          </w:p>
          <w:p w14:paraId="06401AD7" w14:textId="77777777" w:rsidR="00D17E17" w:rsidRPr="00186AA1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detsember </w:t>
            </w:r>
            <w:r w:rsidR="0023408B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3F5B08" w:rsidRPr="00186AA1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  <w:r w:rsidR="0023408B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 </w:t>
            </w:r>
          </w:p>
          <w:p w14:paraId="64525796" w14:textId="77777777" w:rsidR="00155E67" w:rsidRPr="00186AA1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45F6F926" w14:textId="77777777" w:rsidR="0054440C" w:rsidRPr="00186AA1" w:rsidRDefault="0054440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A2492C" w:rsidRPr="00186AA1">
              <w:rPr>
                <w:rFonts w:ascii="Calibri" w:hAnsi="Calibri" w:cs="Calibri"/>
                <w:sz w:val="22"/>
                <w:szCs w:val="22"/>
                <w:lang w:val="et-EE"/>
              </w:rPr>
              <w:t>7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Proovide ja andmete kvaliteedikontroll.</w:t>
            </w:r>
          </w:p>
          <w:p w14:paraId="2EC0F09C" w14:textId="77777777" w:rsidR="0054440C" w:rsidRPr="00186AA1" w:rsidRDefault="0054440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detsember </w:t>
            </w:r>
            <w:r w:rsidR="0023408B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3F5B08" w:rsidRPr="00186AA1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</w:p>
          <w:p w14:paraId="3ADB674A" w14:textId="77777777" w:rsidR="007F2591" w:rsidRPr="00186AA1" w:rsidRDefault="007F2591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0E165AD3" w14:textId="3A51C62F" w:rsidR="00C26C8D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A2492C" w:rsidRPr="00186AA1">
              <w:rPr>
                <w:rFonts w:ascii="Calibri" w:hAnsi="Calibri" w:cs="Calibri"/>
                <w:sz w:val="22"/>
                <w:szCs w:val="22"/>
                <w:lang w:val="et-EE"/>
              </w:rPr>
              <w:t>8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00C26C8D" w:rsidRPr="00186AA1">
              <w:rPr>
                <w:rFonts w:ascii="Calibri" w:hAnsi="Calibri" w:cs="Calibri"/>
                <w:sz w:val="22"/>
                <w:szCs w:val="22"/>
                <w:lang w:val="et-EE"/>
              </w:rPr>
              <w:t>Kommunikatsioon geenidoonoritega, sh portaal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i „Minu</w:t>
            </w:r>
            <w:r w:rsidR="001359B2" w:rsidRPr="00186AA1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eenivaramu“</w:t>
            </w:r>
            <w:r w:rsidR="00C26C8D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infotehnoloogilised</w:t>
            </w:r>
            <w:r w:rsidR="00C26C8D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arendused ja hooldus, portaali sisustamine.</w:t>
            </w:r>
          </w:p>
          <w:p w14:paraId="0AA71B6F" w14:textId="77777777" w:rsidR="00C26C8D" w:rsidRDefault="00C26C8D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Periood: jaanuar – detsember 202</w:t>
            </w:r>
            <w:r w:rsidR="003F5B08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</w:p>
          <w:p w14:paraId="47D42F71" w14:textId="77777777" w:rsidR="00C26C8D" w:rsidRDefault="00C26C8D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322CCBC8" w14:textId="77777777" w:rsidR="00EA2536" w:rsidRPr="00A55FF2" w:rsidRDefault="00C26C8D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A2492C">
              <w:rPr>
                <w:rFonts w:ascii="Calibri" w:hAnsi="Calibri" w:cs="Calibri"/>
                <w:sz w:val="22"/>
                <w:szCs w:val="22"/>
                <w:lang w:val="et-EE"/>
              </w:rPr>
              <w:t>9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</w:t>
            </w: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  </w:t>
            </w:r>
            <w:r w:rsidR="00EA2536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Administreerimisega seotud kulud, sh </w:t>
            </w:r>
            <w:r w:rsidR="00BE62B5">
              <w:rPr>
                <w:rFonts w:ascii="Calibri" w:hAnsi="Calibri" w:cs="Calibri"/>
                <w:sz w:val="22"/>
                <w:szCs w:val="22"/>
                <w:lang w:val="et-EE"/>
              </w:rPr>
              <w:t xml:space="preserve">majanduskulud, </w:t>
            </w:r>
            <w:r w:rsidR="00EA2536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bürootarbed, </w:t>
            </w:r>
            <w:r w:rsidR="00260226">
              <w:rPr>
                <w:rFonts w:ascii="Calibri" w:hAnsi="Calibri" w:cs="Calibri"/>
                <w:sz w:val="22"/>
                <w:szCs w:val="22"/>
                <w:lang w:val="et-EE"/>
              </w:rPr>
              <w:t xml:space="preserve">sidekulud, </w:t>
            </w:r>
            <w:r w:rsidR="00EA2536" w:rsidRPr="00A55FF2">
              <w:rPr>
                <w:rFonts w:ascii="Calibri" w:hAnsi="Calibri" w:cs="Calibri"/>
                <w:sz w:val="22"/>
                <w:szCs w:val="22"/>
                <w:lang w:val="et-EE"/>
              </w:rPr>
              <w:t>lähetused jms.</w:t>
            </w:r>
          </w:p>
          <w:p w14:paraId="7B92874D" w14:textId="77777777" w:rsidR="00EA2536" w:rsidRPr="00A55FF2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detsember </w:t>
            </w:r>
            <w:r w:rsidR="0023408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3F5B08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</w:p>
          <w:p w14:paraId="3F5D9866" w14:textId="77777777" w:rsidR="00EA2536" w:rsidRPr="00A55FF2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04AC4B9D" w14:textId="77777777" w:rsidR="00155E67" w:rsidRPr="00A55FF2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A2492C">
              <w:rPr>
                <w:rFonts w:ascii="Calibri" w:hAnsi="Calibri" w:cs="Calibri"/>
                <w:sz w:val="22"/>
                <w:szCs w:val="22"/>
                <w:lang w:val="et-EE"/>
              </w:rPr>
              <w:t>10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0054440C" w:rsidRPr="00A55FF2">
              <w:rPr>
                <w:rFonts w:ascii="Calibri" w:hAnsi="Calibri" w:cs="Calibri"/>
                <w:sz w:val="22"/>
                <w:szCs w:val="22"/>
                <w:lang w:val="et-EE"/>
              </w:rPr>
              <w:t>R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uumide </w:t>
            </w:r>
            <w:r w:rsidR="0054440C" w:rsidRPr="00A55FF2">
              <w:rPr>
                <w:rFonts w:ascii="Calibri" w:hAnsi="Calibri" w:cs="Calibri"/>
                <w:sz w:val="22"/>
                <w:szCs w:val="22"/>
                <w:lang w:val="et-EE"/>
              </w:rPr>
              <w:t>haldus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kulu</w:t>
            </w:r>
            <w:r w:rsidR="0054440C" w:rsidRPr="00A55FF2">
              <w:rPr>
                <w:rFonts w:ascii="Calibri" w:hAnsi="Calibri" w:cs="Calibri"/>
                <w:sz w:val="22"/>
                <w:szCs w:val="22"/>
                <w:lang w:val="et-EE"/>
              </w:rPr>
              <w:t>d.</w:t>
            </w:r>
          </w:p>
          <w:p w14:paraId="60DD6F3E" w14:textId="77777777" w:rsidR="00155E67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</w:t>
            </w:r>
            <w:r w:rsidR="00D66543" w:rsidRPr="00A55FF2">
              <w:rPr>
                <w:rFonts w:ascii="Calibri" w:hAnsi="Calibri" w:cs="Calibri"/>
                <w:sz w:val="22"/>
                <w:szCs w:val="22"/>
                <w:lang w:val="et-EE"/>
              </w:rPr>
              <w:t>detsember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23408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3F5B08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</w:p>
          <w:p w14:paraId="2A0199FB" w14:textId="77777777" w:rsidR="009B352C" w:rsidRDefault="009B352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1A7D00B6" w14:textId="77777777" w:rsidR="009B352C" w:rsidRPr="009B352C" w:rsidRDefault="00B85975" w:rsidP="00155E67">
            <w:pPr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G</w:t>
            </w:r>
            <w:r w:rsidR="009B352C" w:rsidRPr="009B352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eenidoonorite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proovide sekveneerimise</w:t>
            </w:r>
            <w:r w:rsidR="009B352C" w:rsidRPr="009B352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ning geenivaramu pidamise ja säilitamise tegevustega seotud </w:t>
            </w:r>
            <w:r w:rsidR="009B352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riigieelarvelise eraldise lepingu</w:t>
            </w:r>
            <w:r w:rsidR="009B352C" w:rsidRPr="009B352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TÜ üldkululõiv</w:t>
            </w:r>
            <w:r w:rsidR="009B352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:</w:t>
            </w:r>
          </w:p>
          <w:p w14:paraId="48910761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4AF1D919" w14:textId="05B9EE23" w:rsidR="005B7E63" w:rsidRPr="00A55FF2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C26C8D" w:rsidRPr="4FBE1E83">
              <w:rPr>
                <w:rFonts w:ascii="Calibri" w:hAnsi="Calibri" w:cs="Calibri"/>
                <w:sz w:val="22"/>
                <w:szCs w:val="22"/>
                <w:lang w:val="et-EE"/>
              </w:rPr>
              <w:t>1</w:t>
            </w:r>
            <w:r w:rsidR="00A2492C" w:rsidRPr="4FBE1E83">
              <w:rPr>
                <w:rFonts w:ascii="Calibri" w:hAnsi="Calibri" w:cs="Calibri"/>
                <w:sz w:val="22"/>
                <w:szCs w:val="22"/>
                <w:lang w:val="et-EE"/>
              </w:rPr>
              <w:t>1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TÜ üldkululõiv: Tartu Ülikooli, kui </w:t>
            </w:r>
            <w:r w:rsidR="0023408B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genoomika </w:t>
            </w:r>
            <w:r w:rsidR="00E41EAB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instituudi (sh 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Eesti </w:t>
            </w:r>
            <w:r w:rsidR="00E41EAB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>eenivaramu</w:t>
            </w:r>
            <w:r w:rsidR="00E41EAB" w:rsidRPr="4FBE1E83">
              <w:rPr>
                <w:rFonts w:ascii="Calibri" w:hAnsi="Calibri" w:cs="Calibri"/>
                <w:sz w:val="22"/>
                <w:szCs w:val="22"/>
                <w:lang w:val="et-EE"/>
              </w:rPr>
              <w:t>)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juhtorgani, tsentraalse juhtimise ja haldamisega seotud kulude katmine. </w:t>
            </w:r>
            <w:r w:rsidR="00C53BB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Üldkululõivu suurus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on määratud </w:t>
            </w:r>
            <w:r w:rsidR="00C53BB1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lähtuvalt 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>ülikooli kalkulatsioonidele tu</w:t>
            </w:r>
            <w:r w:rsidR="001D6520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ginevatest reeglitest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3B2280F4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P</w:t>
            </w:r>
            <w:r w:rsidR="00C55DB2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eriood: jaanuar – detsember </w:t>
            </w:r>
            <w:r w:rsidR="0023408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3F5B08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</w:p>
          <w:p w14:paraId="35B9E78F" w14:textId="77777777" w:rsidR="00170E96" w:rsidRPr="00A55FF2" w:rsidRDefault="00170E96" w:rsidP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170E96" w:rsidRPr="00A55FF2" w14:paraId="496B01AA" w14:textId="77777777" w:rsidTr="4FBE1E83">
        <w:tc>
          <w:tcPr>
            <w:tcW w:w="9606" w:type="dxa"/>
          </w:tcPr>
          <w:p w14:paraId="52F554B6" w14:textId="77777777" w:rsidR="008D0C71" w:rsidRPr="00A55FF2" w:rsidRDefault="00A90388" w:rsidP="008D0C7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lastRenderedPageBreak/>
              <w:t>10</w:t>
            </w:r>
            <w:r w:rsidR="008D0C71" w:rsidRPr="00A55FF2">
              <w:rPr>
                <w:rFonts w:ascii="Calibri" w:hAnsi="Calibri" w:cs="Calibri"/>
                <w:sz w:val="22"/>
                <w:szCs w:val="22"/>
                <w:lang w:val="et-EE"/>
              </w:rPr>
              <w:t>. Mõõdetav tulemus ja sihtrühm</w:t>
            </w:r>
          </w:p>
          <w:p w14:paraId="28BFB019" w14:textId="77777777" w:rsidR="003759B7" w:rsidRPr="00A55FF2" w:rsidRDefault="003759B7" w:rsidP="008D0C7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3FECA2D2" w14:textId="4DAFC6DF" w:rsidR="001D6520" w:rsidRPr="00A55FF2" w:rsidRDefault="001D6520" w:rsidP="4FBE1E83">
            <w:pPr>
              <w:jc w:val="both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Mõõdetavaks tulemuseks on </w:t>
            </w:r>
            <w:r w:rsidR="00B868B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geenidoonorite</w:t>
            </w:r>
            <w:r w:rsidR="005F029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sekveneeritud</w:t>
            </w:r>
            <w:r w:rsidR="00B868B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5F029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proovide </w:t>
            </w:r>
            <w:r w:rsidR="00B868B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arv, </w:t>
            </w:r>
            <w:r w:rsidR="00A55FF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eenivaramu andmekogu andmete ja koeproovide</w:t>
            </w:r>
            <w:r w:rsidR="00B868B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säilitamine ja pidamine </w:t>
            </w:r>
            <w:r w:rsidR="006A036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vastavalt </w:t>
            </w:r>
            <w:r w:rsidR="63E30FBD" w:rsidRPr="4FBE1E83">
              <w:rPr>
                <w:rFonts w:ascii="Calibri" w:hAnsi="Calibri" w:cs="Calibri"/>
                <w:sz w:val="22"/>
                <w:szCs w:val="22"/>
                <w:lang w:val="et-EE"/>
              </w:rPr>
              <w:t>inimgeeniuuringute seadusele</w:t>
            </w:r>
            <w:r w:rsidR="006A036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, kehtestatud protseduurireeglitele, standardi EVS-NE ISO/IEC 17025:2017 nõuetele </w:t>
            </w:r>
            <w:r w:rsidR="00C53BB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ning</w:t>
            </w:r>
            <w:r w:rsidR="006A036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headele laboritavadele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C53BB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Geenivaramu a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ndmete ja bioloogilise materjali </w:t>
            </w:r>
            <w:r w:rsidR="00C53BB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aktiivne kasutamine teadusuuringutes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  <w:r w:rsidR="00600693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C55D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Geenidoonorite andmete </w:t>
            </w:r>
            <w:r w:rsidR="434AC74A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ning Eesti geenivaramu kompetentsi </w:t>
            </w:r>
            <w:r w:rsidR="00C55D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kasutamine personaalmeditsiini</w:t>
            </w:r>
            <w:r w:rsidR="0043561D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arendusprojektides</w:t>
            </w:r>
            <w:r w:rsidR="00BB406C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  <w:r w:rsidR="00771972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Soovi avaldanud geenidoonoritele </w:t>
            </w:r>
            <w:r w:rsidR="001359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nende kohta geenivaramus hoitavate </w:t>
            </w:r>
            <w:r w:rsidR="00771972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andmete väljastamine vastavalt </w:t>
            </w:r>
            <w:r w:rsidR="78434499" w:rsidRPr="4FBE1E83">
              <w:rPr>
                <w:rFonts w:ascii="Calibri" w:hAnsi="Calibri" w:cs="Calibri"/>
                <w:sz w:val="22"/>
                <w:szCs w:val="22"/>
                <w:lang w:val="et-EE"/>
              </w:rPr>
              <w:t>inimgeeniuuringute seadusele</w:t>
            </w:r>
            <w:r w:rsidR="0077197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5CD36AB9" w14:textId="3FCC44C2" w:rsidR="001D6520" w:rsidRPr="00A55FF2" w:rsidRDefault="006E4A8C" w:rsidP="001D6520">
            <w:pPr>
              <w:jc w:val="both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</w:p>
          <w:p w14:paraId="35B22B87" w14:textId="77777777" w:rsidR="001D6520" w:rsidRPr="00A55FF2" w:rsidRDefault="001D6520" w:rsidP="001D6520">
            <w:pPr>
              <w:pStyle w:val="CommentText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Kaudse </w:t>
            </w:r>
            <w:r w:rsidR="00854573">
              <w:rPr>
                <w:rFonts w:ascii="Calibri" w:hAnsi="Calibri" w:cs="Calibri"/>
                <w:sz w:val="22"/>
                <w:szCs w:val="22"/>
                <w:lang w:val="et-EE"/>
              </w:rPr>
              <w:t>mõõdikuna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saab </w:t>
            </w:r>
            <w:r w:rsidR="0000594E">
              <w:rPr>
                <w:rFonts w:ascii="Calibri" w:hAnsi="Calibri" w:cs="Calibri"/>
                <w:sz w:val="22"/>
                <w:szCs w:val="22"/>
                <w:lang w:val="et-EE"/>
              </w:rPr>
              <w:t>välja tuua</w:t>
            </w:r>
            <w:r w:rsidR="0085457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geenivaramu kohta läbiviidava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854573">
              <w:rPr>
                <w:rFonts w:ascii="Calibri" w:hAnsi="Calibri" w:cs="Calibri"/>
                <w:sz w:val="22"/>
                <w:szCs w:val="22"/>
                <w:lang w:val="et-EE"/>
              </w:rPr>
              <w:t>avaliku arvamuse uuringu tulemused.</w:t>
            </w:r>
          </w:p>
          <w:p w14:paraId="0F3C983D" w14:textId="77777777" w:rsidR="001D6520" w:rsidRPr="00A55FF2" w:rsidRDefault="00854573" w:rsidP="001D6520">
            <w:pPr>
              <w:jc w:val="both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Geenivaramu s</w:t>
            </w:r>
            <w:r w:rsidR="001D6520" w:rsidRPr="00A55FF2">
              <w:rPr>
                <w:rFonts w:ascii="Calibri" w:hAnsi="Calibri" w:cs="Calibri"/>
                <w:sz w:val="22"/>
                <w:szCs w:val="22"/>
                <w:lang w:val="et-EE"/>
              </w:rPr>
              <w:t>ihtrühmaks on Eesti Vabariigi elanikkond alates 18</w:t>
            </w:r>
            <w:r w:rsidR="0043561D" w:rsidRPr="00A55FF2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  <w:r w:rsidR="001D6520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eluaastast (geenidoonorid ja potentsiaalsed geenidoonorid), teadlased, tervishoiu</w:t>
            </w:r>
            <w:r w:rsidR="0000594E">
              <w:rPr>
                <w:rFonts w:ascii="Calibri" w:hAnsi="Calibri" w:cs="Calibri"/>
                <w:sz w:val="22"/>
                <w:szCs w:val="22"/>
                <w:lang w:val="et-EE"/>
              </w:rPr>
              <w:t>töötajad</w:t>
            </w:r>
            <w:r w:rsidR="005B7E6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</w:t>
            </w:r>
            <w:r w:rsidR="001D6520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laiemalt kogu ühiskond.</w:t>
            </w:r>
          </w:p>
          <w:p w14:paraId="22A9067F" w14:textId="77777777" w:rsidR="00170E96" w:rsidRPr="00A55FF2" w:rsidRDefault="00170E96" w:rsidP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A90388" w:rsidRPr="00A55FF2" w14:paraId="04A95A2A" w14:textId="77777777" w:rsidTr="4FBE1E83">
        <w:tc>
          <w:tcPr>
            <w:tcW w:w="9606" w:type="dxa"/>
          </w:tcPr>
          <w:p w14:paraId="292BB432" w14:textId="77777777" w:rsidR="00A90388" w:rsidRDefault="00A90388" w:rsidP="008D0C7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11. Kas küsitud tegevuse rahastamiseks kasutatakse muud rahastust</w:t>
            </w:r>
            <w:r w:rsidR="009520C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sh koostööpartne</w:t>
            </w:r>
            <w:r w:rsidR="00840664" w:rsidRPr="00A55FF2">
              <w:rPr>
                <w:rFonts w:ascii="Calibri" w:hAnsi="Calibri" w:cs="Calibri"/>
                <w:sz w:val="22"/>
                <w:szCs w:val="22"/>
                <w:lang w:val="et-EE"/>
              </w:rPr>
              <w:t>rid (KOV, omafinantseering jne) või lisatakse omafinantseeringut.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</w:p>
          <w:p w14:paraId="0CACA90D" w14:textId="77777777" w:rsidR="00C70C63" w:rsidRPr="00A55FF2" w:rsidRDefault="00C70C63" w:rsidP="008D0C7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56DE04C1" w14:textId="77777777" w:rsidR="001D6520" w:rsidRPr="00A55FF2" w:rsidRDefault="001D6520" w:rsidP="001D652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Omafinantseering</w:t>
            </w:r>
          </w:p>
          <w:p w14:paraId="1E694053" w14:textId="77777777" w:rsidR="001D6520" w:rsidRPr="00A55FF2" w:rsidRDefault="001D6520" w:rsidP="001D652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Tartu Ülikool</w:t>
            </w:r>
          </w:p>
          <w:p w14:paraId="46D56C52" w14:textId="77777777" w:rsidR="001D6520" w:rsidRPr="00A55FF2" w:rsidRDefault="001D6520" w:rsidP="001D652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170E96" w:rsidRPr="00A55FF2" w14:paraId="325F653A" w14:textId="77777777" w:rsidTr="4FBE1E83">
        <w:tc>
          <w:tcPr>
            <w:tcW w:w="9606" w:type="dxa"/>
          </w:tcPr>
          <w:p w14:paraId="6FF49E99" w14:textId="77777777" w:rsidR="00170E96" w:rsidRPr="00A55FF2" w:rsidRDefault="008D0C71" w:rsidP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12. </w:t>
            </w:r>
            <w:bookmarkStart w:id="1" w:name="_Hlk94514834"/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Mis mõju avaldab tegevus </w:t>
            </w:r>
            <w:r w:rsidR="00A90388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organisatsioonile, 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ühiskonnale</w:t>
            </w:r>
            <w:bookmarkEnd w:id="1"/>
          </w:p>
          <w:p w14:paraId="16754D45" w14:textId="77777777" w:rsidR="003759B7" w:rsidRPr="00A55FF2" w:rsidRDefault="003759B7" w:rsidP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2D2202F2" w14:textId="35FC6225" w:rsidR="00286CC1" w:rsidRPr="000571E9" w:rsidRDefault="001D6520" w:rsidP="4FBE1E8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</w:pPr>
            <w:bookmarkStart w:id="2" w:name="_Hlk94514797"/>
            <w:r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Geenivaramu avaldab mõju teaduse arengule, tervishoiuteenuste ja haiguste ennetusmeetmete</w:t>
            </w:r>
            <w:bookmarkEnd w:id="2"/>
            <w:r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</w:t>
            </w:r>
            <w:bookmarkStart w:id="3" w:name="_Hlk94514807"/>
            <w:r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paranemisele, ühiskonna teadlikkuse </w:t>
            </w:r>
            <w:r w:rsidR="005A047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tõst</w:t>
            </w:r>
            <w:r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misele.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Euroopa ühe edukama populatsioonipõhise biopangana</w:t>
            </w:r>
            <w:r w:rsidR="01891ED6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on Eesti geenivaramu hinnatud partner rahvusvahelistes teadusprojektides üle maailma. Eesti geenivaramu on Euroopa suure teaduse infrastruktuuri </w:t>
            </w:r>
            <w:hyperlink r:id="rId9" w:tgtFrame="_blank" w:history="1">
              <w:r w:rsidR="00286CC1" w:rsidRPr="4FBE1E83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  <w:lang w:val="et-EE"/>
                </w:rPr>
                <w:t>BBMRI-ERIC</w:t>
              </w:r>
            </w:hyperlink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 asutajaliige, mis koondab Euroopa biopanku tagamaks biopankade ha</w:t>
            </w:r>
            <w:r w:rsidR="000571E9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r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moniseeritud arengut, IT-lahendusi, kõrget kvaliteeti ja läbipaistvat ning rahvusvaheliselt kõrget eetilist ja juriidilist taset.</w:t>
            </w:r>
            <w:r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Lisaks osaleb Eesti geenivaramu ka üleilmses suurte biopankade võrgustikus International Hundred K+ Cohorts Consortium. Eesti on riigina (Sotsiaalministeeriumi </w:t>
            </w:r>
            <w:r w:rsidR="6E5A35F0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kaudu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) liitunud </w:t>
            </w:r>
            <w:r w:rsidR="69D498EF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koos 24 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Euroopa Liidu </w:t>
            </w:r>
            <w:r w:rsidR="249A99CB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r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iigi</w:t>
            </w:r>
            <w:r w:rsidR="5D95F5DD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ga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initsiatiiviga 1+ mi</w:t>
            </w:r>
            <w:r w:rsidR="000571E9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l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jon genoomi, kus erinevates töögruppides on kõik personaalmeditsiini arendamiseks vajalikud teemad rahvusvaheliste ekspertide poolt läbi töö</w:t>
            </w:r>
            <w:r w:rsidR="59392298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tamisel</w:t>
            </w:r>
            <w:r w:rsidR="000571E9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.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</w:t>
            </w:r>
            <w:r w:rsidR="000571E9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V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älja on töötatud tegevuste teekaart ja see ka avaldatud. Eestit esindab vähi ja komplekshaiguste töögrupis </w:t>
            </w:r>
            <w:r w:rsidR="000571E9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professor</w:t>
            </w:r>
            <w:r w:rsidR="00286CC1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Andres Metspalu</w:t>
            </w:r>
            <w:r w:rsidR="44283A3E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ja farmakogeneetika töögrupis Lili Milani</w:t>
            </w:r>
            <w:r w:rsidR="000571E9" w:rsidRPr="4FBE1E8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.</w:t>
            </w:r>
          </w:p>
          <w:p w14:paraId="0CD7BE35" w14:textId="77777777" w:rsidR="00286CC1" w:rsidRPr="000571E9" w:rsidRDefault="00286CC1" w:rsidP="4FBE1E8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</w:pPr>
          </w:p>
          <w:p w14:paraId="4BA8A4E3" w14:textId="7B2D23C9" w:rsidR="001D6520" w:rsidRPr="00A55FF2" w:rsidRDefault="001D6520" w:rsidP="4FBE1E83">
            <w:pPr>
              <w:rPr>
                <w:rFonts w:ascii="Calibri" w:hAnsi="Calibri" w:cs="Calibri"/>
                <w:sz w:val="22"/>
                <w:szCs w:val="22"/>
              </w:rPr>
            </w:pPr>
            <w:r w:rsidRPr="4FBE1E8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Geenivaramu tegevuse hindamiseks on regulaarselt läbi viidud </w:t>
            </w:r>
            <w:r w:rsidR="00854573" w:rsidRPr="4FBE1E83">
              <w:rPr>
                <w:rFonts w:asciiTheme="minorHAnsi" w:eastAsiaTheme="minorEastAsia" w:hAnsiTheme="minorHAnsi" w:cstheme="minorBidi"/>
                <w:sz w:val="22"/>
                <w:szCs w:val="22"/>
              </w:rPr>
              <w:t>avaliku arvamuse</w:t>
            </w:r>
            <w:r w:rsidRPr="4FBE1E8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uuringuid</w:t>
            </w:r>
            <w:r w:rsidR="00A41694" w:rsidRPr="4FBE1E8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lisaks </w:t>
            </w:r>
            <w:r w:rsidR="00230CA5" w:rsidRPr="4FBE1E8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kogutakse </w:t>
            </w:r>
            <w:r w:rsidR="00A41694" w:rsidRPr="4FBE1E83">
              <w:rPr>
                <w:rFonts w:asciiTheme="minorHAnsi" w:eastAsiaTheme="minorEastAsia" w:hAnsiTheme="minorHAnsi" w:cstheme="minorBidi"/>
                <w:sz w:val="22"/>
                <w:szCs w:val="22"/>
              </w:rPr>
              <w:t>otse</w:t>
            </w:r>
            <w:r w:rsidR="00230CA5" w:rsidRPr="4FBE1E83">
              <w:rPr>
                <w:rFonts w:asciiTheme="minorHAnsi" w:eastAsiaTheme="minorEastAsia" w:hAnsiTheme="minorHAnsi" w:cstheme="minorBidi"/>
                <w:sz w:val="22"/>
                <w:szCs w:val="22"/>
              </w:rPr>
              <w:t>st</w:t>
            </w:r>
            <w:r w:rsidR="00A41694" w:rsidRPr="4FBE1E8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tagasiside</w:t>
            </w:r>
            <w:r w:rsidR="00230CA5" w:rsidRPr="4FBE1E83">
              <w:rPr>
                <w:rFonts w:asciiTheme="minorHAnsi" w:eastAsiaTheme="minorEastAsia" w:hAnsiTheme="minorHAnsi" w:cstheme="minorBidi"/>
                <w:sz w:val="22"/>
                <w:szCs w:val="22"/>
              </w:rPr>
              <w:t>t</w:t>
            </w:r>
            <w:r w:rsidR="00A41694" w:rsidRPr="4FBE1E8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geenidoonoritelt erinevate tea</w:t>
            </w:r>
            <w:r w:rsidR="00A41694" w:rsidRPr="4FBE1E83">
              <w:rPr>
                <w:rFonts w:ascii="Calibri" w:hAnsi="Calibri" w:cs="Calibri"/>
                <w:sz w:val="22"/>
                <w:szCs w:val="22"/>
              </w:rPr>
              <w:t>dusuuringute</w:t>
            </w:r>
            <w:r w:rsidR="00230CA5" w:rsidRPr="4FBE1E83">
              <w:rPr>
                <w:rFonts w:ascii="Calibri" w:hAnsi="Calibri" w:cs="Calibri"/>
                <w:sz w:val="22"/>
                <w:szCs w:val="22"/>
              </w:rPr>
              <w:t xml:space="preserve"> raames ning</w:t>
            </w:r>
            <w:r w:rsidR="00A41694" w:rsidRPr="4FBE1E83">
              <w:rPr>
                <w:rFonts w:ascii="Calibri" w:hAnsi="Calibri" w:cs="Calibri"/>
                <w:sz w:val="22"/>
                <w:szCs w:val="22"/>
              </w:rPr>
              <w:t xml:space="preserve"> telefoni </w:t>
            </w:r>
            <w:r w:rsidR="001F7FD7" w:rsidRPr="4FBE1E83">
              <w:rPr>
                <w:rFonts w:ascii="Calibri" w:hAnsi="Calibri" w:cs="Calibri"/>
                <w:sz w:val="22"/>
                <w:szCs w:val="22"/>
              </w:rPr>
              <w:t xml:space="preserve">ja </w:t>
            </w:r>
            <w:r w:rsidR="00A41694" w:rsidRPr="4FBE1E83">
              <w:rPr>
                <w:rFonts w:ascii="Calibri" w:hAnsi="Calibri" w:cs="Calibri"/>
                <w:sz w:val="22"/>
                <w:szCs w:val="22"/>
              </w:rPr>
              <w:t>e-posti vahendusel</w:t>
            </w:r>
            <w:r w:rsidRPr="4FBE1E8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 xml:space="preserve">Haigusriskide </w:t>
            </w:r>
            <w:r w:rsidR="00230CA5" w:rsidRPr="4FBE1E83">
              <w:rPr>
                <w:rFonts w:ascii="Calibri" w:hAnsi="Calibri" w:cs="Calibri"/>
                <w:sz w:val="22"/>
                <w:szCs w:val="22"/>
              </w:rPr>
              <w:t>hindamiseks kasutatavate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 xml:space="preserve"> meditsiiniseadme</w:t>
            </w:r>
            <w:r w:rsidR="00230CA5" w:rsidRPr="4FBE1E83">
              <w:rPr>
                <w:rFonts w:ascii="Calibri" w:hAnsi="Calibri" w:cs="Calibri"/>
                <w:sz w:val="22"/>
                <w:szCs w:val="22"/>
              </w:rPr>
              <w:t>te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 xml:space="preserve"> arendamiseks </w:t>
            </w:r>
            <w:r w:rsidR="00230CA5" w:rsidRPr="4FBE1E83">
              <w:rPr>
                <w:rFonts w:ascii="Calibri" w:hAnsi="Calibri" w:cs="Calibri"/>
                <w:sz w:val="22"/>
                <w:szCs w:val="22"/>
              </w:rPr>
              <w:t xml:space="preserve">saadakse 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>andmed geenivaramus</w:t>
            </w:r>
            <w:r w:rsidR="001F7FD7" w:rsidRPr="4FBE1E83">
              <w:rPr>
                <w:rFonts w:ascii="Calibri" w:hAnsi="Calibri" w:cs="Calibri"/>
                <w:sz w:val="22"/>
                <w:szCs w:val="22"/>
              </w:rPr>
              <w:t>se kogutava info põhjal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>.</w:t>
            </w:r>
            <w:r w:rsidRPr="4FBE1E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>G</w:t>
            </w:r>
            <w:r w:rsidRPr="4FBE1E83">
              <w:rPr>
                <w:rFonts w:ascii="Calibri" w:hAnsi="Calibri" w:cs="Calibri"/>
                <w:sz w:val="22"/>
                <w:szCs w:val="22"/>
              </w:rPr>
              <w:t>eenivaramu ja haiglate vahel</w:t>
            </w:r>
            <w:r w:rsidR="00260226" w:rsidRPr="4FBE1E83">
              <w:rPr>
                <w:rFonts w:ascii="Calibri" w:hAnsi="Calibri" w:cs="Calibri"/>
                <w:sz w:val="22"/>
                <w:szCs w:val="22"/>
              </w:rPr>
              <w:t>ise</w:t>
            </w:r>
            <w:r w:rsidRPr="4FBE1E83">
              <w:rPr>
                <w:rFonts w:ascii="Calibri" w:hAnsi="Calibri" w:cs="Calibri"/>
                <w:sz w:val="22"/>
                <w:szCs w:val="22"/>
              </w:rPr>
              <w:t xml:space="preserve"> aastate</w:t>
            </w:r>
            <w:r w:rsidR="00260226" w:rsidRPr="4FBE1E83">
              <w:rPr>
                <w:rFonts w:ascii="Calibri" w:hAnsi="Calibri" w:cs="Calibri"/>
                <w:sz w:val="22"/>
                <w:szCs w:val="22"/>
              </w:rPr>
              <w:t>pikkuse</w:t>
            </w:r>
            <w:r w:rsidRPr="4FBE1E83">
              <w:rPr>
                <w:rFonts w:ascii="Calibri" w:hAnsi="Calibri" w:cs="Calibri"/>
                <w:sz w:val="22"/>
                <w:szCs w:val="22"/>
              </w:rPr>
              <w:t xml:space="preserve"> koostöö tulemusel 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 xml:space="preserve">on </w:t>
            </w:r>
            <w:r w:rsidRPr="4FBE1E83">
              <w:rPr>
                <w:rFonts w:ascii="Calibri" w:hAnsi="Calibri" w:cs="Calibri"/>
                <w:sz w:val="22"/>
                <w:szCs w:val="22"/>
              </w:rPr>
              <w:t>genotüpiseerimise ja sekveneerimise erinevad võimalused leidnud rakendamist igapäeva</w:t>
            </w:r>
            <w:r w:rsidR="00230CA5" w:rsidRPr="4FBE1E83">
              <w:rPr>
                <w:rFonts w:ascii="Calibri" w:hAnsi="Calibri" w:cs="Calibri"/>
                <w:sz w:val="22"/>
                <w:szCs w:val="22"/>
              </w:rPr>
              <w:t>ses</w:t>
            </w:r>
            <w:r w:rsidRPr="4FBE1E83">
              <w:rPr>
                <w:rFonts w:ascii="Calibri" w:hAnsi="Calibri" w:cs="Calibri"/>
                <w:sz w:val="22"/>
                <w:szCs w:val="22"/>
              </w:rPr>
              <w:t xml:space="preserve"> meditsiinipraktikas</w:t>
            </w:r>
            <w:r w:rsidR="001F7FD7" w:rsidRPr="4FBE1E83">
              <w:rPr>
                <w:rFonts w:ascii="Calibri" w:hAnsi="Calibri" w:cs="Calibri"/>
                <w:sz w:val="22"/>
                <w:szCs w:val="22"/>
              </w:rPr>
              <w:t>.</w:t>
            </w:r>
            <w:r w:rsidRPr="4FBE1E83">
              <w:rPr>
                <w:rFonts w:ascii="Calibri" w:hAnsi="Calibri" w:cs="Calibri"/>
                <w:sz w:val="22"/>
                <w:szCs w:val="22"/>
              </w:rPr>
              <w:t xml:space="preserve"> Geenivaramul</w:t>
            </w:r>
            <w:r w:rsidR="00C55DB2" w:rsidRPr="4FBE1E83">
              <w:rPr>
                <w:rFonts w:ascii="Calibri" w:hAnsi="Calibri" w:cs="Calibri"/>
                <w:sz w:val="22"/>
                <w:szCs w:val="22"/>
              </w:rPr>
              <w:t xml:space="preserve"> on</w:t>
            </w:r>
            <w:r w:rsidRPr="4FBE1E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55DB2" w:rsidRPr="4FBE1E83">
              <w:rPr>
                <w:rFonts w:ascii="Calibri" w:hAnsi="Calibri" w:cs="Calibri"/>
                <w:sz w:val="22"/>
                <w:szCs w:val="22"/>
              </w:rPr>
              <w:t>oluline roll</w:t>
            </w:r>
            <w:r w:rsidRPr="4FBE1E83">
              <w:rPr>
                <w:rFonts w:ascii="Calibri" w:hAnsi="Calibri" w:cs="Calibri"/>
                <w:sz w:val="22"/>
                <w:szCs w:val="22"/>
              </w:rPr>
              <w:t xml:space="preserve"> riikliku personaalmeditsiini programmi tegevuste käivitamisel ja elluviimisel</w:t>
            </w:r>
            <w:r w:rsidR="00155DE7" w:rsidRPr="4FBE1E83">
              <w:rPr>
                <w:rFonts w:ascii="Calibri" w:hAnsi="Calibri" w:cs="Calibri"/>
                <w:sz w:val="22"/>
                <w:szCs w:val="22"/>
              </w:rPr>
              <w:t>, näiteks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 xml:space="preserve"> RITA</w:t>
            </w:r>
            <w:r w:rsidR="55EC53DD" w:rsidRPr="4FBE1E83">
              <w:rPr>
                <w:rFonts w:ascii="Calibri" w:hAnsi="Calibri" w:cs="Calibri"/>
                <w:sz w:val="22"/>
                <w:szCs w:val="22"/>
              </w:rPr>
              <w:t>,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 xml:space="preserve"> e</w:t>
            </w:r>
            <w:r w:rsidR="00687349" w:rsidRPr="4FBE1E83">
              <w:rPr>
                <w:rFonts w:ascii="Calibri" w:hAnsi="Calibri" w:cs="Calibri"/>
                <w:sz w:val="22"/>
                <w:szCs w:val="22"/>
              </w:rPr>
              <w:t>st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>PerMed</w:t>
            </w:r>
            <w:r w:rsidR="00A212D0" w:rsidRPr="4FBE1E83">
              <w:rPr>
                <w:rFonts w:ascii="Calibri" w:hAnsi="Calibri" w:cs="Calibri"/>
                <w:sz w:val="22"/>
                <w:szCs w:val="22"/>
              </w:rPr>
              <w:t>,</w:t>
            </w:r>
            <w:r w:rsidR="00687349" w:rsidRPr="4FBE1E83">
              <w:rPr>
                <w:rFonts w:ascii="Calibri" w:hAnsi="Calibri" w:cs="Calibri"/>
                <w:sz w:val="22"/>
                <w:szCs w:val="22"/>
              </w:rPr>
              <w:t xml:space="preserve"> GenMed</w:t>
            </w:r>
            <w:r w:rsidR="00A212D0" w:rsidRPr="4FBE1E83">
              <w:rPr>
                <w:rFonts w:ascii="Calibri" w:hAnsi="Calibri" w:cs="Calibri"/>
                <w:sz w:val="22"/>
                <w:szCs w:val="22"/>
              </w:rPr>
              <w:t>, INTERVENE</w:t>
            </w:r>
            <w:r w:rsidR="00854573" w:rsidRPr="4FBE1E83">
              <w:rPr>
                <w:rFonts w:ascii="Calibri" w:hAnsi="Calibri" w:cs="Calibri"/>
                <w:sz w:val="22"/>
                <w:szCs w:val="22"/>
              </w:rPr>
              <w:t>,</w:t>
            </w:r>
            <w:r w:rsidR="00286CC1" w:rsidRPr="4FBE1E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71E9" w:rsidRPr="4FBE1E83">
              <w:rPr>
                <w:rFonts w:ascii="Calibri" w:hAnsi="Calibri" w:cs="Calibri"/>
                <w:sz w:val="22"/>
                <w:szCs w:val="22"/>
              </w:rPr>
              <w:t xml:space="preserve">„Varasemalt kirjeldamata CYP450 geenivariatsioonide mõju ravimite metabolismile“, „Geenid ja ravimi kõrvaltoimed“, </w:t>
            </w:r>
            <w:r w:rsidR="00286CC1" w:rsidRPr="4FBE1E83">
              <w:rPr>
                <w:rFonts w:ascii="Calibri" w:hAnsi="Calibri" w:cs="Calibri"/>
                <w:sz w:val="22"/>
                <w:szCs w:val="22"/>
              </w:rPr>
              <w:t>„</w:t>
            </w:r>
            <w:r w:rsidR="000571E9" w:rsidRPr="4FBE1E83">
              <w:rPr>
                <w:rFonts w:ascii="Calibri" w:hAnsi="Calibri" w:cs="Calibri"/>
                <w:sz w:val="22"/>
                <w:szCs w:val="22"/>
              </w:rPr>
              <w:t>Kliiniliselt oluliste struktuursete geenivariantide mõju üldpopulatsioonis – diagnoosimata täiskasvanud struktuursete geenivariantide kandjate tervise tulemid ja personaliseeritud käsitlus</w:t>
            </w:r>
            <w:r w:rsidR="00286CC1" w:rsidRPr="4FBE1E83">
              <w:rPr>
                <w:rFonts w:ascii="Calibri" w:hAnsi="Calibri" w:cs="Calibri"/>
                <w:sz w:val="22"/>
                <w:szCs w:val="22"/>
              </w:rPr>
              <w:t>“</w:t>
            </w:r>
            <w:r w:rsidR="279BAE96" w:rsidRPr="4FBE1E8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3BB242D2" w:rsidRPr="4FBE1E83">
              <w:rPr>
                <w:rFonts w:ascii="Calibri" w:hAnsi="Calibri" w:cs="Calibri"/>
                <w:sz w:val="22"/>
                <w:szCs w:val="22"/>
              </w:rPr>
              <w:t xml:space="preserve">“Farmakogeneetiliselt oluliste geenide põhjalik sekveneerimine”, </w:t>
            </w:r>
            <w:r w:rsidR="279BAE96" w:rsidRPr="4FBE1E83">
              <w:rPr>
                <w:rFonts w:ascii="Calibri" w:hAnsi="Calibri" w:cs="Calibri"/>
                <w:sz w:val="22"/>
                <w:szCs w:val="22"/>
              </w:rPr>
              <w:t xml:space="preserve">“Geenid ja </w:t>
            </w:r>
            <w:r w:rsidR="09B1DD94" w:rsidRPr="4FBE1E83">
              <w:rPr>
                <w:rFonts w:ascii="Calibri" w:hAnsi="Calibri" w:cs="Calibri"/>
                <w:sz w:val="22"/>
                <w:szCs w:val="22"/>
              </w:rPr>
              <w:t>südame-veresoonkonna haiguste ennetus”</w:t>
            </w:r>
            <w:r w:rsidR="00854573" w:rsidRPr="4FBE1E8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212D0" w:rsidRPr="4FBE1E83">
              <w:rPr>
                <w:rFonts w:ascii="Calibri" w:hAnsi="Calibri" w:cs="Calibri"/>
                <w:sz w:val="22"/>
                <w:szCs w:val="22"/>
              </w:rPr>
              <w:t>jt projektide</w:t>
            </w:r>
            <w:r w:rsidR="00840FF8" w:rsidRPr="4FBE1E83">
              <w:rPr>
                <w:rFonts w:ascii="Calibri" w:hAnsi="Calibri" w:cs="Calibri"/>
                <w:sz w:val="22"/>
                <w:szCs w:val="22"/>
              </w:rPr>
              <w:t xml:space="preserve"> ja uurimistööde</w:t>
            </w:r>
            <w:r w:rsidR="00A212D0" w:rsidRPr="4FBE1E83">
              <w:rPr>
                <w:rFonts w:ascii="Calibri" w:hAnsi="Calibri" w:cs="Calibri"/>
                <w:sz w:val="22"/>
                <w:szCs w:val="22"/>
              </w:rPr>
              <w:t xml:space="preserve"> kaudu</w:t>
            </w:r>
            <w:r w:rsidR="004A09EE" w:rsidRPr="4FBE1E83">
              <w:rPr>
                <w:rFonts w:ascii="Calibri" w:hAnsi="Calibri" w:cs="Calibri"/>
                <w:sz w:val="22"/>
                <w:szCs w:val="22"/>
              </w:rPr>
              <w:t>.</w:t>
            </w:r>
          </w:p>
          <w:bookmarkEnd w:id="3"/>
          <w:p w14:paraId="1FCA63B2" w14:textId="77777777" w:rsidR="001D6520" w:rsidRPr="00A55FF2" w:rsidRDefault="001D6520" w:rsidP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8D0C71" w:rsidRPr="00A55FF2" w14:paraId="0D2F33BF" w14:textId="77777777" w:rsidTr="4FBE1E83">
        <w:trPr>
          <w:trHeight w:val="134"/>
        </w:trPr>
        <w:tc>
          <w:tcPr>
            <w:tcW w:w="9606" w:type="dxa"/>
          </w:tcPr>
          <w:p w14:paraId="10BB3971" w14:textId="77777777" w:rsidR="008D0C71" w:rsidRDefault="008D0C71" w:rsidP="002D42BA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13. Kas </w:t>
            </w:r>
            <w:r w:rsidR="002D42BA" w:rsidRPr="00A55FF2">
              <w:rPr>
                <w:rFonts w:ascii="Calibri" w:hAnsi="Calibri" w:cs="Calibri"/>
                <w:sz w:val="22"/>
                <w:szCs w:val="22"/>
                <w:lang w:val="et-EE"/>
              </w:rPr>
              <w:t>nimetatud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tegevused jätkuvad peale kirjeldatud elluviimise peri</w:t>
            </w:r>
            <w:r w:rsidR="0091181C" w:rsidRPr="00A55FF2">
              <w:rPr>
                <w:rFonts w:ascii="Calibri" w:hAnsi="Calibri" w:cs="Calibri"/>
                <w:sz w:val="22"/>
                <w:szCs w:val="22"/>
                <w:lang w:val="et-EE"/>
              </w:rPr>
              <w:t>oodi (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ei pea täitma, kui on asja soetamine)</w:t>
            </w:r>
          </w:p>
          <w:p w14:paraId="79974F95" w14:textId="77777777" w:rsidR="00C70C63" w:rsidRPr="00A55FF2" w:rsidRDefault="00C70C63" w:rsidP="002D42BA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3CD4F56D" w14:textId="5ECBAD4B" w:rsidR="001D6520" w:rsidRDefault="001D6520" w:rsidP="002D42BA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Tegemist on jätkuva projektiga, mille rahastamise kohustus läbi riigieelarve </w:t>
            </w:r>
            <w:r w:rsidR="00C55D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(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Sotsiaalministeeriumi kaudu</w:t>
            </w:r>
            <w:r w:rsidR="00C55D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)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tuleneb </w:t>
            </w:r>
            <w:r w:rsidR="110C6F1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inimgeeniuuringute seadusest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</w:p>
          <w:p w14:paraId="50D81875" w14:textId="77777777" w:rsidR="00C70C63" w:rsidRPr="00A55FF2" w:rsidRDefault="00C70C63" w:rsidP="00A212D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</w:tbl>
    <w:p w14:paraId="66E0E7CC" w14:textId="77777777" w:rsidR="00EA137D" w:rsidRPr="00A55FF2" w:rsidRDefault="00EA137D" w:rsidP="00C54D12">
      <w:pPr>
        <w:rPr>
          <w:rFonts w:ascii="Calibri" w:hAnsi="Calibri" w:cs="Calibri"/>
          <w:sz w:val="22"/>
          <w:szCs w:val="22"/>
          <w:lang w:val="et-EE"/>
        </w:rPr>
      </w:pPr>
    </w:p>
    <w:p w14:paraId="3077A484" w14:textId="77777777" w:rsidR="00186AA1" w:rsidRDefault="00186AA1" w:rsidP="00C54D12">
      <w:pPr>
        <w:rPr>
          <w:rFonts w:ascii="Calibri" w:hAnsi="Calibri" w:cs="Calibri"/>
          <w:sz w:val="22"/>
          <w:szCs w:val="22"/>
          <w:lang w:val="et-EE"/>
        </w:rPr>
      </w:pPr>
    </w:p>
    <w:p w14:paraId="0C73B879" w14:textId="77777777" w:rsidR="00186AA1" w:rsidRDefault="00186AA1" w:rsidP="00C54D12">
      <w:pPr>
        <w:rPr>
          <w:rFonts w:ascii="Calibri" w:hAnsi="Calibri" w:cs="Calibri"/>
          <w:sz w:val="22"/>
          <w:szCs w:val="22"/>
          <w:lang w:val="et-EE"/>
        </w:rPr>
      </w:pPr>
    </w:p>
    <w:p w14:paraId="06E749E5" w14:textId="77777777" w:rsidR="00186AA1" w:rsidRDefault="00186AA1" w:rsidP="00C54D12">
      <w:pPr>
        <w:rPr>
          <w:rFonts w:ascii="Calibri" w:hAnsi="Calibri" w:cs="Calibri"/>
          <w:sz w:val="22"/>
          <w:szCs w:val="22"/>
          <w:lang w:val="et-EE"/>
        </w:rPr>
      </w:pPr>
    </w:p>
    <w:p w14:paraId="5D296CE7" w14:textId="4E78AF3B" w:rsidR="002D42BA" w:rsidRDefault="008D0C71" w:rsidP="00C54D12">
      <w:pPr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lastRenderedPageBreak/>
        <w:t>14</w:t>
      </w:r>
      <w:r w:rsidR="00EA137D" w:rsidRPr="00A55FF2">
        <w:rPr>
          <w:rFonts w:ascii="Calibri" w:hAnsi="Calibri" w:cs="Calibri"/>
          <w:sz w:val="22"/>
          <w:szCs w:val="22"/>
          <w:lang w:val="et-EE"/>
        </w:rPr>
        <w:t>. F</w:t>
      </w:r>
      <w:r w:rsidR="00AF7D57" w:rsidRPr="00A55FF2">
        <w:rPr>
          <w:rFonts w:ascii="Calibri" w:hAnsi="Calibri" w:cs="Calibri"/>
          <w:sz w:val="22"/>
          <w:szCs w:val="22"/>
          <w:lang w:val="et-EE"/>
        </w:rPr>
        <w:t>inantseelarve</w:t>
      </w:r>
      <w:r w:rsidRPr="00A55FF2">
        <w:rPr>
          <w:rFonts w:ascii="Calibri" w:hAnsi="Calibri" w:cs="Calibri"/>
          <w:sz w:val="22"/>
          <w:szCs w:val="22"/>
          <w:lang w:val="et-EE"/>
        </w:rPr>
        <w:t>.</w:t>
      </w:r>
      <w:r w:rsidR="00513CB6" w:rsidRPr="00A55FF2">
        <w:rPr>
          <w:rFonts w:ascii="Calibri" w:hAnsi="Calibri" w:cs="Calibri"/>
          <w:sz w:val="22"/>
          <w:szCs w:val="22"/>
          <w:lang w:val="et-EE"/>
        </w:rPr>
        <w:t xml:space="preserve"> </w:t>
      </w:r>
    </w:p>
    <w:p w14:paraId="1BABDBA3" w14:textId="77777777" w:rsidR="00186AA1" w:rsidRPr="00A55FF2" w:rsidRDefault="00186AA1" w:rsidP="00C54D12">
      <w:pPr>
        <w:rPr>
          <w:rFonts w:ascii="Calibri" w:hAnsi="Calibri" w:cs="Calibri"/>
          <w:sz w:val="22"/>
          <w:szCs w:val="22"/>
          <w:lang w:val="et-EE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559"/>
        <w:gridCol w:w="1753"/>
        <w:gridCol w:w="1660"/>
      </w:tblGrid>
      <w:tr w:rsidR="00AF7D57" w:rsidRPr="00A55FF2" w14:paraId="21B07B8F" w14:textId="77777777" w:rsidTr="00290A97">
        <w:trPr>
          <w:trHeight w:val="585"/>
        </w:trPr>
        <w:tc>
          <w:tcPr>
            <w:tcW w:w="4668" w:type="dxa"/>
            <w:vMerge w:val="restart"/>
            <w:shd w:val="clear" w:color="auto" w:fill="FFFFFF" w:themeFill="background1"/>
            <w:vAlign w:val="center"/>
            <w:hideMark/>
          </w:tcPr>
          <w:p w14:paraId="1943B40F" w14:textId="77777777" w:rsidR="00AF7D57" w:rsidRPr="00A55FF2" w:rsidRDefault="009C79FD" w:rsidP="007E4937">
            <w:pPr>
              <w:ind w:left="-75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t-EE" w:eastAsia="et-EE"/>
              </w:rPr>
            </w:pP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Kululiigid taotle</w:t>
            </w:r>
            <w:r w:rsidR="00AF7D57"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va summa osas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55F6AA1" w14:textId="77777777" w:rsidR="00AF7D57" w:rsidRPr="00A55FF2" w:rsidRDefault="009B352C" w:rsidP="009B35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Kogus</w:t>
            </w:r>
          </w:p>
        </w:tc>
        <w:tc>
          <w:tcPr>
            <w:tcW w:w="1753" w:type="dxa"/>
            <w:shd w:val="clear" w:color="auto" w:fill="FFFFFF" w:themeFill="background1"/>
            <w:vAlign w:val="center"/>
            <w:hideMark/>
          </w:tcPr>
          <w:p w14:paraId="488A91C2" w14:textId="77777777" w:rsidR="00AF7D57" w:rsidRPr="00A55FF2" w:rsidRDefault="009B352C" w:rsidP="009B35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Ühiku hind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07068F34" w14:textId="77777777" w:rsidR="00AF7D57" w:rsidRPr="00A55FF2" w:rsidRDefault="009B352C" w:rsidP="009B35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Summa kokku</w:t>
            </w:r>
          </w:p>
        </w:tc>
      </w:tr>
      <w:tr w:rsidR="00AF7D57" w:rsidRPr="00A55FF2" w14:paraId="032D7C62" w14:textId="77777777" w:rsidTr="00290A97">
        <w:trPr>
          <w:trHeight w:val="60"/>
        </w:trPr>
        <w:tc>
          <w:tcPr>
            <w:tcW w:w="4668" w:type="dxa"/>
            <w:vMerge/>
            <w:vAlign w:val="center"/>
            <w:hideMark/>
          </w:tcPr>
          <w:p w14:paraId="0A80E33C" w14:textId="77777777" w:rsidR="00AF7D57" w:rsidRPr="00A55FF2" w:rsidRDefault="00AF7D57">
            <w:pP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D9A36D0" w14:textId="77777777" w:rsidR="00AF7D57" w:rsidRPr="00A55FF2" w:rsidRDefault="00AF7D57" w:rsidP="009B352C">
            <w:pP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  <w:hideMark/>
          </w:tcPr>
          <w:p w14:paraId="70357E02" w14:textId="77777777" w:rsidR="00AF7D57" w:rsidRPr="00A55FF2" w:rsidRDefault="00AF7D57" w:rsidP="009B352C">
            <w:pP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4F30189F" w14:textId="77777777" w:rsidR="00AF7D57" w:rsidRPr="00A55FF2" w:rsidRDefault="00AF7D57" w:rsidP="009B352C">
            <w:pP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</w:p>
        </w:tc>
      </w:tr>
      <w:tr w:rsidR="00E022C4" w:rsidRPr="00A55FF2" w14:paraId="7EA79BF8" w14:textId="77777777" w:rsidTr="00290A97">
        <w:trPr>
          <w:trHeight w:val="612"/>
        </w:trPr>
        <w:tc>
          <w:tcPr>
            <w:tcW w:w="4668" w:type="dxa"/>
            <w:shd w:val="clear" w:color="auto" w:fill="auto"/>
            <w:vAlign w:val="center"/>
          </w:tcPr>
          <w:p w14:paraId="03096F4E" w14:textId="77777777" w:rsidR="00E022C4" w:rsidRPr="00A55FF2" w:rsidRDefault="34AA052D" w:rsidP="0085094F">
            <w:pPr>
              <w:numPr>
                <w:ilvl w:val="1"/>
                <w:numId w:val="6"/>
              </w:num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Genome of Europe projekti kaasfinantseerimine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FFC38E" w14:textId="77777777" w:rsidR="00E022C4" w:rsidRPr="00A55FF2" w:rsidRDefault="00E022C4" w:rsidP="4FBE1E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DFDDC3F" w14:textId="77777777" w:rsidR="00E022C4" w:rsidRPr="00C70C63" w:rsidRDefault="00E022C4" w:rsidP="4FBE1E83">
            <w:pPr>
              <w:ind w:firstLineChars="100" w:firstLine="220"/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4EF741E4" w14:textId="77777777" w:rsidR="00E022C4" w:rsidRDefault="5AC8112D" w:rsidP="00F95D85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34 933</w:t>
            </w:r>
          </w:p>
        </w:tc>
      </w:tr>
      <w:tr w:rsidR="0085094F" w:rsidRPr="00A55FF2" w14:paraId="7D0361B7" w14:textId="77777777" w:rsidTr="00290A97">
        <w:trPr>
          <w:trHeight w:val="561"/>
        </w:trPr>
        <w:tc>
          <w:tcPr>
            <w:tcW w:w="4668" w:type="dxa"/>
            <w:vAlign w:val="center"/>
          </w:tcPr>
          <w:p w14:paraId="7F17789E" w14:textId="0AD47786" w:rsidR="0085094F" w:rsidRPr="0085094F" w:rsidRDefault="0F18FD60" w:rsidP="4FBE1E83">
            <w:pPr>
              <w:numPr>
                <w:ilvl w:val="1"/>
                <w:numId w:val="6"/>
              </w:num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Arendused </w:t>
            </w:r>
            <w:r w:rsidR="158B96B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16948F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eeniuuringu</w:t>
            </w:r>
            <w:r w:rsidR="090D585A" w:rsidRPr="4FBE1E83">
              <w:rPr>
                <w:rFonts w:ascii="Calibri" w:hAnsi="Calibri" w:cs="Calibri"/>
                <w:sz w:val="22"/>
                <w:szCs w:val="22"/>
                <w:lang w:val="et-EE"/>
              </w:rPr>
              <w:t>te toetamiseks</w:t>
            </w:r>
          </w:p>
        </w:tc>
        <w:tc>
          <w:tcPr>
            <w:tcW w:w="1559" w:type="dxa"/>
            <w:vAlign w:val="center"/>
          </w:tcPr>
          <w:p w14:paraId="427B4B98" w14:textId="77777777" w:rsidR="0085094F" w:rsidRPr="0085094F" w:rsidRDefault="0085094F" w:rsidP="4FBE1E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0F0FEC59" w14:textId="77777777" w:rsidR="0085094F" w:rsidRPr="0085094F" w:rsidRDefault="0085094F" w:rsidP="4FBE1E83">
            <w:pPr>
              <w:ind w:firstLineChars="100" w:firstLine="220"/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vAlign w:val="center"/>
          </w:tcPr>
          <w:p w14:paraId="70EADBE9" w14:textId="77777777" w:rsidR="0085094F" w:rsidRPr="0085094F" w:rsidRDefault="5AC8112D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88 525</w:t>
            </w:r>
          </w:p>
        </w:tc>
      </w:tr>
      <w:tr w:rsidR="000F7AB3" w:rsidRPr="00A55FF2" w14:paraId="0ADA1E9A" w14:textId="77777777" w:rsidTr="00290A97">
        <w:trPr>
          <w:trHeight w:val="300"/>
        </w:trPr>
        <w:tc>
          <w:tcPr>
            <w:tcW w:w="4668" w:type="dxa"/>
            <w:vAlign w:val="center"/>
          </w:tcPr>
          <w:p w14:paraId="05C8B53A" w14:textId="77777777" w:rsidR="000F7AB3" w:rsidRPr="00A55FF2" w:rsidRDefault="19EE9B20" w:rsidP="4FBE1E83">
            <w:pPr>
              <w:numPr>
                <w:ilvl w:val="0"/>
                <w:numId w:val="6"/>
              </w:num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R</w:t>
            </w:r>
            <w:r w:rsidR="000F7AB3" w:rsidRPr="4FBE1E83">
              <w:rPr>
                <w:rFonts w:ascii="Calibri" w:hAnsi="Calibri" w:cs="Calibri"/>
                <w:sz w:val="22"/>
                <w:szCs w:val="22"/>
                <w:lang w:val="et-EE"/>
              </w:rPr>
              <w:t>iikliku tähtsusega teadustaristu „Eesti Genoomikakeskus“ omafinantseerimine</w:t>
            </w:r>
          </w:p>
        </w:tc>
        <w:tc>
          <w:tcPr>
            <w:tcW w:w="1559" w:type="dxa"/>
            <w:vAlign w:val="center"/>
          </w:tcPr>
          <w:p w14:paraId="7FDD1C67" w14:textId="77777777" w:rsidR="000F7AB3" w:rsidRPr="00A55FF2" w:rsidRDefault="000F7AB3" w:rsidP="4FBE1E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60978D4F" w14:textId="77777777" w:rsidR="000F7AB3" w:rsidRPr="00A55FF2" w:rsidRDefault="000F7AB3" w:rsidP="4FBE1E83">
            <w:pPr>
              <w:ind w:firstLineChars="100" w:firstLine="220"/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vAlign w:val="center"/>
          </w:tcPr>
          <w:p w14:paraId="3114ED23" w14:textId="6F3740B0" w:rsidR="000F7AB3" w:rsidRDefault="5AC8112D" w:rsidP="0062351F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41 289</w:t>
            </w:r>
          </w:p>
        </w:tc>
      </w:tr>
      <w:tr w:rsidR="00AF7D57" w:rsidRPr="00A55FF2" w14:paraId="5533FE23" w14:textId="77777777" w:rsidTr="00290A97">
        <w:trPr>
          <w:trHeight w:val="561"/>
        </w:trPr>
        <w:tc>
          <w:tcPr>
            <w:tcW w:w="4668" w:type="dxa"/>
            <w:vAlign w:val="center"/>
            <w:hideMark/>
          </w:tcPr>
          <w:p w14:paraId="6CD4A6FA" w14:textId="066CAA69" w:rsidR="001D6520" w:rsidRPr="00A55FF2" w:rsidRDefault="000F7AB3" w:rsidP="4FBE1E83">
            <w:pPr>
              <w:ind w:left="360" w:hanging="360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3. </w:t>
            </w:r>
            <w:r w:rsidR="7704C71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Tööjõukulud </w:t>
            </w:r>
          </w:p>
        </w:tc>
        <w:tc>
          <w:tcPr>
            <w:tcW w:w="1559" w:type="dxa"/>
            <w:vAlign w:val="center"/>
            <w:hideMark/>
          </w:tcPr>
          <w:p w14:paraId="3516A507" w14:textId="77777777" w:rsidR="00AF7D57" w:rsidRPr="00A55FF2" w:rsidRDefault="00AF7D57" w:rsidP="4FBE1E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  <w:hideMark/>
          </w:tcPr>
          <w:p w14:paraId="40C5E013" w14:textId="77777777" w:rsidR="00AF7D57" w:rsidRPr="00A55FF2" w:rsidRDefault="00AF7D57" w:rsidP="4FBE1E83">
            <w:pPr>
              <w:ind w:firstLineChars="100" w:firstLine="220"/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vAlign w:val="center"/>
            <w:hideMark/>
          </w:tcPr>
          <w:p w14:paraId="02320D47" w14:textId="77777777" w:rsidR="00AF7D57" w:rsidRPr="00A55FF2" w:rsidRDefault="05F5D72E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482 528</w:t>
            </w:r>
          </w:p>
        </w:tc>
      </w:tr>
      <w:tr w:rsidR="00C70C63" w:rsidRPr="00A55FF2" w14:paraId="12409FC7" w14:textId="77777777" w:rsidTr="00290A97">
        <w:trPr>
          <w:trHeight w:val="555"/>
        </w:trPr>
        <w:tc>
          <w:tcPr>
            <w:tcW w:w="4668" w:type="dxa"/>
            <w:vAlign w:val="center"/>
          </w:tcPr>
          <w:p w14:paraId="46A9580A" w14:textId="77777777" w:rsidR="00C70C63" w:rsidRPr="00C70C63" w:rsidRDefault="000F7AB3" w:rsidP="00CF287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4. </w:t>
            </w:r>
            <w:r w:rsidR="00C70C63">
              <w:rPr>
                <w:rFonts w:ascii="Calibri" w:hAnsi="Calibri" w:cs="Calibri"/>
                <w:sz w:val="22"/>
                <w:szCs w:val="22"/>
                <w:lang w:val="et-EE"/>
              </w:rPr>
              <w:t>IT kulud</w:t>
            </w:r>
          </w:p>
        </w:tc>
        <w:tc>
          <w:tcPr>
            <w:tcW w:w="1559" w:type="dxa"/>
            <w:vAlign w:val="center"/>
          </w:tcPr>
          <w:p w14:paraId="69A34183" w14:textId="77777777" w:rsidR="00C70C63" w:rsidRDefault="00C70C63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37151C2D" w14:textId="77777777" w:rsidR="00C70C63" w:rsidRPr="00C70C63" w:rsidRDefault="00C70C63" w:rsidP="00C70C63">
            <w:pPr>
              <w:ind w:firstLineChars="100" w:firstLine="220"/>
              <w:jc w:val="center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vAlign w:val="center"/>
          </w:tcPr>
          <w:p w14:paraId="3FE6BF2B" w14:textId="77777777" w:rsidR="00C70C63" w:rsidRPr="00C8377B" w:rsidRDefault="5AC8112D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164 553</w:t>
            </w:r>
          </w:p>
        </w:tc>
      </w:tr>
      <w:tr w:rsidR="00AF7D57" w:rsidRPr="00A55FF2" w14:paraId="5F44E695" w14:textId="77777777" w:rsidTr="00290A97">
        <w:trPr>
          <w:trHeight w:val="694"/>
        </w:trPr>
        <w:tc>
          <w:tcPr>
            <w:tcW w:w="4668" w:type="dxa"/>
            <w:shd w:val="clear" w:color="auto" w:fill="auto"/>
            <w:vAlign w:val="center"/>
            <w:hideMark/>
          </w:tcPr>
          <w:p w14:paraId="543E4FE3" w14:textId="77777777" w:rsidR="00AF7D57" w:rsidRPr="00A55FF2" w:rsidRDefault="000F7AB3" w:rsidP="00CF2870">
            <w:pPr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5. </w:t>
            </w:r>
            <w:r w:rsidR="001D6520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Investeeringud põhivarasse  - </w:t>
            </w:r>
            <w:r w:rsidR="00230CA5">
              <w:rPr>
                <w:rFonts w:ascii="Calibri" w:hAnsi="Calibri" w:cs="Calibri"/>
                <w:sz w:val="22"/>
                <w:szCs w:val="22"/>
                <w:lang w:val="et-EE"/>
              </w:rPr>
              <w:t>koe</w:t>
            </w:r>
            <w:r w:rsidR="003759B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proovide biomahutite täitmine ja hooldus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8B92F3" w14:textId="0701D60B" w:rsidR="00AF7D57" w:rsidRPr="00A55FF2" w:rsidRDefault="00AF7D57" w:rsidP="4FBE1E83">
            <w:pPr>
              <w:ind w:firstLineChars="100" w:firstLine="220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et-EE"/>
              </w:rPr>
            </w:pP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6916C2B" w14:textId="77777777" w:rsidR="00AF7D57" w:rsidRPr="00A55FF2" w:rsidRDefault="00AF7D57" w:rsidP="00D7286B">
            <w:pPr>
              <w:ind w:firstLineChars="100" w:firstLine="220"/>
              <w:jc w:val="center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13EF52B7" w14:textId="77777777" w:rsidR="00AF7D57" w:rsidRPr="00A55FF2" w:rsidRDefault="0695029C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39 </w:t>
            </w:r>
            <w:r w:rsidR="717E5F49" w:rsidRPr="4FBE1E83">
              <w:rPr>
                <w:rFonts w:ascii="Calibri" w:hAnsi="Calibri" w:cs="Calibri"/>
                <w:sz w:val="22"/>
                <w:szCs w:val="22"/>
                <w:lang w:val="et-EE"/>
              </w:rPr>
              <w:t>000</w:t>
            </w:r>
          </w:p>
        </w:tc>
      </w:tr>
      <w:tr w:rsidR="0062351F" w:rsidRPr="00A55FF2" w14:paraId="2B8795E7" w14:textId="77777777" w:rsidTr="00290A97">
        <w:trPr>
          <w:trHeight w:val="572"/>
        </w:trPr>
        <w:tc>
          <w:tcPr>
            <w:tcW w:w="4668" w:type="dxa"/>
            <w:shd w:val="clear" w:color="auto" w:fill="auto"/>
            <w:vAlign w:val="center"/>
          </w:tcPr>
          <w:p w14:paraId="714ED37E" w14:textId="77777777" w:rsidR="0062351F" w:rsidRPr="00A55FF2" w:rsidRDefault="000F7AB3" w:rsidP="00CF2870">
            <w:pPr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6. </w:t>
            </w:r>
            <w:r w:rsidR="000330D8" w:rsidRPr="00A55FF2">
              <w:rPr>
                <w:rFonts w:ascii="Calibri" w:hAnsi="Calibri" w:cs="Calibri"/>
                <w:sz w:val="22"/>
                <w:szCs w:val="22"/>
                <w:lang w:val="et-EE"/>
              </w:rPr>
              <w:t>Inventari ja seadmete soetused ja hooldus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148227" w14:textId="77777777" w:rsidR="0062351F" w:rsidRPr="00A55FF2" w:rsidRDefault="0062351F" w:rsidP="0062351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45D21C43" w14:textId="77777777" w:rsidR="0062351F" w:rsidRPr="00A55FF2" w:rsidRDefault="0062351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14:paraId="28930730" w14:textId="77777777" w:rsidR="0062351F" w:rsidRPr="00A55FF2" w:rsidRDefault="0695029C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43 </w:t>
            </w:r>
            <w:r w:rsidR="6E440395" w:rsidRPr="4FBE1E83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  <w:r w:rsidR="00C8377B" w:rsidRPr="4FBE1E83">
              <w:rPr>
                <w:rFonts w:ascii="Calibri" w:hAnsi="Calibri" w:cs="Calibri"/>
                <w:sz w:val="22"/>
                <w:szCs w:val="22"/>
                <w:lang w:val="et-EE"/>
              </w:rPr>
              <w:t>00</w:t>
            </w:r>
          </w:p>
        </w:tc>
      </w:tr>
      <w:tr w:rsidR="00041D0E" w:rsidRPr="00A55FF2" w14:paraId="7D83CA12" w14:textId="77777777" w:rsidTr="00290A97">
        <w:trPr>
          <w:trHeight w:val="552"/>
        </w:trPr>
        <w:tc>
          <w:tcPr>
            <w:tcW w:w="4668" w:type="dxa"/>
            <w:shd w:val="clear" w:color="auto" w:fill="auto"/>
            <w:vAlign w:val="center"/>
          </w:tcPr>
          <w:p w14:paraId="0B8E941D" w14:textId="77777777" w:rsidR="00041D0E" w:rsidRPr="00A55FF2" w:rsidRDefault="000F7AB3" w:rsidP="000F7AB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7. </w:t>
            </w:r>
            <w:r w:rsidR="00041D0E" w:rsidRPr="00A55FF2">
              <w:rPr>
                <w:rFonts w:ascii="Calibri" w:hAnsi="Calibri" w:cs="Calibri"/>
                <w:sz w:val="22"/>
                <w:szCs w:val="22"/>
                <w:lang w:val="et-EE"/>
              </w:rPr>
              <w:t>Proovide ja andmete kvaliteedikontroll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D4E42A" w14:textId="77777777" w:rsidR="00041D0E" w:rsidRPr="00A55FF2" w:rsidRDefault="00041D0E" w:rsidP="0062351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D4211F9" w14:textId="77777777" w:rsidR="00041D0E" w:rsidRPr="00A55FF2" w:rsidRDefault="00041D0E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2AB85AE5" w14:textId="77777777" w:rsidR="00041D0E" w:rsidRPr="00A55FF2" w:rsidRDefault="0695029C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21 </w:t>
            </w:r>
            <w:r w:rsidR="532476F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000</w:t>
            </w:r>
          </w:p>
        </w:tc>
      </w:tr>
      <w:tr w:rsidR="00995F7D" w:rsidRPr="00A55FF2" w14:paraId="206DA649" w14:textId="77777777" w:rsidTr="00290A97">
        <w:trPr>
          <w:trHeight w:val="552"/>
        </w:trPr>
        <w:tc>
          <w:tcPr>
            <w:tcW w:w="4668" w:type="dxa"/>
            <w:shd w:val="clear" w:color="auto" w:fill="auto"/>
            <w:vAlign w:val="center"/>
          </w:tcPr>
          <w:p w14:paraId="43EC0E4C" w14:textId="77777777" w:rsidR="00995F7D" w:rsidRPr="00A55FF2" w:rsidRDefault="000F7AB3" w:rsidP="00CF287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8. </w:t>
            </w:r>
            <w:r w:rsidR="00C26C8D">
              <w:rPr>
                <w:rFonts w:ascii="Calibri" w:hAnsi="Calibri" w:cs="Calibri"/>
                <w:sz w:val="22"/>
                <w:szCs w:val="22"/>
                <w:lang w:val="et-EE"/>
              </w:rPr>
              <w:t>Kommunikatsioon geenidoonoritega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D59E4" w14:textId="77777777" w:rsidR="00995F7D" w:rsidRPr="00A55FF2" w:rsidRDefault="00995F7D" w:rsidP="0062351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99E6954" w14:textId="77777777" w:rsidR="00995F7D" w:rsidRPr="00A55FF2" w:rsidRDefault="00995F7D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6D3B8BC3" w14:textId="77777777" w:rsidR="00995F7D" w:rsidRDefault="05F5D72E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11 648</w:t>
            </w:r>
          </w:p>
        </w:tc>
      </w:tr>
      <w:tr w:rsidR="00B45D1A" w:rsidRPr="00A55FF2" w14:paraId="5F272919" w14:textId="77777777" w:rsidTr="00290A97">
        <w:trPr>
          <w:trHeight w:val="546"/>
        </w:trPr>
        <w:tc>
          <w:tcPr>
            <w:tcW w:w="4668" w:type="dxa"/>
            <w:shd w:val="clear" w:color="auto" w:fill="auto"/>
            <w:vAlign w:val="center"/>
          </w:tcPr>
          <w:p w14:paraId="29910E78" w14:textId="77777777" w:rsidR="003759B7" w:rsidRPr="00A55FF2" w:rsidRDefault="000F7AB3" w:rsidP="00380D5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9. </w:t>
            </w:r>
            <w:r w:rsidR="00B45D1A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Administreerimisega seotud </w:t>
            </w:r>
            <w:r w:rsidR="00C70C63">
              <w:rPr>
                <w:rFonts w:ascii="Calibri" w:hAnsi="Calibri" w:cs="Calibri"/>
                <w:sz w:val="22"/>
                <w:szCs w:val="22"/>
                <w:lang w:val="et-EE"/>
              </w:rPr>
              <w:t>kulud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4E42A" w14:textId="77777777" w:rsidR="00B45D1A" w:rsidRPr="00A55FF2" w:rsidRDefault="00B45D1A" w:rsidP="0062351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3411FF8B" w14:textId="77777777" w:rsidR="00B45D1A" w:rsidRPr="00A55FF2" w:rsidRDefault="00B45D1A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31853AA2" w14:textId="77777777" w:rsidR="00B45D1A" w:rsidRPr="00A55FF2" w:rsidRDefault="0695029C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1 </w:t>
            </w:r>
            <w:r w:rsidR="40B3859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500</w:t>
            </w:r>
          </w:p>
        </w:tc>
      </w:tr>
      <w:tr w:rsidR="00AF7D57" w:rsidRPr="00A55FF2" w14:paraId="5E52D4BC" w14:textId="77777777" w:rsidTr="00290A97">
        <w:trPr>
          <w:trHeight w:val="554"/>
        </w:trPr>
        <w:tc>
          <w:tcPr>
            <w:tcW w:w="4668" w:type="dxa"/>
            <w:shd w:val="clear" w:color="auto" w:fill="auto"/>
            <w:vAlign w:val="center"/>
            <w:hideMark/>
          </w:tcPr>
          <w:p w14:paraId="7C609286" w14:textId="77777777" w:rsidR="00AF7D57" w:rsidRPr="00A55FF2" w:rsidRDefault="000F7AB3" w:rsidP="00380D5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10. </w:t>
            </w:r>
            <w:r w:rsidR="003471AD" w:rsidRPr="00A55FF2">
              <w:rPr>
                <w:rFonts w:ascii="Calibri" w:hAnsi="Calibri" w:cs="Calibri"/>
                <w:sz w:val="22"/>
                <w:szCs w:val="22"/>
                <w:lang w:val="et-EE"/>
              </w:rPr>
              <w:t>Ruumidega seotud kulud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E214D8" w14:textId="77777777" w:rsidR="00AF7D57" w:rsidRPr="00A55FF2" w:rsidRDefault="00E5797C" w:rsidP="005E51CB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12</w:t>
            </w:r>
            <w:r w:rsidR="003471AD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kuud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3F46672E" w14:textId="5406DEEF" w:rsidR="00AF7D57" w:rsidRPr="00A55FF2" w:rsidRDefault="4133C916" w:rsidP="00F91FEA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ca</w:t>
            </w:r>
            <w:r w:rsidR="00AF7D57" w:rsidRPr="4FBE1E83">
              <w:rPr>
                <w:rFonts w:ascii="Calibri" w:hAnsi="Calibri" w:cs="Calibri"/>
                <w:sz w:val="22"/>
                <w:szCs w:val="22"/>
                <w:lang w:val="et-EE"/>
              </w:rPr>
              <w:t> </w:t>
            </w:r>
            <w:r w:rsidR="40B3859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6250</w:t>
            </w:r>
            <w:r w:rsidR="532476F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€/kuus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0AF118D8" w14:textId="77777777" w:rsidR="00AF7D57" w:rsidRPr="00A55FF2" w:rsidRDefault="0695029C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75 </w:t>
            </w:r>
            <w:r w:rsidR="4133C91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0</w:t>
            </w:r>
            <w:r w:rsidR="532476F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00</w:t>
            </w:r>
          </w:p>
        </w:tc>
      </w:tr>
      <w:tr w:rsidR="00AF7D57" w:rsidRPr="00A55FF2" w14:paraId="6A504492" w14:textId="77777777" w:rsidTr="00290A97">
        <w:trPr>
          <w:trHeight w:val="680"/>
        </w:trPr>
        <w:tc>
          <w:tcPr>
            <w:tcW w:w="4668" w:type="dxa"/>
            <w:shd w:val="clear" w:color="auto" w:fill="auto"/>
            <w:vAlign w:val="center"/>
            <w:hideMark/>
          </w:tcPr>
          <w:p w14:paraId="2AB807F7" w14:textId="06AF42D2" w:rsidR="00AF7D57" w:rsidRPr="00A55FF2" w:rsidRDefault="000F7AB3" w:rsidP="00380D53">
            <w:pPr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11. </w:t>
            </w:r>
            <w:r w:rsidR="003471AD" w:rsidRPr="00A55FF2">
              <w:rPr>
                <w:rFonts w:ascii="Calibri" w:hAnsi="Calibri" w:cs="Calibri"/>
                <w:sz w:val="22"/>
                <w:szCs w:val="22"/>
                <w:lang w:val="et-EE"/>
              </w:rPr>
              <w:t>Tartu Ülikooli üldkululõiv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165622" w14:textId="77777777" w:rsidR="00AF7D57" w:rsidRPr="00A55FF2" w:rsidRDefault="00AF7D57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iCs/>
                <w:sz w:val="22"/>
                <w:szCs w:val="22"/>
                <w:lang w:val="et-EE"/>
              </w:rPr>
              <w:t> 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0F35A87" w14:textId="77777777" w:rsidR="00AF7D57" w:rsidRPr="00A55FF2" w:rsidRDefault="00AF7D57" w:rsidP="00E5797C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12E4B068" w14:textId="77777777" w:rsidR="00AF7D57" w:rsidRPr="00A55FF2" w:rsidRDefault="00EE4EBC" w:rsidP="00380D5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248 424</w:t>
            </w:r>
          </w:p>
        </w:tc>
      </w:tr>
      <w:tr w:rsidR="00AF7D57" w:rsidRPr="00A55FF2" w14:paraId="4FF2315F" w14:textId="77777777" w:rsidTr="00290A97">
        <w:trPr>
          <w:trHeight w:val="434"/>
        </w:trPr>
        <w:tc>
          <w:tcPr>
            <w:tcW w:w="4668" w:type="dxa"/>
            <w:shd w:val="clear" w:color="auto" w:fill="FFFFFF" w:themeFill="background1"/>
            <w:vAlign w:val="center"/>
            <w:hideMark/>
          </w:tcPr>
          <w:p w14:paraId="246382A0" w14:textId="77777777" w:rsidR="00AF7D57" w:rsidRPr="00A55FF2" w:rsidRDefault="00AF7D5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Kulud kokku: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896ED5F" w14:textId="77777777" w:rsidR="00AF7D57" w:rsidRPr="00A55FF2" w:rsidRDefault="00AF7D5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 </w:t>
            </w:r>
          </w:p>
        </w:tc>
        <w:tc>
          <w:tcPr>
            <w:tcW w:w="1753" w:type="dxa"/>
            <w:shd w:val="clear" w:color="auto" w:fill="FFFFFF" w:themeFill="background1"/>
            <w:vAlign w:val="center"/>
            <w:hideMark/>
          </w:tcPr>
          <w:p w14:paraId="711D26A8" w14:textId="77777777" w:rsidR="00AF7D57" w:rsidRPr="00A55FF2" w:rsidRDefault="00AF7D5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 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0660F05F" w14:textId="77777777" w:rsidR="00AF7D57" w:rsidRPr="00A55FF2" w:rsidRDefault="00041D0E" w:rsidP="001D65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1</w:t>
            </w:r>
            <w:r w:rsidR="0085094F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 251 9</w:t>
            </w: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00</w:t>
            </w:r>
          </w:p>
        </w:tc>
      </w:tr>
    </w:tbl>
    <w:p w14:paraId="195CE095" w14:textId="77777777" w:rsidR="00EA137D" w:rsidRPr="00A55FF2" w:rsidRDefault="00EA137D" w:rsidP="0025497E">
      <w:pPr>
        <w:rPr>
          <w:rFonts w:ascii="Calibri" w:hAnsi="Calibri" w:cs="Calibri"/>
          <w:sz w:val="22"/>
          <w:szCs w:val="22"/>
          <w:lang w:val="et-EE"/>
        </w:rPr>
      </w:pPr>
    </w:p>
    <w:p w14:paraId="1B206A28" w14:textId="77777777" w:rsidR="009D76CE" w:rsidRPr="00A55FF2" w:rsidRDefault="009D76CE" w:rsidP="009D76CE">
      <w:pPr>
        <w:rPr>
          <w:rFonts w:ascii="Calibri" w:hAnsi="Calibri" w:cs="Calibri"/>
          <w:b/>
          <w:sz w:val="22"/>
          <w:szCs w:val="22"/>
          <w:lang w:val="et-EE"/>
        </w:rPr>
      </w:pPr>
      <w:r w:rsidRPr="00A55FF2">
        <w:rPr>
          <w:rFonts w:ascii="Calibri" w:hAnsi="Calibri" w:cs="Calibri"/>
          <w:b/>
          <w:sz w:val="22"/>
          <w:szCs w:val="22"/>
          <w:lang w:val="et-EE"/>
        </w:rPr>
        <w:t>Kinnitus riigieelarvelise toetuse taotluse juurde</w:t>
      </w:r>
    </w:p>
    <w:p w14:paraId="45953295" w14:textId="77777777" w:rsidR="009D76CE" w:rsidRPr="00A55FF2" w:rsidRDefault="009D76CE" w:rsidP="009D76CE">
      <w:pPr>
        <w:rPr>
          <w:rFonts w:ascii="Calibri" w:hAnsi="Calibri" w:cs="Calibri"/>
          <w:sz w:val="22"/>
          <w:szCs w:val="22"/>
          <w:lang w:val="et-EE"/>
        </w:rPr>
      </w:pPr>
    </w:p>
    <w:p w14:paraId="07C264DC" w14:textId="77777777" w:rsidR="009D76CE" w:rsidRPr="00A55FF2" w:rsidRDefault="009D76CE" w:rsidP="009D76CE">
      <w:pPr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Käe</w:t>
      </w:r>
      <w:r w:rsidR="0025497E" w:rsidRPr="00A55FF2">
        <w:rPr>
          <w:rFonts w:ascii="Calibri" w:hAnsi="Calibri" w:cs="Calibri"/>
          <w:sz w:val="22"/>
          <w:szCs w:val="22"/>
          <w:lang w:val="et-EE"/>
        </w:rPr>
        <w:t>solevaga kinnitab taotleja, et:</w:t>
      </w:r>
    </w:p>
    <w:p w14:paraId="47A40085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ta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ei ole saanud sama kulu hüvitamiseks toetust teistelt finantseerijatelt;</w:t>
      </w:r>
    </w:p>
    <w:p w14:paraId="79B4DBC9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tal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ei ole varem saadud toetuste kohta aruande esitamise võlgnevust;</w:t>
      </w:r>
    </w:p>
    <w:p w14:paraId="2A609652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tal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ei ole tähtajaks tagastamata toetuse jääki </w:t>
      </w:r>
      <w:r w:rsidRPr="00A55FF2">
        <w:rPr>
          <w:rFonts w:ascii="Calibri" w:hAnsi="Calibri" w:cs="Calibri"/>
          <w:sz w:val="22"/>
          <w:szCs w:val="22"/>
          <w:lang w:val="et-EE"/>
        </w:rPr>
        <w:t>ega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maksmata tagasinõuet;</w:t>
      </w:r>
    </w:p>
    <w:p w14:paraId="56739BA2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ta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ei ole ministeeriumi ega selle hallatava asutuse ametnik (töötaja) </w:t>
      </w:r>
      <w:r w:rsidRPr="00A55FF2">
        <w:rPr>
          <w:rFonts w:ascii="Calibri" w:hAnsi="Calibri" w:cs="Calibri"/>
          <w:sz w:val="22"/>
          <w:szCs w:val="22"/>
          <w:lang w:val="et-EE"/>
        </w:rPr>
        <w:t>ega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nendega seotud isik; </w:t>
      </w:r>
    </w:p>
    <w:p w14:paraId="2C267982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tema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suhtes ei ole algatatud pankrotimenetlust ega sundlikvideerimist ning puuduvad maksuvõlad; </w:t>
      </w:r>
    </w:p>
    <w:p w14:paraId="5B103A08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>oetuse saamisel eraldatud toetust kasutatakse sihipäraselt ja otstarbekalt taotluses s</w:t>
      </w:r>
      <w:r w:rsidR="00DB00A5" w:rsidRPr="00A55FF2">
        <w:rPr>
          <w:rFonts w:ascii="Calibri" w:hAnsi="Calibri" w:cs="Calibri"/>
          <w:sz w:val="22"/>
          <w:szCs w:val="22"/>
          <w:lang w:val="et-EE"/>
        </w:rPr>
        <w:t>ätestatud eesmärkide täitmiseks.</w:t>
      </w:r>
    </w:p>
    <w:p w14:paraId="188F1B87" w14:textId="77777777" w:rsidR="00EA137D" w:rsidRPr="00A55FF2" w:rsidRDefault="00EA137D" w:rsidP="009D76CE">
      <w:pPr>
        <w:rPr>
          <w:rFonts w:ascii="Calibri" w:hAnsi="Calibri" w:cs="Calibri"/>
          <w:sz w:val="22"/>
          <w:szCs w:val="22"/>
          <w:lang w:val="et-EE"/>
        </w:rPr>
      </w:pPr>
    </w:p>
    <w:p w14:paraId="451FBC9F" w14:textId="77777777" w:rsidR="00EA137D" w:rsidRPr="00A55FF2" w:rsidRDefault="00EA137D" w:rsidP="00EA137D">
      <w:pPr>
        <w:ind w:left="720"/>
        <w:rPr>
          <w:rFonts w:ascii="Calibri" w:hAnsi="Calibri" w:cs="Calibri"/>
          <w:sz w:val="22"/>
          <w:szCs w:val="22"/>
          <w:lang w:val="et-EE"/>
        </w:rPr>
      </w:pPr>
    </w:p>
    <w:p w14:paraId="6D93EA8A" w14:textId="77777777" w:rsidR="00AF7D57" w:rsidRPr="00A55FF2" w:rsidRDefault="003471AD" w:rsidP="00AF7D57">
      <w:pPr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Taotlej</w:t>
      </w:r>
      <w:r w:rsidR="00E5797C" w:rsidRPr="00A55FF2">
        <w:rPr>
          <w:rFonts w:ascii="Calibri" w:hAnsi="Calibri" w:cs="Calibri"/>
          <w:sz w:val="22"/>
          <w:szCs w:val="22"/>
          <w:lang w:val="et-EE"/>
        </w:rPr>
        <w:t xml:space="preserve">a esindaja nimi: </w:t>
      </w:r>
      <w:r w:rsidR="00995F7D">
        <w:rPr>
          <w:rFonts w:ascii="Calibri" w:hAnsi="Calibri" w:cs="Calibri"/>
          <w:sz w:val="22"/>
          <w:szCs w:val="22"/>
          <w:lang w:val="et-EE"/>
        </w:rPr>
        <w:t>Siret Rutiku</w:t>
      </w:r>
    </w:p>
    <w:p w14:paraId="5E99949C" w14:textId="77777777" w:rsidR="00840A0C" w:rsidRPr="00A55FF2" w:rsidRDefault="00AF7D57" w:rsidP="00C54D12">
      <w:pPr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 xml:space="preserve">(allkirjastatud digitaalselt)                              </w:t>
      </w:r>
      <w:r w:rsidR="009F198B" w:rsidRPr="00A55FF2">
        <w:rPr>
          <w:rFonts w:ascii="Calibri" w:hAnsi="Calibri" w:cs="Calibri"/>
          <w:sz w:val="22"/>
          <w:szCs w:val="22"/>
          <w:lang w:val="et-EE"/>
        </w:rPr>
        <w:t xml:space="preserve">                       </w:t>
      </w:r>
    </w:p>
    <w:sectPr w:rsidR="00840A0C" w:rsidRPr="00A55FF2" w:rsidSect="00773DDD">
      <w:pgSz w:w="11906" w:h="16838"/>
      <w:pgMar w:top="851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50C0"/>
    <w:multiLevelType w:val="hybridMultilevel"/>
    <w:tmpl w:val="B7828514"/>
    <w:lvl w:ilvl="0" w:tplc="FF142AAE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162"/>
    <w:multiLevelType w:val="hybridMultilevel"/>
    <w:tmpl w:val="5942D068"/>
    <w:lvl w:ilvl="0" w:tplc="042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4D3C19"/>
    <w:multiLevelType w:val="hybridMultilevel"/>
    <w:tmpl w:val="198A2EB2"/>
    <w:lvl w:ilvl="0" w:tplc="D132055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0" w:hanging="360"/>
      </w:pPr>
    </w:lvl>
    <w:lvl w:ilvl="2" w:tplc="0425001B" w:tentative="1">
      <w:start w:val="1"/>
      <w:numFmt w:val="lowerRoman"/>
      <w:lvlText w:val="%3."/>
      <w:lvlJc w:val="right"/>
      <w:pPr>
        <w:ind w:left="2000" w:hanging="180"/>
      </w:pPr>
    </w:lvl>
    <w:lvl w:ilvl="3" w:tplc="0425000F" w:tentative="1">
      <w:start w:val="1"/>
      <w:numFmt w:val="decimal"/>
      <w:lvlText w:val="%4."/>
      <w:lvlJc w:val="left"/>
      <w:pPr>
        <w:ind w:left="2720" w:hanging="360"/>
      </w:pPr>
    </w:lvl>
    <w:lvl w:ilvl="4" w:tplc="04250019" w:tentative="1">
      <w:start w:val="1"/>
      <w:numFmt w:val="lowerLetter"/>
      <w:lvlText w:val="%5."/>
      <w:lvlJc w:val="left"/>
      <w:pPr>
        <w:ind w:left="3440" w:hanging="360"/>
      </w:pPr>
    </w:lvl>
    <w:lvl w:ilvl="5" w:tplc="0425001B" w:tentative="1">
      <w:start w:val="1"/>
      <w:numFmt w:val="lowerRoman"/>
      <w:lvlText w:val="%6."/>
      <w:lvlJc w:val="right"/>
      <w:pPr>
        <w:ind w:left="4160" w:hanging="180"/>
      </w:pPr>
    </w:lvl>
    <w:lvl w:ilvl="6" w:tplc="0425000F" w:tentative="1">
      <w:start w:val="1"/>
      <w:numFmt w:val="decimal"/>
      <w:lvlText w:val="%7."/>
      <w:lvlJc w:val="left"/>
      <w:pPr>
        <w:ind w:left="4880" w:hanging="360"/>
      </w:pPr>
    </w:lvl>
    <w:lvl w:ilvl="7" w:tplc="04250019" w:tentative="1">
      <w:start w:val="1"/>
      <w:numFmt w:val="lowerLetter"/>
      <w:lvlText w:val="%8."/>
      <w:lvlJc w:val="left"/>
      <w:pPr>
        <w:ind w:left="5600" w:hanging="360"/>
      </w:pPr>
    </w:lvl>
    <w:lvl w:ilvl="8" w:tplc="042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202B57BC"/>
    <w:multiLevelType w:val="multilevel"/>
    <w:tmpl w:val="2208F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0E542F"/>
    <w:multiLevelType w:val="hybridMultilevel"/>
    <w:tmpl w:val="C57819AC"/>
    <w:lvl w:ilvl="0" w:tplc="F1526A6A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9135C"/>
    <w:multiLevelType w:val="hybridMultilevel"/>
    <w:tmpl w:val="7E1EE764"/>
    <w:lvl w:ilvl="0" w:tplc="3BC08616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A7E9F"/>
    <w:multiLevelType w:val="hybridMultilevel"/>
    <w:tmpl w:val="A940A6E8"/>
    <w:lvl w:ilvl="0" w:tplc="00D672A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285"/>
    <w:multiLevelType w:val="hybridMultilevel"/>
    <w:tmpl w:val="0CE4D9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37D14"/>
    <w:multiLevelType w:val="hybridMultilevel"/>
    <w:tmpl w:val="7ACC6710"/>
    <w:lvl w:ilvl="0" w:tplc="EA322F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2097C"/>
    <w:multiLevelType w:val="hybridMultilevel"/>
    <w:tmpl w:val="049AF1B0"/>
    <w:lvl w:ilvl="0" w:tplc="8196F9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A067AD"/>
    <w:multiLevelType w:val="hybridMultilevel"/>
    <w:tmpl w:val="8F1E1D74"/>
    <w:lvl w:ilvl="0" w:tplc="81B45E0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83491"/>
    <w:multiLevelType w:val="hybridMultilevel"/>
    <w:tmpl w:val="A29CA340"/>
    <w:lvl w:ilvl="0" w:tplc="88EEA1E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2542"/>
    <w:multiLevelType w:val="hybridMultilevel"/>
    <w:tmpl w:val="D15082CE"/>
    <w:lvl w:ilvl="0" w:tplc="FB3CDE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10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B"/>
    <w:rsid w:val="0000594E"/>
    <w:rsid w:val="00030B30"/>
    <w:rsid w:val="00032290"/>
    <w:rsid w:val="000330D8"/>
    <w:rsid w:val="00041D0E"/>
    <w:rsid w:val="00052896"/>
    <w:rsid w:val="00054D83"/>
    <w:rsid w:val="000558DB"/>
    <w:rsid w:val="000571E9"/>
    <w:rsid w:val="00075FAC"/>
    <w:rsid w:val="00076413"/>
    <w:rsid w:val="0009437F"/>
    <w:rsid w:val="000947F9"/>
    <w:rsid w:val="0009496B"/>
    <w:rsid w:val="000B35EC"/>
    <w:rsid w:val="000C7731"/>
    <w:rsid w:val="000D6D05"/>
    <w:rsid w:val="000E53F1"/>
    <w:rsid w:val="000F7AB3"/>
    <w:rsid w:val="00100792"/>
    <w:rsid w:val="00101687"/>
    <w:rsid w:val="0011791F"/>
    <w:rsid w:val="00122277"/>
    <w:rsid w:val="001359B2"/>
    <w:rsid w:val="0014785A"/>
    <w:rsid w:val="00154199"/>
    <w:rsid w:val="00155DE7"/>
    <w:rsid w:val="00155E67"/>
    <w:rsid w:val="0016550A"/>
    <w:rsid w:val="00170E96"/>
    <w:rsid w:val="00185E79"/>
    <w:rsid w:val="00186AA1"/>
    <w:rsid w:val="0019284B"/>
    <w:rsid w:val="00197F30"/>
    <w:rsid w:val="001B2CA5"/>
    <w:rsid w:val="001B3725"/>
    <w:rsid w:val="001B4200"/>
    <w:rsid w:val="001C4881"/>
    <w:rsid w:val="001D6520"/>
    <w:rsid w:val="001E034C"/>
    <w:rsid w:val="001E2480"/>
    <w:rsid w:val="001F08ED"/>
    <w:rsid w:val="001F6DC0"/>
    <w:rsid w:val="001F7FD7"/>
    <w:rsid w:val="00212EE9"/>
    <w:rsid w:val="00214ECA"/>
    <w:rsid w:val="00230CA5"/>
    <w:rsid w:val="002314F1"/>
    <w:rsid w:val="0023408B"/>
    <w:rsid w:val="0025497E"/>
    <w:rsid w:val="00260226"/>
    <w:rsid w:val="00282FD1"/>
    <w:rsid w:val="00286CC1"/>
    <w:rsid w:val="00290573"/>
    <w:rsid w:val="00290A97"/>
    <w:rsid w:val="002A0313"/>
    <w:rsid w:val="002A44FC"/>
    <w:rsid w:val="002C5EF5"/>
    <w:rsid w:val="002C64BD"/>
    <w:rsid w:val="002D42BA"/>
    <w:rsid w:val="002D6787"/>
    <w:rsid w:val="002D6F46"/>
    <w:rsid w:val="00301C21"/>
    <w:rsid w:val="0032363A"/>
    <w:rsid w:val="00323A54"/>
    <w:rsid w:val="00342763"/>
    <w:rsid w:val="003471AD"/>
    <w:rsid w:val="0035258B"/>
    <w:rsid w:val="00372BB0"/>
    <w:rsid w:val="003759B7"/>
    <w:rsid w:val="00380D53"/>
    <w:rsid w:val="0039701B"/>
    <w:rsid w:val="003A0FE8"/>
    <w:rsid w:val="003A12D7"/>
    <w:rsid w:val="003A2B7C"/>
    <w:rsid w:val="003B3326"/>
    <w:rsid w:val="003C20D2"/>
    <w:rsid w:val="003E58E4"/>
    <w:rsid w:val="003F5B08"/>
    <w:rsid w:val="003F6AAD"/>
    <w:rsid w:val="0041035A"/>
    <w:rsid w:val="0042484F"/>
    <w:rsid w:val="0043561D"/>
    <w:rsid w:val="004447FD"/>
    <w:rsid w:val="004609C0"/>
    <w:rsid w:val="004835FC"/>
    <w:rsid w:val="004930B2"/>
    <w:rsid w:val="004A09EE"/>
    <w:rsid w:val="004B341E"/>
    <w:rsid w:val="004E2AD1"/>
    <w:rsid w:val="004E4F03"/>
    <w:rsid w:val="00513CB6"/>
    <w:rsid w:val="00525399"/>
    <w:rsid w:val="005341A7"/>
    <w:rsid w:val="0054440C"/>
    <w:rsid w:val="00573536"/>
    <w:rsid w:val="005A0471"/>
    <w:rsid w:val="005A75AF"/>
    <w:rsid w:val="005B2FDC"/>
    <w:rsid w:val="005B7E63"/>
    <w:rsid w:val="005D7D34"/>
    <w:rsid w:val="005E51CB"/>
    <w:rsid w:val="005F0299"/>
    <w:rsid w:val="005F17A0"/>
    <w:rsid w:val="00600693"/>
    <w:rsid w:val="00604CA1"/>
    <w:rsid w:val="00613BB4"/>
    <w:rsid w:val="0061736A"/>
    <w:rsid w:val="006203A3"/>
    <w:rsid w:val="00621B67"/>
    <w:rsid w:val="0062351F"/>
    <w:rsid w:val="00626F0D"/>
    <w:rsid w:val="00643DD4"/>
    <w:rsid w:val="00665EE8"/>
    <w:rsid w:val="006708CA"/>
    <w:rsid w:val="00675CC7"/>
    <w:rsid w:val="00687349"/>
    <w:rsid w:val="00691485"/>
    <w:rsid w:val="00692410"/>
    <w:rsid w:val="006A0369"/>
    <w:rsid w:val="006A19EF"/>
    <w:rsid w:val="006B7243"/>
    <w:rsid w:val="006E4A8C"/>
    <w:rsid w:val="006F1999"/>
    <w:rsid w:val="006F5F72"/>
    <w:rsid w:val="006F7D9A"/>
    <w:rsid w:val="00721737"/>
    <w:rsid w:val="00744846"/>
    <w:rsid w:val="00750660"/>
    <w:rsid w:val="00771972"/>
    <w:rsid w:val="00773DDD"/>
    <w:rsid w:val="007852F4"/>
    <w:rsid w:val="0079327A"/>
    <w:rsid w:val="007A359F"/>
    <w:rsid w:val="007C6B09"/>
    <w:rsid w:val="007D34B5"/>
    <w:rsid w:val="007D4826"/>
    <w:rsid w:val="007E0052"/>
    <w:rsid w:val="007E4937"/>
    <w:rsid w:val="007F2591"/>
    <w:rsid w:val="007F287B"/>
    <w:rsid w:val="00812334"/>
    <w:rsid w:val="008350A4"/>
    <w:rsid w:val="00840664"/>
    <w:rsid w:val="00840A0C"/>
    <w:rsid w:val="00840FF8"/>
    <w:rsid w:val="0085094F"/>
    <w:rsid w:val="00854573"/>
    <w:rsid w:val="00855217"/>
    <w:rsid w:val="00861B42"/>
    <w:rsid w:val="00871E9E"/>
    <w:rsid w:val="00873A10"/>
    <w:rsid w:val="008807C4"/>
    <w:rsid w:val="008A050F"/>
    <w:rsid w:val="008A1E34"/>
    <w:rsid w:val="008D0C71"/>
    <w:rsid w:val="008E0775"/>
    <w:rsid w:val="008E49A1"/>
    <w:rsid w:val="008F79F5"/>
    <w:rsid w:val="00900AC7"/>
    <w:rsid w:val="0091181C"/>
    <w:rsid w:val="00941A5C"/>
    <w:rsid w:val="009520C7"/>
    <w:rsid w:val="0095698A"/>
    <w:rsid w:val="00973BAE"/>
    <w:rsid w:val="00981868"/>
    <w:rsid w:val="009839D2"/>
    <w:rsid w:val="00983A11"/>
    <w:rsid w:val="009851A0"/>
    <w:rsid w:val="00995F7D"/>
    <w:rsid w:val="009A149D"/>
    <w:rsid w:val="009B352C"/>
    <w:rsid w:val="009B48F6"/>
    <w:rsid w:val="009C2F73"/>
    <w:rsid w:val="009C6A05"/>
    <w:rsid w:val="009C79FD"/>
    <w:rsid w:val="009D76CE"/>
    <w:rsid w:val="009E7A1C"/>
    <w:rsid w:val="009F198B"/>
    <w:rsid w:val="00A15392"/>
    <w:rsid w:val="00A212D0"/>
    <w:rsid w:val="00A2492C"/>
    <w:rsid w:val="00A40F53"/>
    <w:rsid w:val="00A41694"/>
    <w:rsid w:val="00A55FF2"/>
    <w:rsid w:val="00A90388"/>
    <w:rsid w:val="00AF7D57"/>
    <w:rsid w:val="00B03E96"/>
    <w:rsid w:val="00B30C5A"/>
    <w:rsid w:val="00B45D1A"/>
    <w:rsid w:val="00B6114B"/>
    <w:rsid w:val="00B81755"/>
    <w:rsid w:val="00B8229A"/>
    <w:rsid w:val="00B82F58"/>
    <w:rsid w:val="00B83812"/>
    <w:rsid w:val="00B84B73"/>
    <w:rsid w:val="00B85975"/>
    <w:rsid w:val="00B868B4"/>
    <w:rsid w:val="00BB406C"/>
    <w:rsid w:val="00BC0DCA"/>
    <w:rsid w:val="00BC1F6F"/>
    <w:rsid w:val="00BC7978"/>
    <w:rsid w:val="00BE62B5"/>
    <w:rsid w:val="00BF29AE"/>
    <w:rsid w:val="00C1647F"/>
    <w:rsid w:val="00C17FF0"/>
    <w:rsid w:val="00C22819"/>
    <w:rsid w:val="00C26C8D"/>
    <w:rsid w:val="00C506B6"/>
    <w:rsid w:val="00C51DFD"/>
    <w:rsid w:val="00C53BB1"/>
    <w:rsid w:val="00C54D12"/>
    <w:rsid w:val="00C55DB2"/>
    <w:rsid w:val="00C638A8"/>
    <w:rsid w:val="00C70723"/>
    <w:rsid w:val="00C70C63"/>
    <w:rsid w:val="00C8377B"/>
    <w:rsid w:val="00C84E8A"/>
    <w:rsid w:val="00C85CD1"/>
    <w:rsid w:val="00C86FAF"/>
    <w:rsid w:val="00CA64FA"/>
    <w:rsid w:val="00CE2B97"/>
    <w:rsid w:val="00CF2870"/>
    <w:rsid w:val="00CF41DD"/>
    <w:rsid w:val="00D0526D"/>
    <w:rsid w:val="00D05637"/>
    <w:rsid w:val="00D05CC2"/>
    <w:rsid w:val="00D11241"/>
    <w:rsid w:val="00D17E17"/>
    <w:rsid w:val="00D1B150"/>
    <w:rsid w:val="00D27C2B"/>
    <w:rsid w:val="00D34F3D"/>
    <w:rsid w:val="00D40AEC"/>
    <w:rsid w:val="00D66072"/>
    <w:rsid w:val="00D66543"/>
    <w:rsid w:val="00D7286B"/>
    <w:rsid w:val="00D80695"/>
    <w:rsid w:val="00DA24C5"/>
    <w:rsid w:val="00DA3FE8"/>
    <w:rsid w:val="00DB00A5"/>
    <w:rsid w:val="00DB6415"/>
    <w:rsid w:val="00DE4C7E"/>
    <w:rsid w:val="00DF7EA7"/>
    <w:rsid w:val="00E000FA"/>
    <w:rsid w:val="00E022C4"/>
    <w:rsid w:val="00E1408F"/>
    <w:rsid w:val="00E15817"/>
    <w:rsid w:val="00E169C3"/>
    <w:rsid w:val="00E31B49"/>
    <w:rsid w:val="00E31DE5"/>
    <w:rsid w:val="00E41EAB"/>
    <w:rsid w:val="00E5797C"/>
    <w:rsid w:val="00E60CE9"/>
    <w:rsid w:val="00E655CE"/>
    <w:rsid w:val="00E660C6"/>
    <w:rsid w:val="00E959B6"/>
    <w:rsid w:val="00EA137D"/>
    <w:rsid w:val="00EA2536"/>
    <w:rsid w:val="00ED2E44"/>
    <w:rsid w:val="00ED371D"/>
    <w:rsid w:val="00EE4EBC"/>
    <w:rsid w:val="00EF0C31"/>
    <w:rsid w:val="00EF6947"/>
    <w:rsid w:val="00F06ED9"/>
    <w:rsid w:val="00F11211"/>
    <w:rsid w:val="00F1312E"/>
    <w:rsid w:val="00F3246D"/>
    <w:rsid w:val="00F450A6"/>
    <w:rsid w:val="00F80C9D"/>
    <w:rsid w:val="00F907C5"/>
    <w:rsid w:val="00F91FEA"/>
    <w:rsid w:val="00F95D85"/>
    <w:rsid w:val="00FA7CD2"/>
    <w:rsid w:val="00FB2806"/>
    <w:rsid w:val="00FB2A4F"/>
    <w:rsid w:val="00FC0187"/>
    <w:rsid w:val="00FD110F"/>
    <w:rsid w:val="016948F6"/>
    <w:rsid w:val="01891ED6"/>
    <w:rsid w:val="03921584"/>
    <w:rsid w:val="0415D406"/>
    <w:rsid w:val="04EC1848"/>
    <w:rsid w:val="05F5D72E"/>
    <w:rsid w:val="0695029C"/>
    <w:rsid w:val="090D585A"/>
    <w:rsid w:val="09B1DD94"/>
    <w:rsid w:val="09E06B28"/>
    <w:rsid w:val="0A234195"/>
    <w:rsid w:val="0A25EB93"/>
    <w:rsid w:val="0BBCD55B"/>
    <w:rsid w:val="0C5B9B78"/>
    <w:rsid w:val="0D071B94"/>
    <w:rsid w:val="0F18FD60"/>
    <w:rsid w:val="0F72A003"/>
    <w:rsid w:val="100ADC42"/>
    <w:rsid w:val="110C6F11"/>
    <w:rsid w:val="1472545E"/>
    <w:rsid w:val="14A6570C"/>
    <w:rsid w:val="158B96B4"/>
    <w:rsid w:val="1774D3F2"/>
    <w:rsid w:val="18C088F4"/>
    <w:rsid w:val="19EE9B20"/>
    <w:rsid w:val="1A9A909F"/>
    <w:rsid w:val="1C7F00A0"/>
    <w:rsid w:val="1EE33F28"/>
    <w:rsid w:val="249A99CB"/>
    <w:rsid w:val="26E1EEEB"/>
    <w:rsid w:val="279BAE96"/>
    <w:rsid w:val="291A4CC1"/>
    <w:rsid w:val="299CC499"/>
    <w:rsid w:val="2A152BBE"/>
    <w:rsid w:val="2A157C0F"/>
    <w:rsid w:val="2A520056"/>
    <w:rsid w:val="2B413C4A"/>
    <w:rsid w:val="2C02F845"/>
    <w:rsid w:val="2CB6C79D"/>
    <w:rsid w:val="2D2CCC15"/>
    <w:rsid w:val="301554A6"/>
    <w:rsid w:val="3271196F"/>
    <w:rsid w:val="331F9490"/>
    <w:rsid w:val="33873B04"/>
    <w:rsid w:val="34655D9E"/>
    <w:rsid w:val="34AA052D"/>
    <w:rsid w:val="353BEFF2"/>
    <w:rsid w:val="3599B1EA"/>
    <w:rsid w:val="361F67FB"/>
    <w:rsid w:val="36703CE6"/>
    <w:rsid w:val="36C1F67F"/>
    <w:rsid w:val="385D18AD"/>
    <w:rsid w:val="3A0BD311"/>
    <w:rsid w:val="3B737601"/>
    <w:rsid w:val="3BB242D2"/>
    <w:rsid w:val="3BC26101"/>
    <w:rsid w:val="40B38591"/>
    <w:rsid w:val="4133C916"/>
    <w:rsid w:val="434AC74A"/>
    <w:rsid w:val="44283A3E"/>
    <w:rsid w:val="46AD6A43"/>
    <w:rsid w:val="470F2869"/>
    <w:rsid w:val="47705E3A"/>
    <w:rsid w:val="483C7EA2"/>
    <w:rsid w:val="48775673"/>
    <w:rsid w:val="487B73D3"/>
    <w:rsid w:val="488DAB08"/>
    <w:rsid w:val="4987AA0F"/>
    <w:rsid w:val="4B3D5218"/>
    <w:rsid w:val="4DFC2744"/>
    <w:rsid w:val="4F61126F"/>
    <w:rsid w:val="4FBE1E83"/>
    <w:rsid w:val="504A86D6"/>
    <w:rsid w:val="52721376"/>
    <w:rsid w:val="532476F6"/>
    <w:rsid w:val="5463D5FC"/>
    <w:rsid w:val="55EC53DD"/>
    <w:rsid w:val="591397DD"/>
    <w:rsid w:val="59392298"/>
    <w:rsid w:val="59E0723B"/>
    <w:rsid w:val="5AC8112D"/>
    <w:rsid w:val="5ADA6076"/>
    <w:rsid w:val="5AFEA97E"/>
    <w:rsid w:val="5C2C0191"/>
    <w:rsid w:val="5CD75BCD"/>
    <w:rsid w:val="5D543D97"/>
    <w:rsid w:val="5D95F5DD"/>
    <w:rsid w:val="5DCE8668"/>
    <w:rsid w:val="5E9B807C"/>
    <w:rsid w:val="5ECD963F"/>
    <w:rsid w:val="60A9D6CF"/>
    <w:rsid w:val="617F8E73"/>
    <w:rsid w:val="6189D9C8"/>
    <w:rsid w:val="619CFDFF"/>
    <w:rsid w:val="63E30FBD"/>
    <w:rsid w:val="64CC5E15"/>
    <w:rsid w:val="65179ADD"/>
    <w:rsid w:val="65CA06C6"/>
    <w:rsid w:val="65F4B14C"/>
    <w:rsid w:val="69168398"/>
    <w:rsid w:val="691A3B66"/>
    <w:rsid w:val="69D498EF"/>
    <w:rsid w:val="6B0080A8"/>
    <w:rsid w:val="6D199F20"/>
    <w:rsid w:val="6D7B33D4"/>
    <w:rsid w:val="6DB37509"/>
    <w:rsid w:val="6DC74DC8"/>
    <w:rsid w:val="6E440395"/>
    <w:rsid w:val="6E5A35F0"/>
    <w:rsid w:val="711FA182"/>
    <w:rsid w:val="717E5F49"/>
    <w:rsid w:val="72460B2C"/>
    <w:rsid w:val="72949FE4"/>
    <w:rsid w:val="7704C716"/>
    <w:rsid w:val="78434499"/>
    <w:rsid w:val="789CC211"/>
    <w:rsid w:val="7CAB9066"/>
    <w:rsid w:val="7DAF6FB5"/>
    <w:rsid w:val="7E5A793C"/>
    <w:rsid w:val="7F6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8144B"/>
  <w15:chartTrackingRefBased/>
  <w15:docId w15:val="{43F69398-ADE7-44CE-A7D7-70D99A63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28"/>
      <w:szCs w:val="28"/>
      <w:lang w:val="et-EE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table" w:styleId="TableGrid">
    <w:name w:val="Table Grid"/>
    <w:basedOn w:val="TableNormal"/>
    <w:uiPriority w:val="99"/>
    <w:rsid w:val="00C54D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C54D1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styleId="FootnoteReference">
    <w:name w:val="footnote reference"/>
    <w:uiPriority w:val="99"/>
    <w:semiHidden/>
    <w:rsid w:val="00C54D1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C21"/>
    <w:rPr>
      <w:rFonts w:ascii="Tahoma" w:hAnsi="Tahoma" w:cs="Tahoma"/>
      <w:sz w:val="16"/>
      <w:szCs w:val="16"/>
      <w:lang w:val="et-EE" w:eastAsia="et-EE"/>
    </w:rPr>
  </w:style>
  <w:style w:type="character" w:customStyle="1" w:styleId="BalloonTextChar">
    <w:name w:val="Balloon Text Char"/>
    <w:link w:val="BalloonText"/>
    <w:uiPriority w:val="99"/>
    <w:semiHidden/>
    <w:locked/>
    <w:rsid w:val="00301C2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952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520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20C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520C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520C7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E655CE"/>
    <w:rPr>
      <w:sz w:val="24"/>
      <w:szCs w:val="24"/>
      <w:lang w:val="en-GB" w:eastAsia="en-US"/>
    </w:rPr>
  </w:style>
  <w:style w:type="character" w:customStyle="1" w:styleId="cf01">
    <w:name w:val="cf01"/>
    <w:rsid w:val="00BB406C"/>
    <w:rPr>
      <w:rFonts w:ascii="Segoe UI" w:hAnsi="Segoe UI" w:cs="Segoe UI" w:hint="default"/>
      <w:color w:val="202020"/>
      <w:sz w:val="18"/>
      <w:szCs w:val="18"/>
    </w:rPr>
  </w:style>
  <w:style w:type="character" w:styleId="Hyperlink">
    <w:name w:val="Hyperlink"/>
    <w:uiPriority w:val="99"/>
    <w:rsid w:val="00286CC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86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bbmri-eric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6bb3b1-9b00-41cb-aaf1-2c111159f3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991CC07EBF8F489D803FB86EB86498" ma:contentTypeVersion="10" ma:contentTypeDescription="Loo uus dokument" ma:contentTypeScope="" ma:versionID="80bfb2c7445dece557913d457543b4b5">
  <xsd:schema xmlns:xsd="http://www.w3.org/2001/XMLSchema" xmlns:xs="http://www.w3.org/2001/XMLSchema" xmlns:p="http://schemas.microsoft.com/office/2006/metadata/properties" xmlns:ns2="616bb3b1-9b00-41cb-aaf1-2c111159f364" targetNamespace="http://schemas.microsoft.com/office/2006/metadata/properties" ma:root="true" ma:fieldsID="38ade1298f199f2fcbb8166aad4987c3" ns2:_="">
    <xsd:import namespace="616bb3b1-9b00-41cb-aaf1-2c111159f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b3b1-9b00-41cb-aaf1-2c111159f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c7e1068c-fbba-49b8-a159-82714d831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F389D-E84B-4C94-9F46-2BA203E39CDF}">
  <ds:schemaRefs>
    <ds:schemaRef ds:uri="http://purl.org/dc/terms/"/>
    <ds:schemaRef ds:uri="616bb3b1-9b00-41cb-aaf1-2c111159f364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29AF234-3015-4A29-A095-3B9266136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bb3b1-9b00-41cb-aaf1-2c111159f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75D949-6650-495E-9512-57F50A14A9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C0B85-E4D4-48FF-BC9F-3AE352C70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8952</Characters>
  <Application>Microsoft Office Word</Application>
  <DocSecurity>4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sotsiaalministeerium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niina</dc:creator>
  <cp:keywords/>
  <dc:description/>
  <cp:lastModifiedBy>Kadri Põldsaar</cp:lastModifiedBy>
  <cp:revision>2</cp:revision>
  <cp:lastPrinted>2021-01-29T22:42:00Z</cp:lastPrinted>
  <dcterms:created xsi:type="dcterms:W3CDTF">2025-03-07T13:31:00Z</dcterms:created>
  <dcterms:modified xsi:type="dcterms:W3CDTF">2025-03-07T13:31:00Z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ContentTypeId">
    <vt:lpwstr>0x010100D6991CC07EBF8F489D803FB86EB86498</vt:lpwstr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</Properties>
</file>