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F4D9AC" w14:textId="77777777" w:rsidR="00D65CBF" w:rsidRDefault="00D65CBF">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071" w:type="dxa"/>
        <w:tblBorders>
          <w:top w:val="nil"/>
          <w:left w:val="nil"/>
          <w:bottom w:val="nil"/>
          <w:right w:val="nil"/>
          <w:insideH w:val="nil"/>
          <w:insideV w:val="nil"/>
        </w:tblBorders>
        <w:tblLayout w:type="fixed"/>
        <w:tblLook w:val="0400" w:firstRow="0" w:lastRow="0" w:firstColumn="0" w:lastColumn="0" w:noHBand="0" w:noVBand="1"/>
      </w:tblPr>
      <w:tblGrid>
        <w:gridCol w:w="4662"/>
        <w:gridCol w:w="4409"/>
      </w:tblGrid>
      <w:tr w:rsidR="00D65CBF" w:rsidRPr="00646813" w14:paraId="4CC6492B" w14:textId="77777777">
        <w:tc>
          <w:tcPr>
            <w:tcW w:w="4662" w:type="dxa"/>
          </w:tcPr>
          <w:p w14:paraId="224F85E2" w14:textId="77777777" w:rsidR="00D65CBF" w:rsidRPr="00646813" w:rsidRDefault="00250275">
            <w:pPr>
              <w:widowControl/>
              <w:spacing w:line="240" w:lineRule="auto"/>
              <w:jc w:val="left"/>
            </w:pPr>
            <w:r w:rsidRPr="00646813">
              <w:rPr>
                <w:noProof/>
              </w:rPr>
              <w:drawing>
                <wp:inline distT="0" distB="0" distL="0" distR="0" wp14:anchorId="7C005B34" wp14:editId="34B7D4D9">
                  <wp:extent cx="1733550" cy="914400"/>
                  <wp:effectExtent l="0" t="0" r="0" b="0"/>
                  <wp:docPr id="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733550" cy="914400"/>
                          </a:xfrm>
                          <a:prstGeom prst="rect">
                            <a:avLst/>
                          </a:prstGeom>
                          <a:ln/>
                        </pic:spPr>
                      </pic:pic>
                    </a:graphicData>
                  </a:graphic>
                </wp:inline>
              </w:drawing>
            </w:r>
          </w:p>
        </w:tc>
        <w:tc>
          <w:tcPr>
            <w:tcW w:w="4409" w:type="dxa"/>
          </w:tcPr>
          <w:p w14:paraId="5FD0063E" w14:textId="77777777" w:rsidR="00D65CBF" w:rsidRPr="00646813" w:rsidRDefault="00250275">
            <w:pPr>
              <w:widowControl/>
              <w:spacing w:line="240" w:lineRule="auto"/>
              <w:jc w:val="right"/>
              <w:rPr>
                <w:b/>
              </w:rPr>
            </w:pPr>
            <w:r w:rsidRPr="00646813">
              <w:rPr>
                <w:b/>
              </w:rPr>
              <w:t>KINNITATUD</w:t>
            </w:r>
          </w:p>
          <w:p w14:paraId="4A8C5BE1" w14:textId="77777777" w:rsidR="00D65CBF" w:rsidRPr="00646813" w:rsidRDefault="00250275">
            <w:pPr>
              <w:widowControl/>
              <w:spacing w:line="240" w:lineRule="auto"/>
              <w:jc w:val="right"/>
            </w:pPr>
            <w:proofErr w:type="spellStart"/>
            <w:r w:rsidRPr="00646813">
              <w:t>Välisvahendite</w:t>
            </w:r>
            <w:proofErr w:type="spellEnd"/>
            <w:r w:rsidRPr="00646813">
              <w:t xml:space="preserve"> osakonna juhataja 13.09.2023 otsusega nr 1-24/136</w:t>
            </w:r>
          </w:p>
          <w:p w14:paraId="05AD9B09" w14:textId="77777777" w:rsidR="00D65CBF" w:rsidRPr="00646813" w:rsidRDefault="00250275">
            <w:pPr>
              <w:widowControl/>
              <w:spacing w:line="240" w:lineRule="auto"/>
              <w:jc w:val="right"/>
            </w:pPr>
            <w:r w:rsidRPr="00646813">
              <w:t>„Perioodi 2021–2027 Euroopa Sotsiaalfondi meetme „Kodanikuühiskonna mõju suurendamine ja arengu toetamine“ vormide kinnitamine“</w:t>
            </w:r>
          </w:p>
          <w:p w14:paraId="70216901" w14:textId="77777777" w:rsidR="00D65CBF" w:rsidRPr="00646813" w:rsidRDefault="00250275">
            <w:pPr>
              <w:widowControl/>
              <w:spacing w:line="240" w:lineRule="auto"/>
              <w:jc w:val="right"/>
            </w:pPr>
            <w:r w:rsidRPr="00646813">
              <w:t>LISA 1</w:t>
            </w:r>
          </w:p>
        </w:tc>
      </w:tr>
      <w:tr w:rsidR="00D65CBF" w:rsidRPr="00646813" w14:paraId="719881AA" w14:textId="77777777">
        <w:tc>
          <w:tcPr>
            <w:tcW w:w="4662" w:type="dxa"/>
            <w:tcMar>
              <w:left w:w="108" w:type="dxa"/>
              <w:right w:w="108" w:type="dxa"/>
            </w:tcMar>
          </w:tcPr>
          <w:p w14:paraId="6DF1CF8F" w14:textId="77777777" w:rsidR="00D65CBF" w:rsidRPr="00646813" w:rsidRDefault="00D65CBF">
            <w:pPr>
              <w:spacing w:line="240" w:lineRule="auto"/>
              <w:rPr>
                <w:b/>
              </w:rPr>
            </w:pPr>
          </w:p>
          <w:p w14:paraId="70B49217" w14:textId="77777777" w:rsidR="00D65CBF" w:rsidRPr="00646813" w:rsidRDefault="00D65CBF">
            <w:pPr>
              <w:spacing w:line="240" w:lineRule="auto"/>
              <w:rPr>
                <w:b/>
              </w:rPr>
            </w:pPr>
          </w:p>
          <w:p w14:paraId="5A5560FC" w14:textId="6626A573" w:rsidR="00D65CBF" w:rsidRPr="00646813" w:rsidRDefault="00250275">
            <w:pPr>
              <w:spacing w:line="240" w:lineRule="auto"/>
            </w:pPr>
            <w:r w:rsidRPr="00646813">
              <w:rPr>
                <w:b/>
              </w:rPr>
              <w:t>Toetatavate tegevuste tegevuskava perioodil 01.01.-31.12.202</w:t>
            </w:r>
            <w:r w:rsidR="004E3A3A" w:rsidRPr="00646813">
              <w:rPr>
                <w:b/>
              </w:rPr>
              <w:t>6</w:t>
            </w:r>
            <w:r w:rsidRPr="00646813">
              <w:rPr>
                <w:b/>
                <w:vertAlign w:val="superscript"/>
              </w:rPr>
              <w:footnoteReference w:id="1"/>
            </w:r>
          </w:p>
          <w:p w14:paraId="18767B4A" w14:textId="77777777" w:rsidR="00D65CBF" w:rsidRPr="00646813" w:rsidRDefault="00D65CBF">
            <w:pPr>
              <w:widowControl/>
              <w:spacing w:before="240" w:line="240" w:lineRule="auto"/>
              <w:jc w:val="left"/>
              <w:rPr>
                <w:b/>
              </w:rPr>
            </w:pPr>
          </w:p>
        </w:tc>
        <w:tc>
          <w:tcPr>
            <w:tcW w:w="4409" w:type="dxa"/>
            <w:tcMar>
              <w:left w:w="108" w:type="dxa"/>
              <w:right w:w="108" w:type="dxa"/>
            </w:tcMar>
          </w:tcPr>
          <w:p w14:paraId="14649443" w14:textId="77777777" w:rsidR="00D65CBF" w:rsidRPr="00646813" w:rsidRDefault="00D65CBF">
            <w:pPr>
              <w:widowControl/>
              <w:spacing w:line="240" w:lineRule="auto"/>
              <w:jc w:val="right"/>
              <w:rPr>
                <w:b/>
              </w:rPr>
            </w:pPr>
          </w:p>
        </w:tc>
      </w:tr>
    </w:tbl>
    <w:p w14:paraId="02B340DC" w14:textId="77777777" w:rsidR="00D65CBF" w:rsidRPr="00646813" w:rsidRDefault="00250275">
      <w:pPr>
        <w:pStyle w:val="Heading2"/>
        <w:keepLines w:val="0"/>
        <w:widowControl/>
        <w:numPr>
          <w:ilvl w:val="0"/>
          <w:numId w:val="1"/>
        </w:numPr>
        <w:tabs>
          <w:tab w:val="left" w:pos="426"/>
        </w:tabs>
        <w:spacing w:before="240" w:after="60" w:line="240" w:lineRule="auto"/>
        <w:ind w:left="0" w:firstLine="0"/>
        <w:rPr>
          <w:rFonts w:ascii="Cambria" w:eastAsia="Cambria" w:hAnsi="Cambria" w:cs="Cambria"/>
          <w:b/>
          <w:i/>
          <w:color w:val="000000"/>
          <w:sz w:val="24"/>
          <w:szCs w:val="24"/>
        </w:rPr>
      </w:pPr>
      <w:r w:rsidRPr="00646813">
        <w:rPr>
          <w:rFonts w:ascii="Cambria" w:eastAsia="Cambria" w:hAnsi="Cambria" w:cs="Cambria"/>
          <w:b/>
          <w:color w:val="000000"/>
          <w:sz w:val="24"/>
          <w:szCs w:val="24"/>
        </w:rPr>
        <w:t>Toetatav tegevus 2.1: Süsteemse kogukonnapõhise laste ja noorte kaasamismudeli arendamine</w:t>
      </w:r>
    </w:p>
    <w:p w14:paraId="31CBF331" w14:textId="77777777" w:rsidR="00D65CBF" w:rsidRPr="00646813" w:rsidRDefault="00250275">
      <w:pPr>
        <w:pStyle w:val="Heading2"/>
        <w:keepLines w:val="0"/>
        <w:widowControl/>
        <w:numPr>
          <w:ilvl w:val="1"/>
          <w:numId w:val="1"/>
        </w:numPr>
        <w:tabs>
          <w:tab w:val="left" w:pos="426"/>
        </w:tabs>
        <w:spacing w:before="240" w:after="60" w:line="240" w:lineRule="auto"/>
        <w:ind w:left="851" w:hanging="851"/>
        <w:rPr>
          <w:b/>
          <w:i/>
          <w:color w:val="000000"/>
          <w:sz w:val="24"/>
          <w:szCs w:val="24"/>
        </w:rPr>
      </w:pPr>
      <w:r w:rsidRPr="00646813">
        <w:rPr>
          <w:b/>
          <w:color w:val="000000"/>
          <w:sz w:val="24"/>
          <w:szCs w:val="24"/>
        </w:rPr>
        <w:t>Alategevus: Arenguprogrammi välja töötamine ja läbi viimine</w:t>
      </w:r>
    </w:p>
    <w:p w14:paraId="783D6C47" w14:textId="77777777" w:rsidR="00D65CBF" w:rsidRPr="00646813" w:rsidRDefault="00250275" w:rsidP="00EE569E">
      <w:pPr>
        <w:numPr>
          <w:ilvl w:val="2"/>
          <w:numId w:val="1"/>
        </w:numPr>
        <w:pBdr>
          <w:top w:val="nil"/>
          <w:left w:val="nil"/>
          <w:bottom w:val="nil"/>
          <w:right w:val="nil"/>
          <w:between w:val="nil"/>
        </w:pBdr>
        <w:spacing w:line="240" w:lineRule="auto"/>
        <w:rPr>
          <w:rFonts w:eastAsia="Times New Roman"/>
          <w:b/>
          <w:color w:val="000000"/>
        </w:rPr>
      </w:pPr>
      <w:r w:rsidRPr="00646813">
        <w:rPr>
          <w:rFonts w:eastAsia="Times New Roman"/>
          <w:b/>
          <w:color w:val="000000"/>
        </w:rPr>
        <w:t>Arenguprogrammi välja töötamine</w:t>
      </w:r>
    </w:p>
    <w:p w14:paraId="676FC997" w14:textId="77777777" w:rsidR="00D65CBF" w:rsidRPr="00646813" w:rsidRDefault="00D65CBF">
      <w:pPr>
        <w:spacing w:line="240" w:lineRule="auto"/>
      </w:pPr>
    </w:p>
    <w:p w14:paraId="469591FA" w14:textId="6CB29EF3" w:rsidR="00D65CBF" w:rsidRPr="00646813" w:rsidRDefault="004321D7" w:rsidP="00FE334E">
      <w:pPr>
        <w:spacing w:line="240" w:lineRule="auto"/>
      </w:pPr>
      <w:r w:rsidRPr="00646813">
        <w:t xml:space="preserve">Arenguprogramm töötati välja 2024. aastal ning viidi esimest korda ellu 2025. aasta esimeses pooles. Pärast programmi esmast läbiviimist kutsus elluviija 2025. aastal kokku 2024. aasta alguses moodustatud töögrupi (edaspidi AP töögrupp), kes oli koostanud arenguprogrammi esialgse mudeli. AP töögruppi on kaasatud erinevad projekti seisukohalt olulised osapooled. Töögrupis on esindatud kaasamisekspert, maakondlike arenduskeskuste (edaspidi MAK) vabaühenduste konsultant, MAK koordinaator, kaardistusekspert, koolitusekspert ning </w:t>
      </w:r>
      <w:proofErr w:type="spellStart"/>
      <w:r w:rsidRPr="00646813">
        <w:t>KÜSKi</w:t>
      </w:r>
      <w:proofErr w:type="spellEnd"/>
      <w:r w:rsidRPr="00646813">
        <w:t xml:space="preserve"> esindaja. AP töögrupi töös saavad kaasa rääkida ka nn vabakuulajad, kellele on antud juurdepääs töögrupi dokumentidele ja võimalus soovi korral osaleda tööprotsessis. Vabakuulajate roll on anda tagasisidet töögrupi tegevusele ning esindada noorte huve. Vabakuulajaks olemise võimalus on antud üle-eestilistele noorteorganisatsioonidele, erinevate vabaühenduste esindajatele ja Siseministeeriumi esindajale.</w:t>
      </w:r>
      <w:r w:rsidR="002E77E4" w:rsidRPr="00646813">
        <w:br/>
      </w:r>
      <w:r w:rsidRPr="00646813">
        <w:t xml:space="preserve"> </w:t>
      </w:r>
      <w:r w:rsidR="00B12B00" w:rsidRPr="00646813">
        <w:br/>
      </w:r>
      <w:r w:rsidR="00221B81" w:rsidRPr="00646813">
        <w:t xml:space="preserve">Pärast arenguprogrammi esmakordset lõppemist 2025. aastal hindas AP töögrupp läbiviija – Teaduse ja Kultuuri SA </w:t>
      </w:r>
      <w:proofErr w:type="spellStart"/>
      <w:r w:rsidR="00221B81" w:rsidRPr="00646813">
        <w:t>Domus</w:t>
      </w:r>
      <w:proofErr w:type="spellEnd"/>
      <w:r w:rsidR="00221B81" w:rsidRPr="00646813">
        <w:t xml:space="preserve"> </w:t>
      </w:r>
      <w:proofErr w:type="spellStart"/>
      <w:r w:rsidR="00221B81" w:rsidRPr="00646813">
        <w:t>Dorpatensise</w:t>
      </w:r>
      <w:proofErr w:type="spellEnd"/>
      <w:r w:rsidR="00221B81" w:rsidRPr="00646813">
        <w:t xml:space="preserve"> – ettepanekuid, osalejate tagasisidet ning muid arenguprogrammi käigus kogunenud sisendeid. Saadud tagasiside põhjal koostas töögrupp muudatusettepanekud hanke tehnilisse kirjeldusse, et ette valmistada järgmine, ajakohastatud arenguprogramm, mille läbivad järgmised vabaühenduste nõustamisega tegelevad isikud. Peamine erinevus võrreldes 2025. aasta arenguprogrammiga oli sihtrühma laiendamine. AP töögrupp leidis, et sarnase programmi korraldamine samadele osalejatele oleks ebatõhus ning senised MAK vabaühenduste konsultandid (kes osalesid esimeses programmis) vajavad pigem sarnaste teadmistega partnereid oma maakondlikes töövõrgustikes. Seetõttu tegi töögrupp ettepaneku luua arenguprogrammi kõrval uus versioon, mille läbiksid maakondades tegutsevad osapooled, kes puutuvad oma töös kokku vabaühendustega ja saavad rakendada omandatud kaasamisoskusi oma võrgustikes. Selline lähenemine toetab paremat koostööd MAK vabaühenduste konsultantidega ning suurendab teadlikkust maakondades.</w:t>
      </w:r>
      <w:r w:rsidR="76D786FD" w:rsidRPr="00646813">
        <w:t xml:space="preserve"> </w:t>
      </w:r>
    </w:p>
    <w:p w14:paraId="730E01C7" w14:textId="42E75D41" w:rsidR="00D65CBF" w:rsidRPr="00646813" w:rsidRDefault="00D65CBF">
      <w:pPr>
        <w:spacing w:line="240" w:lineRule="auto"/>
      </w:pPr>
    </w:p>
    <w:p w14:paraId="0D7EE2B3" w14:textId="77777777" w:rsidR="006C09C2" w:rsidRPr="00646813" w:rsidRDefault="00101F04" w:rsidP="006C09C2">
      <w:pPr>
        <w:spacing w:line="240" w:lineRule="auto"/>
      </w:pPr>
      <w:r w:rsidRPr="00646813">
        <w:t xml:space="preserve">2025. aasta lõpus koostab ja viib elluviija läbi riigihanke, mis põhineb AP töögrupi kaardistuseksperdi koostatud tehnilisel kirjelduse. Hanke eesmärk on leida teenusepakkuja, kes </w:t>
      </w:r>
      <w:r w:rsidRPr="00646813">
        <w:lastRenderedPageBreak/>
        <w:t>pakuks maakondades koolitus- ja arendustegevusi organisatsioonide ning kohalike omavalitsuste töötajatele, kelle tööülesannete hulka kuulub kodanikuühiskonna organisatsioonide nõustamine, kogukondade kaasamine ja neile teabe jagamine (nt meetme nõustajad, kogukonnaspetsialistid, arenguspetsialistid jm). Arenguprogrammi läbinud oskab kvaliteetselt nõustada kogukondi, vabaühendusi ja kohalikke omavalitsusi, viia läbi proaktiivseid tegevusi laste ja noorte ühiskondlikku ellu kaasamiseks ning edendada kohaliku tasandi osapoolte koostööd kohaliku elu küsimustes. Arenguprogrammi ajakohastatud lähteülesanne valmib 2025. aasta lõpuks</w:t>
      </w:r>
      <w:r w:rsidR="00C46906" w:rsidRPr="00646813">
        <w:t xml:space="preserve">. 2025. detsember kuulutatakse välja hange </w:t>
      </w:r>
      <w:r w:rsidRPr="00646813">
        <w:t>programmi teistkordseks läbiviimiseks. Teenusepakkuja alustab tööd 2026. aasta veebruaris.</w:t>
      </w:r>
      <w:r w:rsidR="006F49A2" w:rsidRPr="00646813">
        <w:br/>
      </w:r>
      <w:r w:rsidR="006F49A2" w:rsidRPr="00646813">
        <w:br/>
      </w:r>
      <w:r w:rsidR="00754417" w:rsidRPr="00646813">
        <w:rPr>
          <w:rFonts w:asciiTheme="majorBidi" w:hAnsiTheme="majorBidi" w:cstheme="majorBidi"/>
          <w:color w:val="000000" w:themeColor="text1"/>
        </w:rPr>
        <w:t>2025.</w:t>
      </w:r>
      <w:r w:rsidR="00754417" w:rsidRPr="00646813">
        <w:rPr>
          <w:rFonts w:asciiTheme="majorBidi" w:eastAsiaTheme="majorEastAsia" w:hAnsiTheme="majorBidi" w:cstheme="majorBidi"/>
          <w:color w:val="000000" w:themeColor="text1"/>
        </w:rPr>
        <w:t xml:space="preserve">aastal leiti elluviijale raamhankega teenusepakkuja, kes korraldab projekti raames õppereise. Hanke </w:t>
      </w:r>
      <w:r w:rsidR="00754417" w:rsidRPr="00375054">
        <w:rPr>
          <w:rFonts w:asciiTheme="majorBidi" w:eastAsiaTheme="majorEastAsia" w:hAnsiTheme="majorBidi" w:cstheme="majorBidi"/>
          <w:color w:val="000000" w:themeColor="text1"/>
        </w:rPr>
        <w:t>võitis Reisieksperdi AS, kellega sõlmiti leping õppereiside korraldamiseks minikonkursside alusel kuni 2028. aastani.</w:t>
      </w:r>
      <w:r w:rsidR="00BB02A6" w:rsidRPr="00375054">
        <w:rPr>
          <w:rFonts w:asciiTheme="majorBidi" w:eastAsiaTheme="majorEastAsia" w:hAnsiTheme="majorBidi" w:cstheme="majorBidi"/>
          <w:color w:val="000000" w:themeColor="text1"/>
        </w:rPr>
        <w:t xml:space="preserve"> </w:t>
      </w:r>
      <w:r w:rsidR="00754417" w:rsidRPr="00375054">
        <w:rPr>
          <w:rFonts w:asciiTheme="majorBidi" w:eastAsiaTheme="majorEastAsia" w:hAnsiTheme="majorBidi" w:cstheme="majorBidi"/>
          <w:color w:val="000000" w:themeColor="text1"/>
        </w:rPr>
        <w:t>AP töögrupp</w:t>
      </w:r>
      <w:r w:rsidR="00754417" w:rsidRPr="00646813">
        <w:rPr>
          <w:rFonts w:asciiTheme="majorBidi" w:eastAsiaTheme="majorEastAsia" w:hAnsiTheme="majorBidi" w:cstheme="majorBidi"/>
          <w:color w:val="000000" w:themeColor="text1"/>
        </w:rPr>
        <w:t xml:space="preserve"> hindas 2025. aastal toimunud õppereisi väga väärtuslikuks ning leidis, et ka järgnevatel aastatel tuleks laste ja noorte kaasamispraktikaid Euroopas vaadelda laiemalt, mitte üksnes üksikute näidete või mudelite kaudu. Seetõttu on oluline kohtuda erinevate kohalike omavalitsustega, kus vastavad mudelid toimivad, ning arvestada laiemalt nii kohalikku konteksti, osapooli, etnilist tausta kui ka ühiskondlikke norme. Ilma nende aspektideta on keeruline teha sisukaid võrdlusi ja hinnata, kas sarnased mudelid võiksid toimida ka Eestis. Selline võrdlusmoment on väärtuslik, sest aitab mõista senist praktikat ning täiendada seda õppereisil saadud kogemuste põhjal.</w:t>
      </w:r>
      <w:r w:rsidR="006D75F3" w:rsidRPr="00646813">
        <w:rPr>
          <w:rFonts w:asciiTheme="majorBidi" w:eastAsiaTheme="majorEastAsia" w:hAnsiTheme="majorBidi" w:cstheme="majorBidi"/>
          <w:color w:val="000000" w:themeColor="text1"/>
        </w:rPr>
        <w:br/>
      </w:r>
      <w:r w:rsidR="006D75F3" w:rsidRPr="00646813">
        <w:rPr>
          <w:rFonts w:asciiTheme="majorBidi" w:eastAsiaTheme="majorEastAsia" w:hAnsiTheme="majorBidi" w:cstheme="majorBidi"/>
          <w:color w:val="000000" w:themeColor="text1"/>
        </w:rPr>
        <w:br/>
      </w:r>
      <w:r w:rsidR="00754417" w:rsidRPr="00646813">
        <w:rPr>
          <w:rFonts w:asciiTheme="majorBidi" w:eastAsiaTheme="majorEastAsia" w:hAnsiTheme="majorBidi" w:cstheme="majorBidi"/>
          <w:color w:val="000000" w:themeColor="text1"/>
        </w:rPr>
        <w:t>AP töögrupp tegi ettepaneku kavandada 2026. aasta õppereis Soome, kuna see riik on rahvusvaheliselt tunnustatud eeskuju noorte süsteemse kaasamise, kogukonnapõhise valitsemise ning avaliku sektori ja kodanikuühiskonna partnerluse arendamisel. Soomes on seadusega tagatud noorte osalus kohaliku tasandi otsustusprotsessides (noorte nõukogude süsteem), mis loob tugeva aluse demokraatlike hoiakute ja osalusvõime kujunemiseks juba varases eas. See kogemus toetab otseselt TAT tegevuste eesmärki – tõsta noorte teadlikkust ja oskust ühiskonnas aktiivselt kaasa rääkida ning tugevdada vabakonna suutlikkust noori oma tegevusse kaasata.</w:t>
      </w:r>
      <w:r w:rsidR="00BB02A6" w:rsidRPr="00646813">
        <w:rPr>
          <w:rFonts w:asciiTheme="majorBidi" w:eastAsiaTheme="majorEastAsia" w:hAnsiTheme="majorBidi" w:cstheme="majorBidi"/>
          <w:color w:val="000000" w:themeColor="text1"/>
        </w:rPr>
        <w:t xml:space="preserve"> </w:t>
      </w:r>
      <w:r w:rsidR="00754417" w:rsidRPr="00646813">
        <w:rPr>
          <w:rFonts w:asciiTheme="majorBidi" w:eastAsiaTheme="majorEastAsia" w:hAnsiTheme="majorBidi" w:cstheme="majorBidi"/>
          <w:color w:val="000000" w:themeColor="text1"/>
        </w:rPr>
        <w:t xml:space="preserve">Lisaks iseloomustab Soomet regionaalselt tasakaalustatud kogukonnatöö ja partnerluspõhine juhtimismudel, mis aitab leida lahendusi kohaliku arengu ja kodanikuühiskonna koostöö edendamiseks ka </w:t>
      </w:r>
      <w:proofErr w:type="spellStart"/>
      <w:r w:rsidR="00754417" w:rsidRPr="00646813">
        <w:rPr>
          <w:rFonts w:asciiTheme="majorBidi" w:eastAsiaTheme="majorEastAsia" w:hAnsiTheme="majorBidi" w:cstheme="majorBidi"/>
          <w:color w:val="000000" w:themeColor="text1"/>
        </w:rPr>
        <w:t>hajaasustusega</w:t>
      </w:r>
      <w:proofErr w:type="spellEnd"/>
      <w:r w:rsidR="00754417" w:rsidRPr="00646813">
        <w:rPr>
          <w:rFonts w:asciiTheme="majorBidi" w:eastAsiaTheme="majorEastAsia" w:hAnsiTheme="majorBidi" w:cstheme="majorBidi"/>
          <w:color w:val="000000" w:themeColor="text1"/>
        </w:rPr>
        <w:t xml:space="preserve"> piirkondades. </w:t>
      </w:r>
      <w:r w:rsidR="009147DB" w:rsidRPr="00646813">
        <w:rPr>
          <w:rFonts w:asciiTheme="majorBidi" w:hAnsiTheme="majorBidi" w:cstheme="majorBidi"/>
          <w:color w:val="000000" w:themeColor="text1"/>
        </w:rPr>
        <w:t>Õ</w:t>
      </w:r>
      <w:r w:rsidR="00754417" w:rsidRPr="00646813">
        <w:rPr>
          <w:rFonts w:asciiTheme="majorBidi" w:eastAsiaTheme="majorEastAsia" w:hAnsiTheme="majorBidi" w:cstheme="majorBidi"/>
          <w:color w:val="000000" w:themeColor="text1"/>
        </w:rPr>
        <w:t>ppereis võimaldab tutvuda nii avaliku sektori kui ka vabakonna koostöövormidega, sealhulgas noorsootöö, sotsiaalse innovatsiooni ja kogukonnapoliitika lõimimise praktikatega.</w:t>
      </w:r>
      <w:r w:rsidR="00BB02A6" w:rsidRPr="00646813">
        <w:rPr>
          <w:rFonts w:asciiTheme="majorBidi" w:eastAsiaTheme="majorEastAsia" w:hAnsiTheme="majorBidi" w:cstheme="majorBidi"/>
          <w:color w:val="000000" w:themeColor="text1"/>
        </w:rPr>
        <w:t xml:space="preserve"> </w:t>
      </w:r>
      <w:r w:rsidR="00754417" w:rsidRPr="00646813">
        <w:rPr>
          <w:rFonts w:asciiTheme="majorBidi" w:eastAsiaTheme="majorEastAsia" w:hAnsiTheme="majorBidi" w:cstheme="majorBidi"/>
          <w:color w:val="000000" w:themeColor="text1"/>
        </w:rPr>
        <w:t>Soome lähenemine on Eestiga võrreldavas kontekstis toimiv ja rakendatav, võimaldades õppida praktilisi mudeleid, mida saab kohandada Eesti maakondlike konsultantide ja vabaühenduste tegevusse. Samuti toetab Soome kogemus TAT horisontaalsete põhimõtete – võrdsete võimaluste, ligipääsetavuse ja regionaalse tasakaalu – rakendamist ning aitab tugevdada Eesti kodanikuühiskonna süsteemset võimekust noorte kaasamisel.</w:t>
      </w:r>
      <w:r w:rsidR="006C09C2" w:rsidRPr="00646813">
        <w:rPr>
          <w:rFonts w:asciiTheme="majorBidi" w:eastAsiaTheme="majorEastAsia" w:hAnsiTheme="majorBidi" w:cstheme="majorBidi"/>
          <w:color w:val="000000" w:themeColor="text1"/>
        </w:rPr>
        <w:br/>
      </w:r>
      <w:r w:rsidR="006C09C2" w:rsidRPr="00646813">
        <w:rPr>
          <w:rFonts w:asciiTheme="majorBidi" w:eastAsiaTheme="majorEastAsia" w:hAnsiTheme="majorBidi" w:cstheme="majorBidi"/>
          <w:color w:val="000000" w:themeColor="text1"/>
        </w:rPr>
        <w:br/>
      </w:r>
      <w:r w:rsidR="00754417" w:rsidRPr="00646813">
        <w:rPr>
          <w:rFonts w:asciiTheme="majorBidi" w:eastAsiaTheme="majorEastAsia" w:hAnsiTheme="majorBidi" w:cstheme="majorBidi"/>
          <w:color w:val="000000" w:themeColor="text1"/>
        </w:rPr>
        <w:t>Õppereisil osalevad projekti töögruppide liikmed, arenguprogrammi osalejad ja MAK konsultandid (võrgustik). Õppereisilt kogutakse sisendit TAT tegevuste 2.1 (süsteemse kogukonnapõhise laste ja noorte kaasamismudeli arendamine), 2.2.3.1 (maakondlike koolitus- ja arendustegevuste korraldamine ja läbiviimine) ning 2.2.3.2 (noortele suunatud teadlikkust tõstvate kohtumiste ja sündmuste korraldamine) ettevalmistamiseks ja elluviimiseks.</w:t>
      </w:r>
      <w:r w:rsidR="006C09C2" w:rsidRPr="00646813">
        <w:rPr>
          <w:rFonts w:asciiTheme="majorBidi" w:eastAsiaTheme="majorEastAsia" w:hAnsiTheme="majorBidi" w:cstheme="majorBidi"/>
          <w:color w:val="000000" w:themeColor="text1"/>
        </w:rPr>
        <w:br/>
      </w:r>
      <w:r w:rsidR="006C09C2" w:rsidRPr="00646813">
        <w:rPr>
          <w:rFonts w:asciiTheme="majorBidi" w:eastAsiaTheme="majorEastAsia" w:hAnsiTheme="majorBidi" w:cstheme="majorBidi"/>
          <w:color w:val="000000" w:themeColor="text1"/>
        </w:rPr>
        <w:br/>
      </w:r>
      <w:r w:rsidR="00754417" w:rsidRPr="00646813">
        <w:rPr>
          <w:rFonts w:asciiTheme="majorBidi" w:eastAsiaTheme="majorEastAsia" w:hAnsiTheme="majorBidi" w:cstheme="majorBidi"/>
          <w:color w:val="000000" w:themeColor="text1"/>
        </w:rPr>
        <w:t>Õppereisi eesmärk on luua sidemed Soome kohalike omavalitsuste ja vabaühendustega, vahetada parimaid praktikaid ning arendada kontakte rahvusvahelisel tasandil. Iga osaleja koostab õppereisi käigus reflektsiooni ja esitab seejärel omapoolse ülevaate. Projektijuht koondab kokkuvõtted ja esitab järeldused erinevatele huvigruppidele.</w:t>
      </w:r>
    </w:p>
    <w:p w14:paraId="3A15A3D2" w14:textId="77777777" w:rsidR="006C09C2" w:rsidRPr="00646813" w:rsidRDefault="006C09C2" w:rsidP="006C09C2">
      <w:pPr>
        <w:spacing w:line="240" w:lineRule="auto"/>
        <w:rPr>
          <w:bCs/>
        </w:rPr>
      </w:pPr>
    </w:p>
    <w:p w14:paraId="2ABF6143" w14:textId="01A4A198" w:rsidR="001F34E7" w:rsidRPr="00646813" w:rsidRDefault="001F34E7" w:rsidP="0066371A">
      <w:pPr>
        <w:rPr>
          <w:rFonts w:eastAsia="Times New Roman"/>
          <w:bCs/>
          <w:color w:val="000000"/>
        </w:rPr>
      </w:pPr>
      <w:r w:rsidRPr="00646813">
        <w:rPr>
          <w:rFonts w:eastAsia="Times New Roman"/>
          <w:bCs/>
          <w:color w:val="000000"/>
        </w:rPr>
        <w:t xml:space="preserve">2026 aastal korraldab elluviija konverentsi mille eesmärk on toetada </w:t>
      </w:r>
      <w:proofErr w:type="spellStart"/>
      <w:r w:rsidRPr="00646813">
        <w:rPr>
          <w:rFonts w:eastAsia="Times New Roman"/>
          <w:bCs/>
          <w:color w:val="000000"/>
        </w:rPr>
        <w:t>TAT-i</w:t>
      </w:r>
      <w:proofErr w:type="spellEnd"/>
      <w:r w:rsidRPr="00646813">
        <w:rPr>
          <w:rFonts w:eastAsia="Times New Roman"/>
          <w:bCs/>
          <w:color w:val="000000"/>
        </w:rPr>
        <w:t xml:space="preserve"> tegevuse 2.1 (süsteemse kogukonnapõhise laste ja noorte kaasamismudeli arendamine) elluviimist ning tugevdada </w:t>
      </w:r>
      <w:proofErr w:type="spellStart"/>
      <w:r w:rsidRPr="00646813">
        <w:rPr>
          <w:rFonts w:eastAsia="Times New Roman"/>
          <w:bCs/>
          <w:color w:val="000000"/>
        </w:rPr>
        <w:t>valdkondadeülest</w:t>
      </w:r>
      <w:proofErr w:type="spellEnd"/>
      <w:r w:rsidRPr="00646813">
        <w:rPr>
          <w:rFonts w:eastAsia="Times New Roman"/>
          <w:bCs/>
          <w:color w:val="000000"/>
        </w:rPr>
        <w:t xml:space="preserve"> koostööd</w:t>
      </w:r>
      <w:r w:rsidR="00F949EC" w:rsidRPr="00646813">
        <w:rPr>
          <w:rFonts w:eastAsia="Times New Roman"/>
          <w:bCs/>
          <w:color w:val="000000"/>
        </w:rPr>
        <w:t xml:space="preserve"> ja projekti erinevate sihtrühmade omavahelist </w:t>
      </w:r>
      <w:r w:rsidR="00F949EC" w:rsidRPr="00646813">
        <w:rPr>
          <w:rFonts w:eastAsia="Times New Roman"/>
          <w:bCs/>
          <w:color w:val="000000"/>
        </w:rPr>
        <w:lastRenderedPageBreak/>
        <w:t>võrgustamist</w:t>
      </w:r>
      <w:r w:rsidRPr="00646813">
        <w:rPr>
          <w:rFonts w:eastAsia="Times New Roman"/>
          <w:bCs/>
          <w:color w:val="000000"/>
        </w:rPr>
        <w:t xml:space="preserve"> kodanikuühiskonna ja noorte kaasamise teemadel. Konverentsile kaasatakse nii eksperte ja praktikuid, et vahetada kogemusi ja tutvustada erinevaid kaasamismudeleid.</w:t>
      </w:r>
      <w:r w:rsidR="0066371A" w:rsidRPr="00646813">
        <w:rPr>
          <w:rFonts w:eastAsia="Times New Roman"/>
          <w:bCs/>
          <w:color w:val="000000"/>
        </w:rPr>
        <w:t xml:space="preserve"> E</w:t>
      </w:r>
      <w:r w:rsidRPr="00646813">
        <w:rPr>
          <w:rFonts w:eastAsia="Times New Roman"/>
          <w:bCs/>
          <w:color w:val="000000"/>
        </w:rPr>
        <w:t xml:space="preserve">sinejad valitakse avaliku valiku ja kutsete alusel, </w:t>
      </w:r>
      <w:r w:rsidR="000A0532" w:rsidRPr="00646813">
        <w:rPr>
          <w:rFonts w:eastAsia="Times New Roman"/>
          <w:bCs/>
          <w:color w:val="000000"/>
        </w:rPr>
        <w:t>kaaludes nii</w:t>
      </w:r>
      <w:r w:rsidRPr="00646813">
        <w:rPr>
          <w:rFonts w:eastAsia="Times New Roman"/>
          <w:bCs/>
          <w:color w:val="000000"/>
        </w:rPr>
        <w:t xml:space="preserve"> rahvusvaheliselt tunnustatud noorte osaluse ja kogukonnapõhise kaasamise eksperte</w:t>
      </w:r>
      <w:r w:rsidR="000A0532" w:rsidRPr="00646813">
        <w:rPr>
          <w:rFonts w:eastAsia="Times New Roman"/>
          <w:bCs/>
          <w:color w:val="000000"/>
        </w:rPr>
        <w:t xml:space="preserve"> kui ka kohalikuma mõõtmega </w:t>
      </w:r>
      <w:r w:rsidR="00650136" w:rsidRPr="00646813">
        <w:rPr>
          <w:rFonts w:eastAsia="Times New Roman"/>
          <w:bCs/>
          <w:color w:val="000000"/>
        </w:rPr>
        <w:t>esinejaid.</w:t>
      </w:r>
    </w:p>
    <w:p w14:paraId="2E8B96A7" w14:textId="086F5B3C" w:rsidR="00B07B2D" w:rsidRPr="00646813" w:rsidRDefault="001F34E7" w:rsidP="00B07B2D">
      <w:pPr>
        <w:spacing w:line="240" w:lineRule="auto"/>
        <w:rPr>
          <w:rFonts w:eastAsia="Times New Roman"/>
          <w:bCs/>
          <w:color w:val="000000"/>
        </w:rPr>
      </w:pPr>
      <w:r w:rsidRPr="00646813">
        <w:rPr>
          <w:rFonts w:eastAsia="Times New Roman"/>
          <w:bCs/>
          <w:color w:val="000000"/>
        </w:rPr>
        <w:t xml:space="preserve">Konverentsi fookuses on praktilised töötoad ja arutelud, mille käigus analüüsitakse noorte osaluse, kohalike omavalitsuste ja vabakonna partnerluse edendamise lahendusi. Saadud teadmised ja metoodilised sisendid kasutatakse järgmise arenguprogrammi tsükli sisu täiendamisel ning </w:t>
      </w:r>
      <w:proofErr w:type="spellStart"/>
      <w:r w:rsidRPr="00646813">
        <w:rPr>
          <w:rFonts w:eastAsia="Times New Roman"/>
          <w:bCs/>
          <w:color w:val="000000"/>
        </w:rPr>
        <w:t>TAT-i</w:t>
      </w:r>
      <w:proofErr w:type="spellEnd"/>
      <w:r w:rsidRPr="00646813">
        <w:rPr>
          <w:rFonts w:eastAsia="Times New Roman"/>
          <w:bCs/>
          <w:color w:val="000000"/>
        </w:rPr>
        <w:t xml:space="preserve"> tegevuste 2.1 ja 2.2 rakendamise toetamisel. Konverents aitab tugevdada </w:t>
      </w:r>
      <w:r w:rsidR="00650136" w:rsidRPr="00646813">
        <w:rPr>
          <w:rFonts w:eastAsia="Times New Roman"/>
          <w:bCs/>
          <w:color w:val="000000"/>
        </w:rPr>
        <w:t>erinevate osapoolte</w:t>
      </w:r>
      <w:r w:rsidRPr="00646813">
        <w:rPr>
          <w:rFonts w:eastAsia="Times New Roman"/>
          <w:bCs/>
          <w:color w:val="000000"/>
        </w:rPr>
        <w:t xml:space="preserve"> koostööd, toetab horisontaalsete põhimõtete (võrdsete võimaluste, ligipääsetavuse ja regionaalse tasakaalu) rakendamist ning loob kestvat koostöövõrgustikku vabakonna, avaliku sektori ja noorteorganisatsioonide vahel.</w:t>
      </w:r>
      <w:r w:rsidR="00650136" w:rsidRPr="00646813">
        <w:rPr>
          <w:rFonts w:eastAsia="Times New Roman"/>
          <w:bCs/>
          <w:color w:val="000000"/>
        </w:rPr>
        <w:t xml:space="preserve"> </w:t>
      </w:r>
      <w:r w:rsidR="00B07B2D" w:rsidRPr="00646813">
        <w:rPr>
          <w:rFonts w:eastAsia="Times New Roman"/>
          <w:bCs/>
          <w:color w:val="000000"/>
        </w:rPr>
        <w:br/>
      </w:r>
      <w:r w:rsidR="00B07B2D" w:rsidRPr="00646813">
        <w:rPr>
          <w:rFonts w:eastAsia="Times New Roman"/>
          <w:bCs/>
          <w:color w:val="000000"/>
        </w:rPr>
        <w:br/>
        <w:t xml:space="preserve">2026. aastal </w:t>
      </w:r>
      <w:r w:rsidR="003134D3" w:rsidRPr="00646813">
        <w:rPr>
          <w:rFonts w:eastAsia="Times New Roman"/>
          <w:bCs/>
          <w:color w:val="000000"/>
        </w:rPr>
        <w:t>k</w:t>
      </w:r>
      <w:r w:rsidR="00B07B2D" w:rsidRPr="00646813">
        <w:rPr>
          <w:rFonts w:eastAsia="Times New Roman"/>
          <w:bCs/>
          <w:color w:val="000000"/>
        </w:rPr>
        <w:t>orralda</w:t>
      </w:r>
      <w:r w:rsidR="003134D3" w:rsidRPr="00646813">
        <w:rPr>
          <w:rFonts w:eastAsia="Times New Roman"/>
          <w:bCs/>
          <w:color w:val="000000"/>
        </w:rPr>
        <w:t>takse</w:t>
      </w:r>
      <w:r w:rsidR="00B07B2D" w:rsidRPr="00646813">
        <w:rPr>
          <w:rFonts w:eastAsia="Times New Roman"/>
          <w:bCs/>
          <w:color w:val="000000"/>
        </w:rPr>
        <w:t xml:space="preserve"> maakondlike arenduskeskuste (MAK) vabaühenduste konsultantide kogemusreisid Eestis, mille eesmärk on suurendada nõustajate oskust märgata ja rakendada erinevates piirkondades toimivaid kaasamissüsteeme ja algatusi. Kogemusreisid viiakse läbi paikvaatlusena, kus osalejad tutvuvad kahepäevaste külastuste käigus kahe maakonna heade praktikate, koostöövormide ja kohalike võrgustikega. 2026. aastal toimub kaks kogemusreisi – esimene kevadel ja teine sügisel – ning nende käigus keskendutakse maakondade vahelise õppimisele, </w:t>
      </w:r>
      <w:proofErr w:type="spellStart"/>
      <w:r w:rsidR="00B07B2D" w:rsidRPr="00646813">
        <w:rPr>
          <w:rFonts w:eastAsia="Times New Roman"/>
          <w:bCs/>
          <w:color w:val="000000"/>
        </w:rPr>
        <w:t>võrgustumisele</w:t>
      </w:r>
      <w:proofErr w:type="spellEnd"/>
      <w:r w:rsidR="00B07B2D" w:rsidRPr="00646813">
        <w:rPr>
          <w:rFonts w:eastAsia="Times New Roman"/>
          <w:bCs/>
          <w:color w:val="000000"/>
        </w:rPr>
        <w:t xml:space="preserve"> ja parimate näidete kogumisele, mida saab kasutada nii arenguprogrammi sisu arendamisel kui ka </w:t>
      </w:r>
      <w:proofErr w:type="spellStart"/>
      <w:r w:rsidR="00B07B2D" w:rsidRPr="00646813">
        <w:rPr>
          <w:rFonts w:eastAsia="Times New Roman"/>
          <w:bCs/>
          <w:color w:val="000000"/>
        </w:rPr>
        <w:t>TAT-i</w:t>
      </w:r>
      <w:proofErr w:type="spellEnd"/>
      <w:r w:rsidR="00B07B2D" w:rsidRPr="00646813">
        <w:rPr>
          <w:rFonts w:eastAsia="Times New Roman"/>
          <w:bCs/>
          <w:color w:val="000000"/>
        </w:rPr>
        <w:t xml:space="preserve"> tegevuste 2.1 ja 2.2 elluviimise toetamisel.</w:t>
      </w:r>
    </w:p>
    <w:p w14:paraId="3C1F5BCF" w14:textId="77777777" w:rsidR="00B07B2D" w:rsidRPr="00646813" w:rsidRDefault="00B07B2D" w:rsidP="00B07B2D">
      <w:pPr>
        <w:spacing w:line="240" w:lineRule="auto"/>
        <w:rPr>
          <w:rFonts w:eastAsia="Times New Roman"/>
          <w:bCs/>
          <w:color w:val="000000"/>
        </w:rPr>
      </w:pPr>
      <w:r w:rsidRPr="00646813">
        <w:rPr>
          <w:rFonts w:eastAsia="Times New Roman"/>
          <w:bCs/>
          <w:color w:val="000000"/>
        </w:rPr>
        <w:t>Kogemusreisid aitavad tugevdada maakondlike konsultantide ja kohalike omavalitsuste vahelist koostööd, toetavad regionaalset tasakaalustatud arengut ning panustavad horisontaalsete põhimõtete rakendamisse, tuues esile kohaliku tasandi kogukonnapõhiseid lahendusi, mis edendavad noorte ja vabakonna kaasamist kodanikuühiskonna arendamisse.</w:t>
      </w:r>
    </w:p>
    <w:p w14:paraId="0B0305FC" w14:textId="1A11F78F" w:rsidR="001F34E7" w:rsidRPr="00646813" w:rsidRDefault="001F34E7" w:rsidP="00650136">
      <w:pPr>
        <w:spacing w:line="240" w:lineRule="auto"/>
        <w:rPr>
          <w:rFonts w:eastAsia="Times New Roman"/>
          <w:bCs/>
          <w:color w:val="000000"/>
        </w:rPr>
      </w:pPr>
    </w:p>
    <w:p w14:paraId="3C1F306C" w14:textId="0E094255" w:rsidR="00821328" w:rsidRPr="00646813" w:rsidRDefault="00821328" w:rsidP="00D22398">
      <w:pPr>
        <w:spacing w:line="240" w:lineRule="auto"/>
        <w:rPr>
          <w:rFonts w:eastAsia="Times New Roman"/>
          <w:b/>
          <w:color w:val="000000"/>
        </w:rPr>
      </w:pPr>
    </w:p>
    <w:p w14:paraId="7F41C79E" w14:textId="67803286" w:rsidR="00D22398" w:rsidRPr="00646813" w:rsidRDefault="009E3D46" w:rsidP="00D22398">
      <w:pPr>
        <w:spacing w:line="240" w:lineRule="auto"/>
        <w:rPr>
          <w:rFonts w:asciiTheme="majorBidi" w:hAnsiTheme="majorBidi" w:cstheme="majorBidi"/>
          <w:b/>
          <w:bCs/>
        </w:rPr>
      </w:pPr>
      <w:r w:rsidRPr="00646813">
        <w:rPr>
          <w:rFonts w:eastAsia="Times New Roman"/>
          <w:b/>
          <w:color w:val="000000"/>
        </w:rPr>
        <w:br/>
      </w:r>
    </w:p>
    <w:p w14:paraId="1993F5AE" w14:textId="7F5CD89A" w:rsidR="00D22398" w:rsidRPr="00646813" w:rsidRDefault="00EE569E" w:rsidP="00096D57">
      <w:pPr>
        <w:pStyle w:val="ListParagraph"/>
        <w:spacing w:line="240" w:lineRule="auto"/>
        <w:ind w:left="540"/>
        <w:rPr>
          <w:rFonts w:asciiTheme="majorBidi" w:hAnsiTheme="majorBidi" w:cstheme="majorBidi"/>
          <w:b/>
          <w:bCs/>
        </w:rPr>
      </w:pPr>
      <w:r w:rsidRPr="00646813">
        <w:rPr>
          <w:rFonts w:asciiTheme="majorBidi" w:hAnsiTheme="majorBidi" w:cstheme="majorBidi"/>
          <w:b/>
          <w:bCs/>
        </w:rPr>
        <w:t xml:space="preserve">1.1.2. </w:t>
      </w:r>
      <w:r w:rsidR="00D22398" w:rsidRPr="00646813">
        <w:rPr>
          <w:rFonts w:asciiTheme="majorBidi" w:hAnsiTheme="majorBidi" w:cstheme="majorBidi"/>
          <w:b/>
          <w:bCs/>
        </w:rPr>
        <w:t>Arenguprogrammi läbiviimine</w:t>
      </w:r>
    </w:p>
    <w:p w14:paraId="436D4ED1" w14:textId="77777777" w:rsidR="00612814" w:rsidRPr="00646813" w:rsidRDefault="00612814" w:rsidP="00612814">
      <w:pPr>
        <w:spacing w:line="240" w:lineRule="auto"/>
        <w:rPr>
          <w:rFonts w:asciiTheme="majorBidi" w:hAnsiTheme="majorBidi" w:cstheme="majorBidi"/>
        </w:rPr>
      </w:pPr>
    </w:p>
    <w:p w14:paraId="6A775A98" w14:textId="3506C6B6" w:rsidR="00DD0B15" w:rsidRPr="00646813" w:rsidRDefault="00D71A1F" w:rsidP="00073924">
      <w:pPr>
        <w:spacing w:line="240" w:lineRule="auto"/>
      </w:pPr>
      <w:r w:rsidRPr="00646813">
        <w:br/>
      </w:r>
      <w:r w:rsidR="008B6F1D" w:rsidRPr="00646813">
        <w:t>D</w:t>
      </w:r>
      <w:r w:rsidR="00DD0B15" w:rsidRPr="00646813">
        <w:t>etsemb</w:t>
      </w:r>
      <w:r w:rsidR="008B6F1D" w:rsidRPr="00646813">
        <w:t>er 2025</w:t>
      </w:r>
      <w:r w:rsidR="00DD0B15" w:rsidRPr="00646813">
        <w:t xml:space="preserve"> avab elluviija riigihanke, mille tulemusel leitakse teenusepakkuja</w:t>
      </w:r>
      <w:r w:rsidR="00612814" w:rsidRPr="00646813">
        <w:t xml:space="preserve"> j</w:t>
      </w:r>
      <w:r w:rsidR="00DD0B15" w:rsidRPr="00646813">
        <w:t>ärgmise</w:t>
      </w:r>
      <w:r w:rsidR="000671F9" w:rsidRPr="00646813">
        <w:t>l</w:t>
      </w:r>
      <w:r w:rsidR="00DD0B15" w:rsidRPr="00646813">
        <w:t xml:space="preserve"> </w:t>
      </w:r>
      <w:r w:rsidR="000671F9" w:rsidRPr="00646813">
        <w:t xml:space="preserve">kahel korral </w:t>
      </w:r>
      <w:r w:rsidR="00DD0B15" w:rsidRPr="00646813">
        <w:t xml:space="preserve">arenguprogrammi läbiviimiseks. Teenusepakkuja viib tegevuse ellu 2026. aasta veebruarist maini ning korraldab jätkukohtumise hiljemalt 2026. aasta septembriks. Arenguprogrammi pakutakse 20 sihtrühma esindajale, kelleks on peamiselt kohalike omavalitsuste töötajad ning teised vabaühenduste ja kogukondadega igapäevaselt kokku puutuvad spetsialistid. Programmi sisu ja ajakava täpsustatakse koostöös osalejatega, </w:t>
      </w:r>
      <w:r w:rsidR="00382D97" w:rsidRPr="00646813">
        <w:t>et leida arenguprogrammi täpsed läbiviimise ajad</w:t>
      </w:r>
      <w:r w:rsidR="00DD0B15" w:rsidRPr="00646813">
        <w:t>.</w:t>
      </w:r>
      <w:r w:rsidR="00382D97" w:rsidRPr="00646813">
        <w:t xml:space="preserve"> </w:t>
      </w:r>
      <w:r w:rsidR="002F615A" w:rsidRPr="00646813">
        <w:br/>
      </w:r>
    </w:p>
    <w:p w14:paraId="7FDB560D" w14:textId="77777777" w:rsidR="00DD0B15" w:rsidRPr="00646813" w:rsidRDefault="00DD0B15" w:rsidP="00DD0B15">
      <w:pPr>
        <w:spacing w:line="240" w:lineRule="auto"/>
      </w:pPr>
      <w:r w:rsidRPr="00646813">
        <w:t xml:space="preserve">Pärast programmi esmast läbiviimist analüüsib teenusepakkuja koostöös AP töögrupi ja hindamismetoodika alusel programmi tulemuslikkust, sh osalejate tagasisidet, õpiväljundeid ning arenguvajadusi. Analüüsi põhjal tehakse ettepanekud programmi sisuliste ja metoodiliste muudatuste sisseviimiseks, et tagada tegevuse vastavus </w:t>
      </w:r>
      <w:proofErr w:type="spellStart"/>
      <w:r w:rsidRPr="00646813">
        <w:t>TAT-i</w:t>
      </w:r>
      <w:proofErr w:type="spellEnd"/>
      <w:r w:rsidRPr="00646813">
        <w:t xml:space="preserve"> peatüki 2.1 eesmärgile – toetada noorte süsteemset kaasamist kogukonnapõhisesse kodanikuühiskonda ning tugevdada kohaliku tasandi osapoolte koostööd. Täiendatud programm viiakse uuesti läbi 2027. aastal järgmistele sihtrühma esindajatele, tagades teadmiste järjepidevuse ja metoodika arengu vastavalt hindamistulemustele.</w:t>
      </w:r>
    </w:p>
    <w:p w14:paraId="2C588F6A" w14:textId="77777777" w:rsidR="00D65CBF" w:rsidRPr="00646813" w:rsidRDefault="00D65CBF">
      <w:pPr>
        <w:spacing w:line="240" w:lineRule="auto"/>
      </w:pPr>
    </w:p>
    <w:p w14:paraId="5C829DAA" w14:textId="62B72DBD" w:rsidR="00CB32BE" w:rsidRPr="00646813" w:rsidRDefault="00CB32BE">
      <w:pPr>
        <w:suppressAutoHyphens w:val="0"/>
        <w:spacing w:line="238" w:lineRule="auto"/>
      </w:pPr>
      <w:r w:rsidRPr="00646813">
        <w:br w:type="page"/>
      </w:r>
    </w:p>
    <w:p w14:paraId="51F928DA" w14:textId="77777777" w:rsidR="00B83FFB" w:rsidRPr="00646813" w:rsidRDefault="00B83FFB" w:rsidP="3C7F867A">
      <w:pPr>
        <w:spacing w:line="240" w:lineRule="auto"/>
        <w:rPr>
          <w:b/>
          <w:bCs/>
        </w:rPr>
      </w:pPr>
    </w:p>
    <w:p w14:paraId="5B62508E" w14:textId="7A0408E5" w:rsidR="00D65CBF" w:rsidRPr="00646813" w:rsidRDefault="76D786FD" w:rsidP="00096D57">
      <w:pPr>
        <w:pStyle w:val="ListParagraph"/>
        <w:numPr>
          <w:ilvl w:val="2"/>
          <w:numId w:val="15"/>
        </w:numPr>
        <w:pBdr>
          <w:top w:val="nil"/>
          <w:left w:val="nil"/>
          <w:bottom w:val="nil"/>
          <w:right w:val="nil"/>
          <w:between w:val="nil"/>
        </w:pBdr>
        <w:spacing w:line="240" w:lineRule="auto"/>
        <w:ind w:left="1418"/>
        <w:rPr>
          <w:rFonts w:eastAsia="Times New Roman"/>
          <w:b/>
          <w:bCs/>
          <w:color w:val="000000"/>
        </w:rPr>
      </w:pPr>
      <w:r w:rsidRPr="00646813">
        <w:rPr>
          <w:rFonts w:eastAsia="Times New Roman"/>
          <w:b/>
          <w:bCs/>
          <w:color w:val="000000" w:themeColor="text1"/>
        </w:rPr>
        <w:t>Arenguprogrammi hindamine</w:t>
      </w:r>
    </w:p>
    <w:p w14:paraId="65B9407C" w14:textId="77777777" w:rsidR="00D65CBF" w:rsidRPr="00646813" w:rsidRDefault="00D65CBF">
      <w:pPr>
        <w:spacing w:line="240" w:lineRule="auto"/>
        <w:rPr>
          <w:b/>
        </w:rPr>
      </w:pPr>
    </w:p>
    <w:p w14:paraId="0EEBBA47" w14:textId="2BB954CE" w:rsidR="00D65CBF" w:rsidRPr="00646813" w:rsidRDefault="00250275">
      <w:pPr>
        <w:spacing w:line="240" w:lineRule="auto"/>
      </w:pPr>
      <w:r w:rsidRPr="00646813">
        <w:t xml:space="preserve">Arenguprogrammi </w:t>
      </w:r>
      <w:r w:rsidR="009322E6" w:rsidRPr="00646813">
        <w:t xml:space="preserve">vahehindamist vastavalt AP töögrupi koostatud metoodikale hindab arenguprogrammi läbiviija. </w:t>
      </w:r>
      <w:r w:rsidRPr="00646813">
        <w:t>Hindamismetoodikat kasutatakse arenguprogrammi eesmärgipärasuse ja tulemuslikkuse hindamise</w:t>
      </w:r>
      <w:r w:rsidR="003D3330" w:rsidRPr="00646813">
        <w:t>ks</w:t>
      </w:r>
      <w:r w:rsidRPr="00646813">
        <w:t xml:space="preserve">. Lisaks </w:t>
      </w:r>
      <w:r w:rsidR="00B0680C" w:rsidRPr="00646813">
        <w:t xml:space="preserve">teenusepakkujale </w:t>
      </w:r>
      <w:r w:rsidR="00724F70" w:rsidRPr="00646813">
        <w:t xml:space="preserve">hindab arenguprogrammi teistkordset läbiviimist ka </w:t>
      </w:r>
      <w:r w:rsidR="00D261D2" w:rsidRPr="00646813">
        <w:t xml:space="preserve">AP </w:t>
      </w:r>
      <w:r w:rsidRPr="00646813">
        <w:t>töögrup</w:t>
      </w:r>
      <w:r w:rsidR="00724F70" w:rsidRPr="00646813">
        <w:t>p</w:t>
      </w:r>
      <w:r w:rsidR="003E64F8" w:rsidRPr="00646813">
        <w:t xml:space="preserve"> ja arenguprogrammis osalejad. </w:t>
      </w:r>
      <w:r w:rsidRPr="00646813">
        <w:t xml:space="preserve">Eelkirjeldatud kolme osapoole hindamisest tehakse </w:t>
      </w:r>
      <w:r w:rsidR="005C3B33" w:rsidRPr="00646813">
        <w:t xml:space="preserve">AP </w:t>
      </w:r>
      <w:r w:rsidRPr="00646813">
        <w:t>töögrupi kaardistuseksperdi poolt kokkuvõte. Kokkuvõte valmib 202</w:t>
      </w:r>
      <w:r w:rsidR="003E64F8" w:rsidRPr="00646813">
        <w:t>6</w:t>
      </w:r>
      <w:r w:rsidRPr="00646813">
        <w:t>. aasta I</w:t>
      </w:r>
      <w:r w:rsidR="003D3330" w:rsidRPr="00646813">
        <w:t>V</w:t>
      </w:r>
      <w:r w:rsidRPr="00646813">
        <w:t xml:space="preserve"> kvartali lõpuks.</w:t>
      </w:r>
    </w:p>
    <w:p w14:paraId="0455F87C" w14:textId="77777777" w:rsidR="00D65CBF" w:rsidRPr="00646813" w:rsidRDefault="00D65CBF">
      <w:pPr>
        <w:spacing w:line="240" w:lineRule="auto"/>
      </w:pPr>
    </w:p>
    <w:p w14:paraId="712A537B" w14:textId="77777777" w:rsidR="00D65CBF" w:rsidRPr="00646813" w:rsidRDefault="00250275">
      <w:pPr>
        <w:spacing w:line="240" w:lineRule="auto"/>
        <w:rPr>
          <w:b/>
        </w:rPr>
      </w:pPr>
      <w:r w:rsidRPr="00646813">
        <w:rPr>
          <w:b/>
        </w:rPr>
        <w:t>Tabel 1. Tegevustega seotud näitajad</w:t>
      </w:r>
    </w:p>
    <w:p w14:paraId="7FD19CDA" w14:textId="77777777" w:rsidR="00D65CBF" w:rsidRPr="00646813" w:rsidRDefault="00D65CBF">
      <w:pPr>
        <w:spacing w:line="240" w:lineRule="auto"/>
        <w:rPr>
          <w:b/>
        </w:rPr>
      </w:pPr>
    </w:p>
    <w:tbl>
      <w:tblPr>
        <w:tblStyle w:val="a0"/>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559"/>
        <w:gridCol w:w="1559"/>
        <w:gridCol w:w="2693"/>
      </w:tblGrid>
      <w:tr w:rsidR="00D65CBF" w:rsidRPr="00646813" w14:paraId="185D1BD2" w14:textId="77777777" w:rsidTr="005C3B33">
        <w:trPr>
          <w:trHeight w:val="670"/>
        </w:trPr>
        <w:tc>
          <w:tcPr>
            <w:tcW w:w="1305" w:type="dxa"/>
          </w:tcPr>
          <w:p w14:paraId="277B4B1C" w14:textId="77777777" w:rsidR="00D65CBF" w:rsidRPr="00646813" w:rsidRDefault="00250275">
            <w:pPr>
              <w:spacing w:line="240" w:lineRule="auto"/>
              <w:rPr>
                <w:b/>
              </w:rPr>
            </w:pPr>
            <w:bookmarkStart w:id="0" w:name="_heading=h.gjdgxs" w:colFirst="0" w:colLast="0"/>
            <w:bookmarkEnd w:id="0"/>
            <w:r w:rsidRPr="00646813">
              <w:rPr>
                <w:b/>
              </w:rPr>
              <w:t>Toetatava tegevuse näitaja nimetus</w:t>
            </w:r>
            <w:r w:rsidRPr="00646813">
              <w:rPr>
                <w:b/>
                <w:vertAlign w:val="superscript"/>
              </w:rPr>
              <w:footnoteReference w:id="2"/>
            </w:r>
          </w:p>
        </w:tc>
        <w:tc>
          <w:tcPr>
            <w:tcW w:w="992" w:type="dxa"/>
          </w:tcPr>
          <w:p w14:paraId="3FFD4B03" w14:textId="59C7C4F5" w:rsidR="00D65CBF" w:rsidRPr="00646813" w:rsidRDefault="76D786FD" w:rsidP="68482FDB">
            <w:pPr>
              <w:spacing w:line="240" w:lineRule="auto"/>
              <w:rPr>
                <w:b/>
                <w:bCs/>
              </w:rPr>
            </w:pPr>
            <w:r w:rsidRPr="00646813">
              <w:rPr>
                <w:b/>
                <w:bCs/>
              </w:rPr>
              <w:t>Siht-tase (202</w:t>
            </w:r>
            <w:r w:rsidR="00C46010" w:rsidRPr="00646813">
              <w:rPr>
                <w:b/>
                <w:bCs/>
              </w:rPr>
              <w:t>3</w:t>
            </w:r>
            <w:r w:rsidRPr="00646813">
              <w:rPr>
                <w:b/>
                <w:bCs/>
              </w:rPr>
              <w:t>)</w:t>
            </w:r>
          </w:p>
        </w:tc>
        <w:tc>
          <w:tcPr>
            <w:tcW w:w="993" w:type="dxa"/>
          </w:tcPr>
          <w:p w14:paraId="733383C2" w14:textId="77777777" w:rsidR="00D65CBF" w:rsidRPr="00646813" w:rsidRDefault="00250275">
            <w:pPr>
              <w:spacing w:line="240" w:lineRule="auto"/>
              <w:rPr>
                <w:b/>
              </w:rPr>
            </w:pPr>
            <w:r w:rsidRPr="00646813">
              <w:rPr>
                <w:b/>
              </w:rPr>
              <w:t>Siht-tase</w:t>
            </w:r>
          </w:p>
          <w:p w14:paraId="1A52A93B" w14:textId="77777777" w:rsidR="00D65CBF" w:rsidRPr="00646813" w:rsidRDefault="00250275">
            <w:pPr>
              <w:spacing w:line="240" w:lineRule="auto"/>
              <w:rPr>
                <w:b/>
              </w:rPr>
            </w:pPr>
            <w:r w:rsidRPr="00646813">
              <w:rPr>
                <w:b/>
              </w:rPr>
              <w:t>(2029)</w:t>
            </w:r>
          </w:p>
        </w:tc>
        <w:tc>
          <w:tcPr>
            <w:tcW w:w="1559" w:type="dxa"/>
          </w:tcPr>
          <w:p w14:paraId="70330ABB" w14:textId="77777777" w:rsidR="00D65CBF" w:rsidRPr="00646813" w:rsidRDefault="00250275">
            <w:pPr>
              <w:spacing w:line="240" w:lineRule="auto"/>
              <w:rPr>
                <w:b/>
              </w:rPr>
            </w:pPr>
            <w:r w:rsidRPr="00646813">
              <w:rPr>
                <w:b/>
              </w:rPr>
              <w:t>Alategevuse väljundid</w:t>
            </w:r>
            <w:r w:rsidRPr="00646813">
              <w:rPr>
                <w:b/>
                <w:vertAlign w:val="superscript"/>
              </w:rPr>
              <w:footnoteReference w:id="3"/>
            </w:r>
            <w:r w:rsidRPr="00646813">
              <w:rPr>
                <w:b/>
              </w:rPr>
              <w:t xml:space="preserve"> tegevuskava perioodil</w:t>
            </w:r>
          </w:p>
        </w:tc>
        <w:tc>
          <w:tcPr>
            <w:tcW w:w="1559" w:type="dxa"/>
          </w:tcPr>
          <w:p w14:paraId="712FA104" w14:textId="77777777" w:rsidR="00D65CBF" w:rsidRPr="00646813" w:rsidRDefault="00250275">
            <w:pPr>
              <w:spacing w:line="240" w:lineRule="auto"/>
              <w:rPr>
                <w:b/>
              </w:rPr>
            </w:pPr>
            <w:r w:rsidRPr="00646813">
              <w:rPr>
                <w:b/>
              </w:rPr>
              <w:t>Alategevuste väljundite arv tegevuskava perioodil</w:t>
            </w:r>
          </w:p>
        </w:tc>
        <w:tc>
          <w:tcPr>
            <w:tcW w:w="2693" w:type="dxa"/>
          </w:tcPr>
          <w:p w14:paraId="4B4104AC" w14:textId="77777777" w:rsidR="00D65CBF" w:rsidRPr="00646813" w:rsidRDefault="00250275">
            <w:pPr>
              <w:spacing w:line="240" w:lineRule="auto"/>
              <w:rPr>
                <w:b/>
              </w:rPr>
            </w:pPr>
            <w:r w:rsidRPr="00646813">
              <w:rPr>
                <w:b/>
              </w:rPr>
              <w:t xml:space="preserve">Selgitus </w:t>
            </w:r>
          </w:p>
        </w:tc>
      </w:tr>
      <w:tr w:rsidR="00D65CBF" w:rsidRPr="00646813" w14:paraId="6F31686C" w14:textId="77777777" w:rsidTr="005C3B33">
        <w:trPr>
          <w:trHeight w:val="363"/>
        </w:trPr>
        <w:tc>
          <w:tcPr>
            <w:tcW w:w="1305" w:type="dxa"/>
            <w:vMerge w:val="restart"/>
          </w:tcPr>
          <w:p w14:paraId="4700F8E4" w14:textId="77777777" w:rsidR="00D65CBF" w:rsidRPr="00646813" w:rsidRDefault="00D65CBF">
            <w:pPr>
              <w:spacing w:line="240" w:lineRule="auto"/>
              <w:jc w:val="center"/>
            </w:pPr>
          </w:p>
          <w:p w14:paraId="0B59261D" w14:textId="77777777" w:rsidR="00D65CBF" w:rsidRPr="00646813" w:rsidRDefault="00250275">
            <w:pPr>
              <w:spacing w:line="240" w:lineRule="auto"/>
            </w:pPr>
            <w:r w:rsidRPr="00646813">
              <w:t>Koolitustel osalejate arv</w:t>
            </w:r>
          </w:p>
        </w:tc>
        <w:tc>
          <w:tcPr>
            <w:tcW w:w="992" w:type="dxa"/>
            <w:vMerge w:val="restart"/>
          </w:tcPr>
          <w:p w14:paraId="7617CD7F" w14:textId="35C79BF7" w:rsidR="00D65CBF" w:rsidRPr="00646813" w:rsidRDefault="0014120A">
            <w:pPr>
              <w:spacing w:line="240" w:lineRule="auto"/>
              <w:jc w:val="center"/>
            </w:pPr>
            <w:r w:rsidRPr="00646813">
              <w:t>0</w:t>
            </w:r>
          </w:p>
        </w:tc>
        <w:tc>
          <w:tcPr>
            <w:tcW w:w="993" w:type="dxa"/>
            <w:vMerge w:val="restart"/>
          </w:tcPr>
          <w:p w14:paraId="0A336C5D" w14:textId="77777777" w:rsidR="00D65CBF" w:rsidRPr="00646813" w:rsidRDefault="00250275">
            <w:pPr>
              <w:spacing w:line="240" w:lineRule="auto"/>
              <w:jc w:val="center"/>
            </w:pPr>
            <w:r w:rsidRPr="00646813">
              <w:t>60</w:t>
            </w:r>
          </w:p>
        </w:tc>
        <w:tc>
          <w:tcPr>
            <w:tcW w:w="1559" w:type="dxa"/>
          </w:tcPr>
          <w:p w14:paraId="71D0DC90" w14:textId="77777777" w:rsidR="00D65CBF" w:rsidRPr="00646813" w:rsidRDefault="00250275">
            <w:pPr>
              <w:spacing w:line="240" w:lineRule="auto"/>
            </w:pPr>
            <w:r w:rsidRPr="00646813">
              <w:t>Koolitustel osalejate arv</w:t>
            </w:r>
          </w:p>
        </w:tc>
        <w:tc>
          <w:tcPr>
            <w:tcW w:w="1559" w:type="dxa"/>
          </w:tcPr>
          <w:p w14:paraId="74AA63AA" w14:textId="77777777" w:rsidR="00D65CBF" w:rsidRPr="00646813" w:rsidRDefault="76D786FD">
            <w:pPr>
              <w:spacing w:line="240" w:lineRule="auto"/>
            </w:pPr>
            <w:r w:rsidRPr="00646813">
              <w:t>20</w:t>
            </w:r>
          </w:p>
        </w:tc>
        <w:tc>
          <w:tcPr>
            <w:tcW w:w="2693" w:type="dxa"/>
          </w:tcPr>
          <w:p w14:paraId="47BE6B91" w14:textId="06E0FC3E" w:rsidR="00D65CBF" w:rsidRPr="00646813" w:rsidRDefault="007A68DF">
            <w:pPr>
              <w:spacing w:line="240" w:lineRule="auto"/>
              <w:jc w:val="left"/>
            </w:pPr>
            <w:r w:rsidRPr="00646813">
              <w:t>Vaba</w:t>
            </w:r>
            <w:r w:rsidR="006E6908" w:rsidRPr="00646813">
              <w:t>ü</w:t>
            </w:r>
            <w:r w:rsidRPr="00646813">
              <w:t xml:space="preserve">henduste </w:t>
            </w:r>
            <w:r w:rsidR="006E6908" w:rsidRPr="00646813">
              <w:t xml:space="preserve">nõustamisega kokkupuutuvate töötajate </w:t>
            </w:r>
            <w:r w:rsidR="76D786FD" w:rsidRPr="00646813">
              <w:t>osaluskordade arv arenguprogrammis.</w:t>
            </w:r>
          </w:p>
        </w:tc>
      </w:tr>
      <w:tr w:rsidR="00D65CBF" w:rsidRPr="00646813" w14:paraId="4D60F06D" w14:textId="77777777" w:rsidTr="005C3B33">
        <w:trPr>
          <w:trHeight w:val="294"/>
        </w:trPr>
        <w:tc>
          <w:tcPr>
            <w:tcW w:w="1305" w:type="dxa"/>
            <w:vMerge/>
          </w:tcPr>
          <w:p w14:paraId="557FF3C4" w14:textId="77777777" w:rsidR="00D65CBF" w:rsidRPr="00646813" w:rsidRDefault="00D65CBF">
            <w:pPr>
              <w:pBdr>
                <w:top w:val="nil"/>
                <w:left w:val="nil"/>
                <w:bottom w:val="nil"/>
                <w:right w:val="nil"/>
                <w:between w:val="nil"/>
              </w:pBdr>
              <w:spacing w:line="276" w:lineRule="auto"/>
              <w:jc w:val="left"/>
            </w:pPr>
          </w:p>
        </w:tc>
        <w:tc>
          <w:tcPr>
            <w:tcW w:w="992" w:type="dxa"/>
            <w:vMerge/>
          </w:tcPr>
          <w:p w14:paraId="28B77BD9" w14:textId="77777777" w:rsidR="00D65CBF" w:rsidRPr="00646813" w:rsidRDefault="00D65CBF">
            <w:pPr>
              <w:pBdr>
                <w:top w:val="nil"/>
                <w:left w:val="nil"/>
                <w:bottom w:val="nil"/>
                <w:right w:val="nil"/>
                <w:between w:val="nil"/>
              </w:pBdr>
              <w:spacing w:line="276" w:lineRule="auto"/>
              <w:jc w:val="left"/>
            </w:pPr>
          </w:p>
        </w:tc>
        <w:tc>
          <w:tcPr>
            <w:tcW w:w="993" w:type="dxa"/>
            <w:vMerge/>
          </w:tcPr>
          <w:p w14:paraId="2216FEEA" w14:textId="77777777" w:rsidR="00D65CBF" w:rsidRPr="00646813" w:rsidRDefault="00D65CBF">
            <w:pPr>
              <w:pBdr>
                <w:top w:val="nil"/>
                <w:left w:val="nil"/>
                <w:bottom w:val="nil"/>
                <w:right w:val="nil"/>
                <w:between w:val="nil"/>
              </w:pBdr>
              <w:spacing w:line="276" w:lineRule="auto"/>
              <w:jc w:val="left"/>
            </w:pPr>
          </w:p>
        </w:tc>
        <w:tc>
          <w:tcPr>
            <w:tcW w:w="1559" w:type="dxa"/>
          </w:tcPr>
          <w:p w14:paraId="673E0AA2" w14:textId="77777777" w:rsidR="00D65CBF" w:rsidRPr="00646813" w:rsidRDefault="00250275">
            <w:pPr>
              <w:spacing w:line="240" w:lineRule="auto"/>
            </w:pPr>
            <w:r w:rsidRPr="00646813">
              <w:t>Õppereis</w:t>
            </w:r>
          </w:p>
        </w:tc>
        <w:tc>
          <w:tcPr>
            <w:tcW w:w="1559" w:type="dxa"/>
          </w:tcPr>
          <w:p w14:paraId="522AC876" w14:textId="77777777" w:rsidR="00D65CBF" w:rsidRPr="00646813" w:rsidRDefault="00250275">
            <w:pPr>
              <w:spacing w:line="240" w:lineRule="auto"/>
            </w:pPr>
            <w:r w:rsidRPr="00646813">
              <w:t>1</w:t>
            </w:r>
          </w:p>
        </w:tc>
        <w:tc>
          <w:tcPr>
            <w:tcW w:w="2693" w:type="dxa"/>
          </w:tcPr>
          <w:p w14:paraId="4E592804" w14:textId="0D8F782B" w:rsidR="00D65CBF" w:rsidRPr="00646813" w:rsidRDefault="007A68DF">
            <w:pPr>
              <w:spacing w:line="240" w:lineRule="auto"/>
            </w:pPr>
            <w:r w:rsidRPr="00646813">
              <w:t>Arenguprogrammis osalejate</w:t>
            </w:r>
            <w:r w:rsidR="006E6908" w:rsidRPr="00646813">
              <w:t>,</w:t>
            </w:r>
            <w:r w:rsidRPr="00646813">
              <w:t xml:space="preserve"> </w:t>
            </w:r>
            <w:r w:rsidR="006E6908" w:rsidRPr="00646813">
              <w:t>k</w:t>
            </w:r>
            <w:r w:rsidR="00250275" w:rsidRPr="00646813">
              <w:t>odanikuühiskonna konsultantide ja maakondliku kodanikuühiskonna nõustamisteenusega seotud isikute</w:t>
            </w:r>
            <w:r w:rsidR="00D46C0E" w:rsidRPr="00646813">
              <w:t xml:space="preserve"> ja projekti töögrupi liikmete ühine</w:t>
            </w:r>
            <w:r w:rsidR="00250275" w:rsidRPr="00646813">
              <w:t xml:space="preserve"> õppereis</w:t>
            </w:r>
            <w:r w:rsidR="00F3185D" w:rsidRPr="00646813">
              <w:t xml:space="preserve"> </w:t>
            </w:r>
            <w:r w:rsidRPr="00646813">
              <w:t>Soome</w:t>
            </w:r>
            <w:r w:rsidR="00967AC6" w:rsidRPr="00646813">
              <w:t>.</w:t>
            </w:r>
          </w:p>
        </w:tc>
      </w:tr>
      <w:tr w:rsidR="00862BD5" w:rsidRPr="00646813" w14:paraId="73768D9F" w14:textId="77777777" w:rsidTr="005C3B33">
        <w:trPr>
          <w:trHeight w:val="294"/>
        </w:trPr>
        <w:tc>
          <w:tcPr>
            <w:tcW w:w="1305" w:type="dxa"/>
            <w:vMerge/>
          </w:tcPr>
          <w:p w14:paraId="1CE0D8A8" w14:textId="77777777" w:rsidR="00862BD5" w:rsidRPr="00646813" w:rsidRDefault="00862BD5">
            <w:pPr>
              <w:pBdr>
                <w:top w:val="nil"/>
                <w:left w:val="nil"/>
                <w:bottom w:val="nil"/>
                <w:right w:val="nil"/>
                <w:between w:val="nil"/>
              </w:pBdr>
              <w:spacing w:line="276" w:lineRule="auto"/>
              <w:jc w:val="left"/>
            </w:pPr>
          </w:p>
        </w:tc>
        <w:tc>
          <w:tcPr>
            <w:tcW w:w="992" w:type="dxa"/>
            <w:vMerge/>
          </w:tcPr>
          <w:p w14:paraId="78E47799" w14:textId="77777777" w:rsidR="00862BD5" w:rsidRPr="00646813" w:rsidRDefault="00862BD5">
            <w:pPr>
              <w:pBdr>
                <w:top w:val="nil"/>
                <w:left w:val="nil"/>
                <w:bottom w:val="nil"/>
                <w:right w:val="nil"/>
                <w:between w:val="nil"/>
              </w:pBdr>
              <w:spacing w:line="276" w:lineRule="auto"/>
              <w:jc w:val="left"/>
            </w:pPr>
          </w:p>
        </w:tc>
        <w:tc>
          <w:tcPr>
            <w:tcW w:w="993" w:type="dxa"/>
            <w:vMerge/>
          </w:tcPr>
          <w:p w14:paraId="6FCD2F3A" w14:textId="77777777" w:rsidR="00862BD5" w:rsidRPr="00646813" w:rsidRDefault="00862BD5">
            <w:pPr>
              <w:pBdr>
                <w:top w:val="nil"/>
                <w:left w:val="nil"/>
                <w:bottom w:val="nil"/>
                <w:right w:val="nil"/>
                <w:between w:val="nil"/>
              </w:pBdr>
              <w:spacing w:line="276" w:lineRule="auto"/>
              <w:jc w:val="left"/>
            </w:pPr>
          </w:p>
        </w:tc>
        <w:tc>
          <w:tcPr>
            <w:tcW w:w="1559" w:type="dxa"/>
          </w:tcPr>
          <w:p w14:paraId="2D99ADA5" w14:textId="77979314" w:rsidR="00862BD5" w:rsidRPr="00646813" w:rsidRDefault="00F91A08">
            <w:pPr>
              <w:spacing w:line="240" w:lineRule="auto"/>
            </w:pPr>
            <w:r w:rsidRPr="00646813">
              <w:t>Eestisisene kogemusreis</w:t>
            </w:r>
          </w:p>
        </w:tc>
        <w:tc>
          <w:tcPr>
            <w:tcW w:w="1559" w:type="dxa"/>
          </w:tcPr>
          <w:p w14:paraId="7BA76A3B" w14:textId="4638AA9F" w:rsidR="00862BD5" w:rsidRPr="00646813" w:rsidRDefault="00F91A08">
            <w:pPr>
              <w:spacing w:line="240" w:lineRule="auto"/>
            </w:pPr>
            <w:r w:rsidRPr="00646813">
              <w:t>2</w:t>
            </w:r>
          </w:p>
        </w:tc>
        <w:tc>
          <w:tcPr>
            <w:tcW w:w="2693" w:type="dxa"/>
          </w:tcPr>
          <w:p w14:paraId="60A34AB9" w14:textId="7A4393F1" w:rsidR="00862BD5" w:rsidRPr="00646813" w:rsidRDefault="00402E6F">
            <w:pPr>
              <w:spacing w:line="240" w:lineRule="auto"/>
            </w:pPr>
            <w:r w:rsidRPr="00646813">
              <w:t>Eestisisesed kogemusreisid MAK vabaühenduste konsultantidele</w:t>
            </w:r>
            <w:r w:rsidR="00E81985" w:rsidRPr="00646813">
              <w:t xml:space="preserve">, et nad oma maakonna häid praktikaid </w:t>
            </w:r>
            <w:proofErr w:type="spellStart"/>
            <w:r w:rsidR="00E81985" w:rsidRPr="00646813">
              <w:t>tuvustaksid</w:t>
            </w:r>
            <w:proofErr w:type="spellEnd"/>
            <w:r w:rsidR="00E81985" w:rsidRPr="00646813">
              <w:t xml:space="preserve">. Mõõdame </w:t>
            </w:r>
            <w:r w:rsidR="00967AC6" w:rsidRPr="00646813">
              <w:t>kogemusreiside arvu.</w:t>
            </w:r>
          </w:p>
        </w:tc>
      </w:tr>
      <w:tr w:rsidR="00D65CBF" w:rsidRPr="00646813" w14:paraId="450FFDB5" w14:textId="77777777" w:rsidTr="005C3B33">
        <w:trPr>
          <w:trHeight w:val="294"/>
        </w:trPr>
        <w:tc>
          <w:tcPr>
            <w:tcW w:w="1305" w:type="dxa"/>
            <w:vMerge/>
          </w:tcPr>
          <w:p w14:paraId="1AF470AC" w14:textId="77777777" w:rsidR="00D65CBF" w:rsidRPr="00646813" w:rsidRDefault="00D65CBF">
            <w:pPr>
              <w:pBdr>
                <w:top w:val="nil"/>
                <w:left w:val="nil"/>
                <w:bottom w:val="nil"/>
                <w:right w:val="nil"/>
                <w:between w:val="nil"/>
              </w:pBdr>
              <w:spacing w:line="276" w:lineRule="auto"/>
              <w:jc w:val="left"/>
            </w:pPr>
          </w:p>
        </w:tc>
        <w:tc>
          <w:tcPr>
            <w:tcW w:w="992" w:type="dxa"/>
            <w:vMerge/>
          </w:tcPr>
          <w:p w14:paraId="2E933F9E" w14:textId="77777777" w:rsidR="00D65CBF" w:rsidRPr="00646813" w:rsidRDefault="00D65CBF">
            <w:pPr>
              <w:pBdr>
                <w:top w:val="nil"/>
                <w:left w:val="nil"/>
                <w:bottom w:val="nil"/>
                <w:right w:val="nil"/>
                <w:between w:val="nil"/>
              </w:pBdr>
              <w:spacing w:line="276" w:lineRule="auto"/>
              <w:jc w:val="left"/>
            </w:pPr>
          </w:p>
        </w:tc>
        <w:tc>
          <w:tcPr>
            <w:tcW w:w="993" w:type="dxa"/>
            <w:vMerge/>
          </w:tcPr>
          <w:p w14:paraId="61FC4EA9" w14:textId="77777777" w:rsidR="00D65CBF" w:rsidRPr="00646813" w:rsidRDefault="00D65CBF">
            <w:pPr>
              <w:pBdr>
                <w:top w:val="nil"/>
                <w:left w:val="nil"/>
                <w:bottom w:val="nil"/>
                <w:right w:val="nil"/>
                <w:between w:val="nil"/>
              </w:pBdr>
              <w:spacing w:line="276" w:lineRule="auto"/>
              <w:jc w:val="left"/>
            </w:pPr>
          </w:p>
        </w:tc>
        <w:tc>
          <w:tcPr>
            <w:tcW w:w="1559" w:type="dxa"/>
          </w:tcPr>
          <w:p w14:paraId="2762A76D" w14:textId="0DC541F4" w:rsidR="00D65CBF" w:rsidRPr="00646813" w:rsidRDefault="00967AC6">
            <w:pPr>
              <w:spacing w:line="240" w:lineRule="auto"/>
            </w:pPr>
            <w:r w:rsidRPr="00646813">
              <w:t>Konverents</w:t>
            </w:r>
          </w:p>
        </w:tc>
        <w:tc>
          <w:tcPr>
            <w:tcW w:w="1559" w:type="dxa"/>
          </w:tcPr>
          <w:p w14:paraId="0EBDC802" w14:textId="77777777" w:rsidR="00D65CBF" w:rsidRPr="00646813" w:rsidRDefault="00250275">
            <w:pPr>
              <w:spacing w:line="240" w:lineRule="auto"/>
            </w:pPr>
            <w:r w:rsidRPr="00646813">
              <w:t>1</w:t>
            </w:r>
          </w:p>
        </w:tc>
        <w:tc>
          <w:tcPr>
            <w:tcW w:w="2693" w:type="dxa"/>
          </w:tcPr>
          <w:p w14:paraId="21AEAC2D" w14:textId="788D594B" w:rsidR="00D65CBF" w:rsidRPr="00646813" w:rsidRDefault="00472D59" w:rsidP="005C3B33">
            <w:pPr>
              <w:spacing w:line="240" w:lineRule="auto"/>
              <w:jc w:val="left"/>
            </w:pPr>
            <w:r w:rsidRPr="00646813">
              <w:t xml:space="preserve">Projekti teemadel toimuv konverents, kus tutvustatakse häid kaasamispraktikaid. Esinevad </w:t>
            </w:r>
            <w:r w:rsidR="00C633A6" w:rsidRPr="00646813">
              <w:t>valdkonna tippeksperdid.</w:t>
            </w:r>
          </w:p>
        </w:tc>
      </w:tr>
      <w:tr w:rsidR="00D65CBF" w:rsidRPr="00646813" w14:paraId="4C1E0069" w14:textId="77777777" w:rsidTr="005C3B33">
        <w:trPr>
          <w:trHeight w:val="294"/>
        </w:trPr>
        <w:tc>
          <w:tcPr>
            <w:tcW w:w="1305" w:type="dxa"/>
            <w:vMerge/>
          </w:tcPr>
          <w:p w14:paraId="1184EDE9" w14:textId="77777777" w:rsidR="00D65CBF" w:rsidRPr="00646813" w:rsidRDefault="00D65CBF">
            <w:pPr>
              <w:pBdr>
                <w:top w:val="nil"/>
                <w:left w:val="nil"/>
                <w:bottom w:val="nil"/>
                <w:right w:val="nil"/>
                <w:between w:val="nil"/>
              </w:pBdr>
              <w:spacing w:line="276" w:lineRule="auto"/>
              <w:jc w:val="left"/>
            </w:pPr>
          </w:p>
        </w:tc>
        <w:tc>
          <w:tcPr>
            <w:tcW w:w="992" w:type="dxa"/>
            <w:vMerge/>
          </w:tcPr>
          <w:p w14:paraId="33A7BF5D" w14:textId="77777777" w:rsidR="00D65CBF" w:rsidRPr="00646813" w:rsidRDefault="00D65CBF">
            <w:pPr>
              <w:pBdr>
                <w:top w:val="nil"/>
                <w:left w:val="nil"/>
                <w:bottom w:val="nil"/>
                <w:right w:val="nil"/>
                <w:between w:val="nil"/>
              </w:pBdr>
              <w:spacing w:line="276" w:lineRule="auto"/>
              <w:jc w:val="left"/>
            </w:pPr>
          </w:p>
        </w:tc>
        <w:tc>
          <w:tcPr>
            <w:tcW w:w="993" w:type="dxa"/>
            <w:vMerge/>
          </w:tcPr>
          <w:p w14:paraId="456523B5" w14:textId="77777777" w:rsidR="00D65CBF" w:rsidRPr="00646813" w:rsidRDefault="00D65CBF">
            <w:pPr>
              <w:pBdr>
                <w:top w:val="nil"/>
                <w:left w:val="nil"/>
                <w:bottom w:val="nil"/>
                <w:right w:val="nil"/>
                <w:between w:val="nil"/>
              </w:pBdr>
              <w:spacing w:line="276" w:lineRule="auto"/>
              <w:jc w:val="left"/>
            </w:pPr>
          </w:p>
        </w:tc>
        <w:tc>
          <w:tcPr>
            <w:tcW w:w="1559" w:type="dxa"/>
          </w:tcPr>
          <w:p w14:paraId="5417B730" w14:textId="780CA41D" w:rsidR="00D65CBF" w:rsidRPr="00646813" w:rsidRDefault="00250275">
            <w:pPr>
              <w:spacing w:line="240" w:lineRule="auto"/>
            </w:pPr>
            <w:r w:rsidRPr="00646813">
              <w:t>Hindamis</w:t>
            </w:r>
            <w:r w:rsidR="00C633A6" w:rsidRPr="00646813">
              <w:t xml:space="preserve">tulemuste </w:t>
            </w:r>
            <w:r w:rsidRPr="00646813">
              <w:t xml:space="preserve"> </w:t>
            </w:r>
            <w:r w:rsidRPr="00646813">
              <w:lastRenderedPageBreak/>
              <w:t>dokument</w:t>
            </w:r>
          </w:p>
        </w:tc>
        <w:tc>
          <w:tcPr>
            <w:tcW w:w="1559" w:type="dxa"/>
          </w:tcPr>
          <w:p w14:paraId="2CDB7D83" w14:textId="77777777" w:rsidR="00D65CBF" w:rsidRPr="00646813" w:rsidRDefault="00250275">
            <w:pPr>
              <w:spacing w:line="240" w:lineRule="auto"/>
            </w:pPr>
            <w:r w:rsidRPr="00646813">
              <w:lastRenderedPageBreak/>
              <w:t>1</w:t>
            </w:r>
          </w:p>
        </w:tc>
        <w:tc>
          <w:tcPr>
            <w:tcW w:w="2693" w:type="dxa"/>
          </w:tcPr>
          <w:p w14:paraId="7B6AD298" w14:textId="7FF6C3E1" w:rsidR="00D65CBF" w:rsidRPr="00646813" w:rsidRDefault="00C633A6" w:rsidP="005C3B33">
            <w:pPr>
              <w:spacing w:line="240" w:lineRule="auto"/>
              <w:jc w:val="left"/>
            </w:pPr>
            <w:r w:rsidRPr="00646813">
              <w:t>Tee</w:t>
            </w:r>
            <w:r w:rsidR="00EA72A3" w:rsidRPr="00646813">
              <w:t xml:space="preserve">nusepakkuja, AP töögrupi ja </w:t>
            </w:r>
            <w:r w:rsidR="00EA72A3" w:rsidRPr="00646813">
              <w:lastRenderedPageBreak/>
              <w:t xml:space="preserve">arenguprogrammis osalejate </w:t>
            </w:r>
            <w:r w:rsidR="00995B73" w:rsidRPr="00646813">
              <w:t xml:space="preserve">kokkuvõte arenguprogrammi edu- ja kitsaskohtadest. Hindamine viiakse läbi AP töögrupi poolt koostatud </w:t>
            </w:r>
            <w:r w:rsidR="000C1E6B" w:rsidRPr="00646813">
              <w:t>hindamismetoodika alusel.</w:t>
            </w:r>
            <w:r w:rsidR="00250275" w:rsidRPr="00646813">
              <w:t xml:space="preserve"> </w:t>
            </w:r>
          </w:p>
        </w:tc>
      </w:tr>
    </w:tbl>
    <w:p w14:paraId="3602AB44" w14:textId="77777777" w:rsidR="00D65CBF" w:rsidRPr="00646813" w:rsidRDefault="00D65CBF">
      <w:pPr>
        <w:spacing w:line="240" w:lineRule="auto"/>
      </w:pPr>
    </w:p>
    <w:p w14:paraId="1F71117E" w14:textId="105C8A9B" w:rsidR="00D65CBF" w:rsidRPr="00646813" w:rsidRDefault="76D786FD" w:rsidP="000C1E6B">
      <w:pPr>
        <w:pStyle w:val="Heading1"/>
        <w:keepLines w:val="0"/>
        <w:widowControl/>
        <w:numPr>
          <w:ilvl w:val="0"/>
          <w:numId w:val="3"/>
        </w:numPr>
        <w:spacing w:after="60" w:line="240" w:lineRule="auto"/>
        <w:ind w:left="0" w:firstLine="0"/>
        <w:jc w:val="left"/>
        <w:rPr>
          <w:b/>
          <w:bCs/>
          <w:color w:val="000000"/>
          <w:sz w:val="24"/>
          <w:szCs w:val="24"/>
        </w:rPr>
      </w:pPr>
      <w:r w:rsidRPr="00646813">
        <w:rPr>
          <w:b/>
          <w:bCs/>
          <w:color w:val="000000" w:themeColor="text1"/>
          <w:sz w:val="24"/>
          <w:szCs w:val="24"/>
        </w:rPr>
        <w:t>Toetatav tegevus 2.2: Lastega ja noortega tegelevate vabaühenduste</w:t>
      </w:r>
      <w:r w:rsidR="000C1E6B" w:rsidRPr="00646813">
        <w:rPr>
          <w:b/>
          <w:bCs/>
          <w:color w:val="000000" w:themeColor="text1"/>
          <w:sz w:val="24"/>
          <w:szCs w:val="24"/>
        </w:rPr>
        <w:t xml:space="preserve"> </w:t>
      </w:r>
      <w:r w:rsidRPr="00646813">
        <w:rPr>
          <w:b/>
          <w:bCs/>
          <w:color w:val="000000" w:themeColor="text1"/>
          <w:sz w:val="24"/>
          <w:szCs w:val="24"/>
        </w:rPr>
        <w:t xml:space="preserve">kaasamis- ja osalemisoskuste tõstmine. </w:t>
      </w:r>
    </w:p>
    <w:p w14:paraId="4FB8D4AE" w14:textId="54CF1F90" w:rsidR="00D65CBF" w:rsidRPr="00646813" w:rsidRDefault="76D786FD" w:rsidP="00837DBF">
      <w:pPr>
        <w:pStyle w:val="Heading2"/>
        <w:keepLines w:val="0"/>
        <w:widowControl/>
        <w:numPr>
          <w:ilvl w:val="2"/>
          <w:numId w:val="20"/>
        </w:numPr>
        <w:tabs>
          <w:tab w:val="left" w:pos="426"/>
        </w:tabs>
        <w:spacing w:before="240" w:after="60" w:line="240" w:lineRule="auto"/>
        <w:ind w:left="993"/>
        <w:rPr>
          <w:b/>
          <w:bCs/>
          <w:color w:val="000000"/>
          <w:sz w:val="24"/>
          <w:szCs w:val="24"/>
        </w:rPr>
      </w:pPr>
      <w:r w:rsidRPr="00646813">
        <w:rPr>
          <w:b/>
          <w:bCs/>
          <w:color w:val="000000" w:themeColor="text1"/>
          <w:sz w:val="24"/>
          <w:szCs w:val="24"/>
        </w:rPr>
        <w:t>Alategevus: Maakondlike koolitus- ja arendustegevuste korraldamine ja läbiviimine</w:t>
      </w:r>
    </w:p>
    <w:p w14:paraId="00C4031D" w14:textId="77777777" w:rsidR="00D65CBF" w:rsidRPr="00646813" w:rsidRDefault="00D65CBF">
      <w:pPr>
        <w:spacing w:line="240" w:lineRule="auto"/>
      </w:pPr>
    </w:p>
    <w:p w14:paraId="4B67572D" w14:textId="77777777" w:rsidR="00267F4D" w:rsidRPr="00646813" w:rsidRDefault="00267F4D" w:rsidP="00DF646B">
      <w:pPr>
        <w:spacing w:line="240" w:lineRule="auto"/>
      </w:pPr>
    </w:p>
    <w:p w14:paraId="5C18F1EE" w14:textId="71B1D05E" w:rsidR="00866B49" w:rsidRPr="00866B49" w:rsidRDefault="00D17333" w:rsidP="00866B49">
      <w:pPr>
        <w:spacing w:line="240" w:lineRule="auto"/>
      </w:pPr>
      <w:r w:rsidRPr="00646813">
        <w:t xml:space="preserve">2025. aastal koostas SA Mõttekoda </w:t>
      </w:r>
      <w:proofErr w:type="spellStart"/>
      <w:r w:rsidRPr="00646813">
        <w:t>Praxis</w:t>
      </w:r>
      <w:proofErr w:type="spellEnd"/>
      <w:r w:rsidRPr="00646813">
        <w:t xml:space="preserve"> elluviija tellimusel dokumendi „Maakondlike vabaühenduste laste ja noorte kaasamisoskuste tõstmise kontseptsioon“, milles on põhjalikumalt analüüsitud kogu tegevussuuna olukorda Eestis ning valdkonna arendamisega seotud väljakutseid. Dokumendi viimases osas on esitatud ka suunised, kuidas olemasolevat olukorda parandada ja arendada.</w:t>
      </w:r>
      <w:r w:rsidR="00C90CE9" w:rsidRPr="00646813">
        <w:t xml:space="preserve"> Loodud kontseptsioonile andis omapoolse tagasiside elluviija moodustatud ekspertide töögrupp (edaspidi MK töögrupp). MK töögruppi on kaasatud erinevad projekti seisukohalt olulised osapooled. Töögrupis on esindatud kaasamisekspert, maakondlike arenduskeskuste (edaspidi MAK) vabaühenduste konsultant, MAK koordinaator, kaardistusekspert, koolitusekspert ja </w:t>
      </w:r>
      <w:proofErr w:type="spellStart"/>
      <w:r w:rsidR="00C90CE9" w:rsidRPr="00646813">
        <w:t>KÜSKi</w:t>
      </w:r>
      <w:proofErr w:type="spellEnd"/>
      <w:r w:rsidR="00C90CE9" w:rsidRPr="00646813">
        <w:t xml:space="preserve"> esindaja. MK töögrupi töös saavad kaasa rääkida ka nn vabakuulajad, kellele on antud juurdepääs töögrupi dokumentidele ning võimalus soovi korral osaleda tööprotsessis. Vabakuulajate roll on anda tagasisidet töögrupi tegevusele ja esindada noorte huve. Vabakuulajaks olemise võimalus on antud üle-eestilistele noorteorganisatsioonidele</w:t>
      </w:r>
      <w:r w:rsidR="000A0245" w:rsidRPr="00646813">
        <w:t>, va</w:t>
      </w:r>
      <w:r w:rsidR="00F51A8E" w:rsidRPr="00646813">
        <w:t>baühendustele</w:t>
      </w:r>
      <w:r w:rsidR="00C90CE9" w:rsidRPr="00646813">
        <w:t xml:space="preserve"> ning Siseministeeriumi esindajale.</w:t>
      </w:r>
      <w:r w:rsidR="00D123EF" w:rsidRPr="00646813">
        <w:t xml:space="preserve"> </w:t>
      </w:r>
      <w:r w:rsidR="00F51A8E" w:rsidRPr="00646813">
        <w:br/>
      </w:r>
      <w:r w:rsidR="00F51A8E" w:rsidRPr="00646813">
        <w:br/>
      </w:r>
      <w:r w:rsidR="00D123EF" w:rsidRPr="00646813">
        <w:t>Tuginedes nimetatud kontseptsioonile kujundas MK töögrupp oma seisukohad projekti tegevuskava kujul. Töögrupi hinnangul ei ole võimalik kõigi kontseptsioonis toodud suunistega projekti raames tegeleda, kuna osa neist eeldab lahendusi teiste osapoolte, näiteks kohalike omavalitsuste või haridusasutuste tasandil. Seetõttu valis töögrupp kontseptsioonist välja need suunised, mida on võimalik projekti tegevustesse integreerida. MK töögrupp peab oluliseks inimeselt-inimesele lähenemist, pakkudes sihtrühmale tuge mentorluse ja heade näidete levitamise kaudu.</w:t>
      </w:r>
      <w:r w:rsidR="006E4952" w:rsidRPr="00646813">
        <w:t xml:space="preserve"> Samuti leiab töögrupp, et oluline on koondada tööriistad ja materjalid ühte kohta, et sihtrühmal oleks lihtne leida viiteid ja võimalusi oma kompetentsi tõstmiseks. Sellest lähtuvalt pakub töögrupp välja kolm suuremat tegevust, mille alla koonduvad väiksemad tegevused:</w:t>
      </w:r>
      <w:r w:rsidR="00866B49" w:rsidRPr="00646813">
        <w:t xml:space="preserve"> tööriistakasti platvormi loomine </w:t>
      </w:r>
      <w:proofErr w:type="spellStart"/>
      <w:r w:rsidR="00866B49" w:rsidRPr="00646813">
        <w:t>MTÜabi</w:t>
      </w:r>
      <w:proofErr w:type="spellEnd"/>
      <w:r w:rsidR="00866B49" w:rsidRPr="00646813">
        <w:t xml:space="preserve"> veebilehele; </w:t>
      </w:r>
      <w:proofErr w:type="spellStart"/>
      <w:r w:rsidR="00866B49" w:rsidRPr="00866B49">
        <w:t>häkatonide</w:t>
      </w:r>
      <w:proofErr w:type="spellEnd"/>
      <w:r w:rsidR="00866B49" w:rsidRPr="00866B49">
        <w:t xml:space="preserve"> korraldamine sihtrühmale, mille käigus tutvustatakse platvormi ja tuuakse see sihtrühmale lähemale;</w:t>
      </w:r>
      <w:r w:rsidR="00866B49" w:rsidRPr="00646813">
        <w:t xml:space="preserve"> </w:t>
      </w:r>
      <w:r w:rsidR="00866B49" w:rsidRPr="00866B49">
        <w:t>laiapõhjaline kommunikatsioonikampaania, mille eesmärk on populariseerida nii platvormi kui ka laste ja noorte osalust kodanikuühiskonnas.</w:t>
      </w:r>
    </w:p>
    <w:p w14:paraId="657EDD25" w14:textId="4DEE5E12" w:rsidR="00C5547A" w:rsidRPr="00646813" w:rsidRDefault="00C5547A" w:rsidP="00EB7344">
      <w:pPr>
        <w:spacing w:line="240" w:lineRule="auto"/>
      </w:pPr>
    </w:p>
    <w:p w14:paraId="33398F8F" w14:textId="77777777" w:rsidR="00FA4E5D" w:rsidRPr="00646813" w:rsidRDefault="000F0CF0" w:rsidP="00FA4E5D">
      <w:pPr>
        <w:spacing w:line="240" w:lineRule="auto"/>
      </w:pPr>
      <w:r w:rsidRPr="00646813">
        <w:t>2025. aasta detsembris kuulutab elluviija välja riigihanke Vabakonna Akadeemia (VABAK) platvormi loomiseks ja arendamiseks. Platvormi eesmärk on koondada kodanikuühiskonna ja vabakonna arengut toetavad koolitus- ja arendustegevused ühtsele digitaalsele keskkonnale.</w:t>
      </w:r>
      <w:r w:rsidR="00691EBE" w:rsidRPr="00646813">
        <w:t xml:space="preserve"> Tegemist on varasematel aastatel tööriistakastina käsitletud tegevussuuna edasiarendusega. Platvorm loob võimaluse MAK konsultantidel, kohalike omavalitsuste töötajatel, vabakonna esindajatel, noortel ja noorte juhendajatel süsteemselt täiendada oma teadmisi ja oskusi.</w:t>
      </w:r>
      <w:r w:rsidR="00900BC6" w:rsidRPr="00646813">
        <w:t xml:space="preserve"> </w:t>
      </w:r>
      <w:r w:rsidR="00900BC6" w:rsidRPr="00646813">
        <w:lastRenderedPageBreak/>
        <w:t>Platvorm luuakse elluviija hallatavale veebilehele mtyabi.ee. Selline lahendus tagab platvormi jätkusuutlikkuse ka tulevikus ning võimaldab selle sisu regulaarselt ajakohasena hoida.</w:t>
      </w:r>
      <w:r w:rsidR="00F95F3C" w:rsidRPr="00646813">
        <w:t xml:space="preserve"> Platvorm ei loo valdavalt uusi lahendusi, vaid koondab juba olemasolevaid häid praktikaid ja tööriistu ning tutvustab neid projekti sihtrühmale ühtse keskkonna kaudu. Uute lahenduste loomise vajaduse otsustab MK töögrupp, ning vastavalt sellele arendab hankega leitud teenusepakkuja platvormile uusi tööriistu.</w:t>
      </w:r>
      <w:r w:rsidR="00F95F3C" w:rsidRPr="00646813">
        <w:br/>
      </w:r>
      <w:r w:rsidR="00F95F3C" w:rsidRPr="00646813">
        <w:br/>
      </w:r>
      <w:r w:rsidR="00691EBE" w:rsidRPr="00646813">
        <w:br/>
      </w:r>
      <w:r w:rsidR="00DF646B" w:rsidRPr="00646813">
        <w:t>Detsembris 2025 kuulutab elluviija välja riigihanke Vabakonna Akadeemia</w:t>
      </w:r>
      <w:r w:rsidR="002D54DB" w:rsidRPr="00646813">
        <w:t xml:space="preserve"> ehk VABAK (tööriistakasti nimi)</w:t>
      </w:r>
      <w:r w:rsidR="00DF646B" w:rsidRPr="00646813">
        <w:t xml:space="preserve"> platvormi loomiseks ja arendamiseks, mille eesmärk on koondada kodanikuühiskonna ja vabakonna arengut toetavad koolitus- ja arendustegevused ühtsele digitaalsele keskkonnale. See on </w:t>
      </w:r>
      <w:r w:rsidR="00876052" w:rsidRPr="00646813">
        <w:t xml:space="preserve">varasematel aastatel tööriistakastina käsitletud </w:t>
      </w:r>
      <w:r w:rsidR="00826466" w:rsidRPr="00646813">
        <w:t>tegevussuuna väljud.</w:t>
      </w:r>
      <w:r w:rsidR="00DF646B" w:rsidRPr="00646813">
        <w:t xml:space="preserve"> Platvorm võimaldab MAK konsultantidel, kohalike omavalitsuste töötajatel</w:t>
      </w:r>
      <w:r w:rsidR="0066088B" w:rsidRPr="00646813">
        <w:t xml:space="preserve">, </w:t>
      </w:r>
      <w:r w:rsidR="00DF646B" w:rsidRPr="00646813">
        <w:t>vabakonna esindajatel</w:t>
      </w:r>
      <w:r w:rsidR="0066088B" w:rsidRPr="00646813">
        <w:t>, noortel ja noorte juhendajatel</w:t>
      </w:r>
      <w:r w:rsidR="00DF646B" w:rsidRPr="00646813">
        <w:t xml:space="preserve"> süsteemselt täiendada oma teadmisi ja oskusi.</w:t>
      </w:r>
      <w:r w:rsidR="00826466" w:rsidRPr="00646813">
        <w:t xml:space="preserve"> Platvorm </w:t>
      </w:r>
      <w:r w:rsidR="00081258" w:rsidRPr="00646813">
        <w:t xml:space="preserve">luuakse </w:t>
      </w:r>
      <w:r w:rsidR="00D658F5" w:rsidRPr="00646813">
        <w:t>elluviija hallatava</w:t>
      </w:r>
      <w:r w:rsidR="00081258" w:rsidRPr="00646813">
        <w:t>le</w:t>
      </w:r>
      <w:r w:rsidR="00D658F5" w:rsidRPr="00646813">
        <w:t xml:space="preserve"> veebilehel</w:t>
      </w:r>
      <w:r w:rsidR="00081258" w:rsidRPr="00646813">
        <w:t xml:space="preserve">e mtyabi.ee. Antud lahendus tagab platvormi jätkusuutlikkuse ka tulevikus ja annab võimaluse platvormi tulevikus </w:t>
      </w:r>
      <w:r w:rsidR="00475144" w:rsidRPr="00646813">
        <w:t>sisu mõttes ajakohasena hoida. Platvorm ei loo enamasti uusi lahendusi, vaid koondab juba olemasolevaid häid praktikaid</w:t>
      </w:r>
      <w:r w:rsidR="002D54DB" w:rsidRPr="00646813">
        <w:t>, lahendusi (tööriistu)</w:t>
      </w:r>
      <w:r w:rsidR="00475144" w:rsidRPr="00646813">
        <w:t xml:space="preserve"> ja </w:t>
      </w:r>
      <w:r w:rsidR="000B15DE" w:rsidRPr="00646813">
        <w:t xml:space="preserve">tutvustab neid läbi platvormi projekti sihtrühmale. </w:t>
      </w:r>
      <w:r w:rsidR="00D2728D" w:rsidRPr="00646813">
        <w:t>Uute lahenduse loomist otsustab MK töögrupp ja vasta</w:t>
      </w:r>
      <w:r w:rsidR="0088790B" w:rsidRPr="00646813">
        <w:t xml:space="preserve">valt sellele hankega leitud teenusepakkuja </w:t>
      </w:r>
      <w:r w:rsidR="005C70E5" w:rsidRPr="00646813">
        <w:t>loob arendab platvormile uusi tööriistu.</w:t>
      </w:r>
      <w:r w:rsidR="00FA4E5D" w:rsidRPr="00646813">
        <w:t xml:space="preserve"> Platvormi arendus algab 2026. aasta veebruaris, mil alustatakse tehnilise lahenduse loomist, sisulise metoodika ja kasutajateekonna kavandamist ning määratletakse koostöös MK töögrupiga platvormi põhifunktsioonid ja ülesehitus. Arendusprotsess toetab TAT tegevuse 2.1 eesmärki – süsteemse kogukonnapõhise laste ja noorte kaasamismudeli arendamist, tagades koolitus- ja arendustegevuste sidususe ning metoodilise ühtsuse kõigis maakondades.</w:t>
      </w:r>
    </w:p>
    <w:p w14:paraId="353932D2" w14:textId="77777777" w:rsidR="00F51A8E" w:rsidRPr="00646813" w:rsidRDefault="00F51A8E" w:rsidP="00DF646B">
      <w:pPr>
        <w:spacing w:line="240" w:lineRule="auto"/>
      </w:pPr>
    </w:p>
    <w:p w14:paraId="704BF450" w14:textId="77777777" w:rsidR="00E45ACC" w:rsidRPr="00646813" w:rsidRDefault="007F2E5E" w:rsidP="004435FD">
      <w:pPr>
        <w:numPr>
          <w:ilvl w:val="0"/>
          <w:numId w:val="22"/>
        </w:numPr>
        <w:tabs>
          <w:tab w:val="clear" w:pos="720"/>
        </w:tabs>
        <w:spacing w:line="240" w:lineRule="auto"/>
        <w:ind w:left="0" w:firstLine="360"/>
      </w:pPr>
      <w:r w:rsidRPr="00646813">
        <w:t xml:space="preserve">2026. aasta esimeses pooles viib elluviija läbi riigihanke, mille eesmärk on leida teenusepakkuja </w:t>
      </w:r>
      <w:proofErr w:type="spellStart"/>
      <w:r w:rsidRPr="00646813">
        <w:t>häkatonide</w:t>
      </w:r>
      <w:proofErr w:type="spellEnd"/>
      <w:r w:rsidRPr="00646813">
        <w:t xml:space="preserve"> korraldamiseks.</w:t>
      </w:r>
      <w:r w:rsidR="00396BA0" w:rsidRPr="00646813">
        <w:t xml:space="preserve"> </w:t>
      </w:r>
      <w:proofErr w:type="spellStart"/>
      <w:r w:rsidR="00396BA0" w:rsidRPr="00646813">
        <w:t>Häkatonid</w:t>
      </w:r>
      <w:proofErr w:type="spellEnd"/>
      <w:r w:rsidR="00396BA0" w:rsidRPr="00646813">
        <w:t xml:space="preserve"> on kavandatud praktilise osalusmeetodina, mille kaudu noored, kogukonnad ja vabaühendused töötavad koos välja lahendusi piirkondliku kaasamise ja kodanikuaktiivsuse suurendamiseks. </w:t>
      </w:r>
      <w:proofErr w:type="spellStart"/>
      <w:r w:rsidR="00396BA0" w:rsidRPr="00646813">
        <w:t>Häkatonidel</w:t>
      </w:r>
      <w:proofErr w:type="spellEnd"/>
      <w:r w:rsidR="00396BA0" w:rsidRPr="00646813">
        <w:t xml:space="preserve"> tutvustatakse</w:t>
      </w:r>
      <w:r w:rsidR="00AD3142" w:rsidRPr="00646813">
        <w:t xml:space="preserve"> praktiliste tegevuste kaudu</w:t>
      </w:r>
      <w:r w:rsidR="00396BA0" w:rsidRPr="00646813">
        <w:t xml:space="preserve"> VABAK platvormi</w:t>
      </w:r>
      <w:r w:rsidR="001E2FA3" w:rsidRPr="00646813">
        <w:t xml:space="preserve">. Ning luuakse </w:t>
      </w:r>
      <w:r w:rsidR="00071942" w:rsidRPr="00646813">
        <w:t xml:space="preserve">praktiline </w:t>
      </w:r>
      <w:r w:rsidR="00396BA0" w:rsidRPr="00646813">
        <w:t>maakondlik koostöömudel vabaühenduste ja noorte koostöö arendamiseks.</w:t>
      </w:r>
      <w:r w:rsidR="00071942" w:rsidRPr="00646813">
        <w:t xml:space="preserve"> </w:t>
      </w:r>
      <w:proofErr w:type="spellStart"/>
      <w:r w:rsidR="00071942" w:rsidRPr="00646813">
        <w:t>Häkatonide</w:t>
      </w:r>
      <w:proofErr w:type="spellEnd"/>
      <w:r w:rsidR="00071942" w:rsidRPr="00646813">
        <w:t xml:space="preserve"> raames on üheks olulisemaks aspektiks osalevate meeskondade võrgustiku arendamine. Peale </w:t>
      </w:r>
      <w:proofErr w:type="spellStart"/>
      <w:r w:rsidR="00071942" w:rsidRPr="00646813">
        <w:t>häkatoni</w:t>
      </w:r>
      <w:proofErr w:type="spellEnd"/>
      <w:r w:rsidR="00071942" w:rsidRPr="00646813">
        <w:t xml:space="preserve"> jää</w:t>
      </w:r>
      <w:r w:rsidR="00FD363B" w:rsidRPr="00646813">
        <w:t xml:space="preserve">b osalejatele alles teadmine kellega saab maakonnas koostööd teha ja millised on võimalused nõustamiseks, kui peaks seda vabaühendus vajama. Lisaks </w:t>
      </w:r>
      <w:r w:rsidR="008965F1" w:rsidRPr="00646813">
        <w:t>teadmine VABAK platvormi olemasolust ja võimalustest.</w:t>
      </w:r>
      <w:r w:rsidR="00071942" w:rsidRPr="00646813">
        <w:br/>
      </w:r>
      <w:r w:rsidR="00071942" w:rsidRPr="00646813">
        <w:br/>
      </w:r>
      <w:r w:rsidR="00CF3618" w:rsidRPr="00646813">
        <w:t>2026. aastal tehakse ettevalmistusi ning aasta teises pooles viiakse läbi riigihange, mille eesmärk on leida teenusepakkuja kogu tegevussuuna laiapõhjaliseks kommunikatsiooniks (edaspidi kampaania).</w:t>
      </w:r>
      <w:r w:rsidR="00687202" w:rsidRPr="00646813">
        <w:t xml:space="preserve"> MK töögrupi hinnangul on kõige olulisem, et ühiskonnas räägitakse laste ja noorte kaasamisest, tuuakse esile häid praktikaid ning ollakse teadlik võimalustest, kuidas oma kompetentsi selles valdkonnas arendada (inimeselt-inimesele efekt). Projekti raames on kogu selle temaatika ühisnimetajaks kujunenud märksõna #kaasanoori.</w:t>
      </w:r>
      <w:r w:rsidR="003A2E78" w:rsidRPr="00646813">
        <w:t xml:space="preserve"> Kampaania algab 2027. aasta teisel poolel „suure lainena“, millele järgneb 2027. aasta lõpus kuni 2028. aasta teise kvartalini kestev etapp „stabiilne kohalolu“. Kampaania lõpeb 2028. aasta kolmandas kvartalis „suure lõpulainega“.</w:t>
      </w:r>
      <w:r w:rsidR="00872CB4" w:rsidRPr="00646813">
        <w:br/>
      </w:r>
      <w:r w:rsidR="00872CB4" w:rsidRPr="00646813">
        <w:br/>
      </w:r>
      <w:r w:rsidR="76D786FD" w:rsidRPr="00646813">
        <w:t>Vabaühenduste kompetentsi kasvatamise juures on olulisel kohal praktiline kogemus. Kogukonnapraktika  programm</w:t>
      </w:r>
      <w:r w:rsidR="003E532F" w:rsidRPr="00646813">
        <w:t xml:space="preserve"> (edaspidi KKP)</w:t>
      </w:r>
      <w:r w:rsidR="48194E71" w:rsidRPr="00646813">
        <w:t xml:space="preserve"> on </w:t>
      </w:r>
      <w:r w:rsidR="3F0D6088" w:rsidRPr="00646813">
        <w:t>selleks üks sobiv võimalus.</w:t>
      </w:r>
      <w:r w:rsidR="66037B17" w:rsidRPr="00646813">
        <w:t xml:space="preserve"> See programm</w:t>
      </w:r>
      <w:r w:rsidR="76D786FD" w:rsidRPr="00646813">
        <w:t xml:space="preserve"> on avatud kõikidele koolidele ja vabaühendustele, andes noortele </w:t>
      </w:r>
      <w:r w:rsidR="37EF7653" w:rsidRPr="00646813">
        <w:t xml:space="preserve">nii </w:t>
      </w:r>
      <w:r w:rsidR="76D786FD" w:rsidRPr="00646813">
        <w:t xml:space="preserve">arusaama kodanikuühiskonnast </w:t>
      </w:r>
      <w:r w:rsidR="53780D65" w:rsidRPr="00646813">
        <w:t xml:space="preserve">kui </w:t>
      </w:r>
      <w:r w:rsidR="76D786FD" w:rsidRPr="00646813">
        <w:t xml:space="preserve">võimaluse mitteformaalsel teel õppida ning panustada ühiskonda. Programm annab õpilasele koostöös vabaühendustega selge arusaama kodanikuühiskonnast, </w:t>
      </w:r>
      <w:r w:rsidR="76D786FD" w:rsidRPr="00646813">
        <w:lastRenderedPageBreak/>
        <w:t xml:space="preserve">võimaluse laiendada silmaringi, panna oma teadmisi proovile, märgata ja panustada ning muuta meie ühiskonda õiglasemaks ja paremaks. </w:t>
      </w:r>
      <w:r w:rsidR="349D1937" w:rsidRPr="00646813">
        <w:t>Elluviija</w:t>
      </w:r>
      <w:r w:rsidR="0002C553" w:rsidRPr="00646813">
        <w:t xml:space="preserve"> </w:t>
      </w:r>
      <w:r w:rsidR="00D6196E" w:rsidRPr="00646813">
        <w:t>arvestab</w:t>
      </w:r>
      <w:r w:rsidR="0002C553" w:rsidRPr="00646813">
        <w:t xml:space="preserve"> kogukonnapraktikat kui ühte </w:t>
      </w:r>
      <w:r w:rsidR="003E532F" w:rsidRPr="00646813">
        <w:t xml:space="preserve">olulisemat </w:t>
      </w:r>
      <w:r w:rsidR="0002C553" w:rsidRPr="00646813">
        <w:t xml:space="preserve">tööriista </w:t>
      </w:r>
      <w:r w:rsidR="630C5289" w:rsidRPr="00646813">
        <w:t xml:space="preserve">vabaühenduste kaasamisoskuste </w:t>
      </w:r>
      <w:r w:rsidR="0002C553" w:rsidRPr="00646813">
        <w:t xml:space="preserve">kompetentsi kasvatamise </w:t>
      </w:r>
      <w:r w:rsidR="004435FD" w:rsidRPr="00646813">
        <w:t>keskkonnas VABAK</w:t>
      </w:r>
      <w:r w:rsidR="64113D26" w:rsidRPr="00646813">
        <w:t>, kuna peab oluliseks praktilise kogemuse võimalus</w:t>
      </w:r>
      <w:r w:rsidR="349D1937" w:rsidRPr="00646813">
        <w:t>t</w:t>
      </w:r>
      <w:r w:rsidR="2635FB80" w:rsidRPr="00646813">
        <w:t>.</w:t>
      </w:r>
      <w:r w:rsidR="76D786FD" w:rsidRPr="00646813">
        <w:t xml:space="preserve"> 2025. aasta</w:t>
      </w:r>
      <w:r w:rsidR="005A21ED" w:rsidRPr="00646813">
        <w:t xml:space="preserve">l korraldas </w:t>
      </w:r>
      <w:r w:rsidR="76D786FD" w:rsidRPr="00646813">
        <w:t xml:space="preserve">kogukonnapraktika mudeli arendamise teenusepakkuja </w:t>
      </w:r>
      <w:r w:rsidR="00963F18" w:rsidRPr="00646813">
        <w:t xml:space="preserve">kogukonnapraktika hetkeolukorra </w:t>
      </w:r>
      <w:r w:rsidR="00C82E61" w:rsidRPr="00646813">
        <w:t>kaardistatusse ja pakkus elluviijale välja edaspidised tegevused, mida on vajalik teostada,</w:t>
      </w:r>
      <w:r w:rsidR="76D786FD" w:rsidRPr="00646813">
        <w:t xml:space="preserve"> </w:t>
      </w:r>
      <w:r w:rsidR="00DB78E6" w:rsidRPr="00646813">
        <w:t xml:space="preserve">et </w:t>
      </w:r>
      <w:r w:rsidR="76D786FD" w:rsidRPr="00646813">
        <w:t>kogukonnapraktika mudeli</w:t>
      </w:r>
      <w:r w:rsidR="00DB78E6" w:rsidRPr="00646813">
        <w:t>t</w:t>
      </w:r>
      <w:r w:rsidR="76D786FD" w:rsidRPr="00646813">
        <w:t xml:space="preserve"> </w:t>
      </w:r>
      <w:r w:rsidR="00DB78E6" w:rsidRPr="00646813">
        <w:t xml:space="preserve">saaks </w:t>
      </w:r>
      <w:r w:rsidR="76D786FD" w:rsidRPr="00646813">
        <w:t>kasuta</w:t>
      </w:r>
      <w:r w:rsidR="00DB78E6" w:rsidRPr="00646813">
        <w:t>da</w:t>
      </w:r>
      <w:r w:rsidR="76D786FD" w:rsidRPr="00646813">
        <w:t xml:space="preserve"> vabaühenduste laste ja noorte kaasamise kompetentsi  kasvatamisel</w:t>
      </w:r>
      <w:r w:rsidR="000769C3" w:rsidRPr="00646813">
        <w:t xml:space="preserve">. </w:t>
      </w:r>
    </w:p>
    <w:p w14:paraId="5578E55C" w14:textId="27FFB691" w:rsidR="004131D3" w:rsidRPr="00646813" w:rsidRDefault="00151927" w:rsidP="00E45ACC">
      <w:pPr>
        <w:spacing w:line="240" w:lineRule="auto"/>
      </w:pPr>
      <w:r w:rsidRPr="00646813">
        <w:br/>
        <w:t xml:space="preserve">2026. </w:t>
      </w:r>
      <w:r w:rsidR="004131D3" w:rsidRPr="00646813">
        <w:t xml:space="preserve">aastal jätkub KKP süsteemne arendamine, mille eesmärk on tugevdada koolide, vabakonna ja noorte koostööd maakondlikul tasandil ning luua toimiv tugistruktuur noorte kodanikuaktiivsuse toetamiseks. Tegevus toetab </w:t>
      </w:r>
      <w:r w:rsidR="004131D3" w:rsidRPr="00646813">
        <w:rPr>
          <w:bCs/>
        </w:rPr>
        <w:t>TAT punkti</w:t>
      </w:r>
      <w:r w:rsidR="00554B7B" w:rsidRPr="00646813">
        <w:rPr>
          <w:bCs/>
        </w:rPr>
        <w:t xml:space="preserve"> 2.2.3.1.1</w:t>
      </w:r>
      <w:r w:rsidR="00554B7B" w:rsidRPr="00646813">
        <w:t xml:space="preserve"> sihti arendada vabaühenduste võimekust kaasata lapsi ja noori oma tegevustesse ja</w:t>
      </w:r>
      <w:r w:rsidR="004131D3" w:rsidRPr="00646813">
        <w:rPr>
          <w:bCs/>
        </w:rPr>
        <w:t xml:space="preserve"> </w:t>
      </w:r>
      <w:r w:rsidR="00554B7B" w:rsidRPr="00646813">
        <w:rPr>
          <w:bCs/>
        </w:rPr>
        <w:t xml:space="preserve">TAT </w:t>
      </w:r>
      <w:r w:rsidR="002F22CD" w:rsidRPr="00646813">
        <w:rPr>
          <w:bCs/>
        </w:rPr>
        <w:t xml:space="preserve">punkti </w:t>
      </w:r>
      <w:r w:rsidR="004131D3" w:rsidRPr="00646813">
        <w:rPr>
          <w:bCs/>
        </w:rPr>
        <w:t>2.2.3.2.1</w:t>
      </w:r>
      <w:r w:rsidR="004131D3" w:rsidRPr="00646813">
        <w:t xml:space="preserve"> eesmärki tõsta noorte teadlikkust kodanikuühiskonna olemusest ja seal osalemise võimalustest</w:t>
      </w:r>
      <w:r w:rsidR="002F22CD" w:rsidRPr="00646813">
        <w:t>.</w:t>
      </w:r>
      <w:r w:rsidR="002F22CD" w:rsidRPr="00646813">
        <w:br/>
      </w:r>
    </w:p>
    <w:p w14:paraId="1A03E0C7" w14:textId="1EC3FBE4" w:rsidR="004131D3" w:rsidRPr="004131D3" w:rsidRDefault="004131D3" w:rsidP="004435FD">
      <w:pPr>
        <w:spacing w:line="240" w:lineRule="auto"/>
      </w:pPr>
      <w:r w:rsidRPr="004131D3">
        <w:t>Igas maakonnas määratakse KKP tugiisik</w:t>
      </w:r>
      <w:r w:rsidR="002F22CD" w:rsidRPr="00646813">
        <w:t xml:space="preserve"> (kogukonnapraktika eestvedaja enda töö)</w:t>
      </w:r>
      <w:r w:rsidRPr="004131D3">
        <w:t xml:space="preserve">, kelle ülesanne on toetada sädeinimesi, koolide juhendajaid ja vabaühenduste esindajaid KKP rakendamisel ning tagada koostöö kohalike koolide kontaktisikute ja vabakonna vahel. Maakondlikul tasandil tehakse koostööd </w:t>
      </w:r>
      <w:proofErr w:type="spellStart"/>
      <w:r w:rsidRPr="004131D3">
        <w:t>noortevolikogude</w:t>
      </w:r>
      <w:proofErr w:type="spellEnd"/>
      <w:r w:rsidRPr="004131D3">
        <w:t>, õpilasesinduste ja noortekeskustega, et leida ja toetada aktiivseid noori, kes soovivad kogukonnapraktika elluviimisse panustada.</w:t>
      </w:r>
      <w:r w:rsidR="004F1BA1" w:rsidRPr="00646813">
        <w:br/>
      </w:r>
    </w:p>
    <w:p w14:paraId="21D2EA6B" w14:textId="15ABD583" w:rsidR="004131D3" w:rsidRPr="004131D3" w:rsidRDefault="004131D3" w:rsidP="004435FD">
      <w:pPr>
        <w:spacing w:line="240" w:lineRule="auto"/>
      </w:pPr>
      <w:r w:rsidRPr="004131D3">
        <w:t xml:space="preserve">Kogukonnapraktika nähtavuse ja kasutuse suurendamiseks </w:t>
      </w:r>
      <w:r w:rsidR="004F1BA1" w:rsidRPr="00646813">
        <w:t>kaasatakse KKP kampaaniasse</w:t>
      </w:r>
      <w:r w:rsidRPr="004131D3">
        <w:t xml:space="preserve"> #kaasanoori, mis toetab TAT punkti 2.2.3.</w:t>
      </w:r>
      <w:r w:rsidR="00984886" w:rsidRPr="00646813">
        <w:t>1</w:t>
      </w:r>
      <w:r w:rsidRPr="004131D3">
        <w:t>.</w:t>
      </w:r>
      <w:r w:rsidR="00F14993" w:rsidRPr="00646813">
        <w:t xml:space="preserve"> ja</w:t>
      </w:r>
      <w:r w:rsidR="0014746A" w:rsidRPr="00646813">
        <w:t xml:space="preserve"> 2.2.3.2.</w:t>
      </w:r>
      <w:r w:rsidRPr="004131D3">
        <w:t xml:space="preserve"> eesmärk</w:t>
      </w:r>
      <w:r w:rsidR="00A82472" w:rsidRPr="00646813">
        <w:t>e</w:t>
      </w:r>
      <w:r w:rsidRPr="004131D3">
        <w:t xml:space="preserve"> tõsta noorte </w:t>
      </w:r>
      <w:r w:rsidR="0014746A" w:rsidRPr="00646813">
        <w:t xml:space="preserve">ja vabaühenduste </w:t>
      </w:r>
      <w:r w:rsidRPr="004131D3">
        <w:t>teadlikkust kodanikuühiskonna ja vabatahtliku tegevuse võimalustest. Kampaania</w:t>
      </w:r>
      <w:r w:rsidR="00C7656B" w:rsidRPr="00646813">
        <w:t xml:space="preserve"> osa</w:t>
      </w:r>
      <w:r w:rsidRPr="004131D3">
        <w:t xml:space="preserve"> keskendub sädeinimeste leidmisele ja tunnustamisele, KKP platvormi kasutamisele ning kogukonnapraktika väärtuse teadvustamisele koolides ja kogukondades.</w:t>
      </w:r>
      <w:r w:rsidR="00C12E92" w:rsidRPr="00646813">
        <w:br/>
      </w:r>
    </w:p>
    <w:p w14:paraId="3377C039" w14:textId="04D9E0B1" w:rsidR="004131D3" w:rsidRPr="004131D3" w:rsidRDefault="004131D3" w:rsidP="004435FD">
      <w:pPr>
        <w:spacing w:line="240" w:lineRule="auto"/>
      </w:pPr>
      <w:r w:rsidRPr="004131D3">
        <w:t xml:space="preserve">KKP süsteemi jätkusuutlikkuse tagamiseks arendatakse edasi kogukonnapraktika.ee platvormi, mida kohandatakse </w:t>
      </w:r>
      <w:r w:rsidR="006D451B" w:rsidRPr="00646813">
        <w:t>käesoleva projekti</w:t>
      </w:r>
      <w:r w:rsidRPr="004131D3">
        <w:t xml:space="preserve"> vahenditest. Platvormi uued funktsioonid toetavad otseselt TAT punkti</w:t>
      </w:r>
      <w:r w:rsidR="00101E76" w:rsidRPr="00646813">
        <w:t>desse</w:t>
      </w:r>
      <w:r w:rsidRPr="004131D3">
        <w:t xml:space="preserve"> 2.2.3.</w:t>
      </w:r>
      <w:r w:rsidR="00C7656B" w:rsidRPr="00646813">
        <w:t>1</w:t>
      </w:r>
      <w:r w:rsidRPr="004131D3">
        <w:t>.</w:t>
      </w:r>
      <w:r w:rsidR="00837452" w:rsidRPr="00646813">
        <w:t xml:space="preserve"> ja 2.2.3.2. </w:t>
      </w:r>
      <w:r w:rsidRPr="004131D3">
        <w:t>eesmärk</w:t>
      </w:r>
      <w:r w:rsidR="00837452" w:rsidRPr="00646813">
        <w:t>e</w:t>
      </w:r>
      <w:r w:rsidRPr="004131D3">
        <w:t xml:space="preserve"> luua noortele mitmekesised võimalused osaleda ühiskondlikes algatustes ning tugevdada vabatahtliku tegevuse väärtust. Arendustööde tulemusel lisanduvad keskkonda nii vabakonna kalender „Kutsu mind kooli“, mis võimaldab vabaühenduste esindajatel pakkuda oma kogemust koolides külalistundide vormis, kui ka e-tundide keskkond, mille kaudu tutvustatakse KKP kontseptsiooni juhendajatele ja noortele. Samuti luuakse võimalus vabaühenduste ja koolide profiilide haldamiseks, vabatahtlike ja organisatsioonide vaheliseks kuulutuste vahetamiseks ning automaatseks tunnistuse või tõendi väljastamiseks KKP läbimise kohta. Lisaks valmib</w:t>
      </w:r>
      <w:r w:rsidR="00083AF2" w:rsidRPr="00646813">
        <w:t xml:space="preserve"> KKP platvormile </w:t>
      </w:r>
      <w:r w:rsidRPr="004131D3">
        <w:t xml:space="preserve"> VABAK tööriistakasti ala, </w:t>
      </w:r>
      <w:r w:rsidR="001F6BEB" w:rsidRPr="00646813">
        <w:t>mis ühendab kogukonnapraktika otseselt VABAK või</w:t>
      </w:r>
      <w:r w:rsidR="00101E76" w:rsidRPr="00646813">
        <w:t>mal</w:t>
      </w:r>
      <w:r w:rsidR="001F6BEB" w:rsidRPr="00646813">
        <w:t xml:space="preserve">ustega ja </w:t>
      </w:r>
      <w:r w:rsidRPr="004131D3">
        <w:t xml:space="preserve">pakub juhendmaterjale ja praktilisi näiteid </w:t>
      </w:r>
      <w:r w:rsidR="001F6BEB" w:rsidRPr="00646813">
        <w:t xml:space="preserve">jpm. </w:t>
      </w:r>
      <w:r w:rsidRPr="004131D3">
        <w:t>vabatahtlike kaasamise toetamiseks.</w:t>
      </w:r>
      <w:r w:rsidR="001F6BEB" w:rsidRPr="00646813">
        <w:br/>
      </w:r>
    </w:p>
    <w:p w14:paraId="14160AC6" w14:textId="65F239FC" w:rsidR="004131D3" w:rsidRPr="004131D3" w:rsidRDefault="004131D3" w:rsidP="00AD1BEA">
      <w:pPr>
        <w:spacing w:line="240" w:lineRule="auto"/>
      </w:pPr>
      <w:r w:rsidRPr="004131D3">
        <w:t>Tegevuste nähtavust ja infovahetust toetatakse kahe sihtrühmapõhise infokirjaga: üks on suunatud vabaühendustele KKP võimaluste ja sündmuste tutvustamiseks ning teine koolidele praktikaperioodide ja juhendmaterjalide jagamiseks</w:t>
      </w:r>
      <w:r w:rsidR="00984204" w:rsidRPr="00646813">
        <w:t>. Infokirjade koostamine ja regulaarne levitamine jääb kogukonnapraktika eestvedajate kanda.</w:t>
      </w:r>
      <w:r w:rsidR="009C0515" w:rsidRPr="00646813">
        <w:t xml:space="preserve"> </w:t>
      </w:r>
      <w:r w:rsidRPr="004131D3">
        <w:t>jooksul korraldatakse ka vabatahtliku töö festivalid koolides, kus vabaühendused tutvustavad oma tegevust ja kaasamisvõimalusi, toetades TAT punkti 2.2.3.</w:t>
      </w:r>
      <w:r w:rsidR="00101E76" w:rsidRPr="00646813">
        <w:t>1</w:t>
      </w:r>
      <w:r w:rsidRPr="004131D3">
        <w:t>.</w:t>
      </w:r>
      <w:r w:rsidR="00101E76" w:rsidRPr="00646813">
        <w:t xml:space="preserve"> ja </w:t>
      </w:r>
      <w:r w:rsidR="008A73DF" w:rsidRPr="00646813">
        <w:t>2.2.3.2</w:t>
      </w:r>
      <w:r w:rsidRPr="004131D3">
        <w:t xml:space="preserve"> eesmärk luua noortele osalemisvõimalusi ning tugevdada sidet koolide ja vabakonna vahel</w:t>
      </w:r>
      <w:r w:rsidR="00800395" w:rsidRPr="00646813">
        <w:t xml:space="preserve"> ja sidudes erinevad siht</w:t>
      </w:r>
      <w:r w:rsidR="00496257" w:rsidRPr="00646813">
        <w:t>rühmad omavahelisele koostööle. Nimetatud tegevust viib ellu KKP esindaja koostöös projekti elluviijaga.</w:t>
      </w:r>
      <w:r w:rsidR="00496257" w:rsidRPr="00646813">
        <w:br/>
      </w:r>
    </w:p>
    <w:p w14:paraId="10FE74AA" w14:textId="77777777" w:rsidR="00C12E92" w:rsidRPr="00646813" w:rsidRDefault="00C12E92" w:rsidP="00AD1BEA">
      <w:pPr>
        <w:spacing w:line="240" w:lineRule="auto"/>
      </w:pPr>
    </w:p>
    <w:p w14:paraId="6498DF3D" w14:textId="77777777" w:rsidR="00C12E92" w:rsidRPr="00646813" w:rsidRDefault="00C12E92" w:rsidP="00AD1BEA">
      <w:pPr>
        <w:spacing w:line="240" w:lineRule="auto"/>
      </w:pPr>
    </w:p>
    <w:p w14:paraId="427A6C5D" w14:textId="6E747FB1" w:rsidR="565FDDFA" w:rsidRPr="00646813" w:rsidRDefault="004131D3" w:rsidP="00EE11EE">
      <w:pPr>
        <w:spacing w:line="240" w:lineRule="auto"/>
        <w:rPr>
          <w:b/>
          <w:bCs/>
        </w:rPr>
      </w:pPr>
      <w:r w:rsidRPr="004131D3">
        <w:lastRenderedPageBreak/>
        <w:t>Tegevuste tulemusena suureneb KKP platvormi kasutajate arv, paranevad koolide ja vabaühenduste vahelised koostöösuhted ning kasvab noorte teadlikkus kodanikuühiskonna võimalustest</w:t>
      </w:r>
      <w:r w:rsidR="00C12E92" w:rsidRPr="00646813">
        <w:t xml:space="preserve"> ja annab võimaluse vabaühendustel olla initsiaatoriks koostöö loomisel. (Senine lähenemine oli koolidest vabaühenduste suunal).</w:t>
      </w:r>
      <w:r w:rsidR="00C12E92" w:rsidRPr="00646813">
        <w:br/>
      </w:r>
      <w:r w:rsidR="00C12E92" w:rsidRPr="00646813">
        <w:br/>
      </w:r>
    </w:p>
    <w:p w14:paraId="2E831CAB" w14:textId="77777777" w:rsidR="00D65CBF" w:rsidRPr="00646813" w:rsidRDefault="00250275">
      <w:pPr>
        <w:spacing w:line="240" w:lineRule="auto"/>
        <w:rPr>
          <w:b/>
        </w:rPr>
      </w:pPr>
      <w:bookmarkStart w:id="1" w:name="_heading=h.30j0zll" w:colFirst="0" w:colLast="0"/>
      <w:bookmarkEnd w:id="1"/>
      <w:r w:rsidRPr="00646813">
        <w:rPr>
          <w:b/>
        </w:rPr>
        <w:t>Tabel 2. Tegevustega seotud näitajad</w:t>
      </w:r>
    </w:p>
    <w:p w14:paraId="76EF8D15" w14:textId="77777777" w:rsidR="00D65CBF" w:rsidRPr="00646813" w:rsidRDefault="00D65CBF">
      <w:pPr>
        <w:spacing w:line="240" w:lineRule="auto"/>
        <w:rPr>
          <w:b/>
        </w:rPr>
      </w:pPr>
    </w:p>
    <w:tbl>
      <w:tblPr>
        <w:tblStyle w:val="a1"/>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842"/>
        <w:gridCol w:w="1560"/>
        <w:gridCol w:w="2409"/>
      </w:tblGrid>
      <w:tr w:rsidR="00D65CBF" w:rsidRPr="00646813" w14:paraId="4C4B7FC4" w14:textId="77777777" w:rsidTr="3C7F867A">
        <w:trPr>
          <w:trHeight w:val="670"/>
        </w:trPr>
        <w:tc>
          <w:tcPr>
            <w:tcW w:w="1305" w:type="dxa"/>
          </w:tcPr>
          <w:p w14:paraId="5F044AF9" w14:textId="77777777" w:rsidR="00D65CBF" w:rsidRPr="00646813" w:rsidRDefault="00250275">
            <w:pPr>
              <w:spacing w:line="240" w:lineRule="auto"/>
              <w:rPr>
                <w:b/>
              </w:rPr>
            </w:pPr>
            <w:r w:rsidRPr="00646813">
              <w:rPr>
                <w:b/>
              </w:rPr>
              <w:t>Toetatava tegevuse näitaja nimetus</w:t>
            </w:r>
          </w:p>
        </w:tc>
        <w:tc>
          <w:tcPr>
            <w:tcW w:w="992" w:type="dxa"/>
          </w:tcPr>
          <w:p w14:paraId="42BD2579" w14:textId="74D53BE9" w:rsidR="00D65CBF" w:rsidRPr="00646813" w:rsidRDefault="00250275">
            <w:pPr>
              <w:spacing w:line="240" w:lineRule="auto"/>
              <w:rPr>
                <w:b/>
              </w:rPr>
            </w:pPr>
            <w:r w:rsidRPr="00646813">
              <w:rPr>
                <w:b/>
              </w:rPr>
              <w:t>Siht-tase (202</w:t>
            </w:r>
            <w:r w:rsidR="00164C2A" w:rsidRPr="00646813">
              <w:rPr>
                <w:b/>
              </w:rPr>
              <w:t>4</w:t>
            </w:r>
            <w:r w:rsidRPr="00646813">
              <w:rPr>
                <w:b/>
              </w:rPr>
              <w:t>)</w:t>
            </w:r>
          </w:p>
        </w:tc>
        <w:tc>
          <w:tcPr>
            <w:tcW w:w="993" w:type="dxa"/>
          </w:tcPr>
          <w:p w14:paraId="6D5365D3" w14:textId="77777777" w:rsidR="00D65CBF" w:rsidRPr="00646813" w:rsidRDefault="00250275">
            <w:pPr>
              <w:spacing w:line="240" w:lineRule="auto"/>
              <w:rPr>
                <w:b/>
              </w:rPr>
            </w:pPr>
            <w:r w:rsidRPr="00646813">
              <w:rPr>
                <w:b/>
              </w:rPr>
              <w:t>Siht-tase</w:t>
            </w:r>
          </w:p>
          <w:p w14:paraId="33764BCF" w14:textId="77777777" w:rsidR="00D65CBF" w:rsidRPr="00646813" w:rsidRDefault="00250275">
            <w:pPr>
              <w:spacing w:line="240" w:lineRule="auto"/>
              <w:rPr>
                <w:b/>
              </w:rPr>
            </w:pPr>
            <w:r w:rsidRPr="00646813">
              <w:rPr>
                <w:b/>
              </w:rPr>
              <w:t>(2029)</w:t>
            </w:r>
          </w:p>
        </w:tc>
        <w:tc>
          <w:tcPr>
            <w:tcW w:w="1842" w:type="dxa"/>
          </w:tcPr>
          <w:p w14:paraId="5C471D4A" w14:textId="77777777" w:rsidR="00D65CBF" w:rsidRPr="00646813" w:rsidRDefault="00250275">
            <w:pPr>
              <w:spacing w:line="240" w:lineRule="auto"/>
              <w:rPr>
                <w:b/>
              </w:rPr>
            </w:pPr>
            <w:r w:rsidRPr="00646813">
              <w:rPr>
                <w:b/>
              </w:rPr>
              <w:t>Alategevuste väljundid tegevuskava perioodil</w:t>
            </w:r>
          </w:p>
        </w:tc>
        <w:tc>
          <w:tcPr>
            <w:tcW w:w="1560" w:type="dxa"/>
          </w:tcPr>
          <w:p w14:paraId="2F3B7899" w14:textId="77777777" w:rsidR="00D65CBF" w:rsidRPr="00646813" w:rsidRDefault="00250275">
            <w:pPr>
              <w:spacing w:line="240" w:lineRule="auto"/>
              <w:rPr>
                <w:b/>
              </w:rPr>
            </w:pPr>
            <w:r w:rsidRPr="00646813">
              <w:rPr>
                <w:b/>
              </w:rPr>
              <w:t>Alategevuste väljundite arv tegevuskava perioodil</w:t>
            </w:r>
          </w:p>
        </w:tc>
        <w:tc>
          <w:tcPr>
            <w:tcW w:w="2409" w:type="dxa"/>
          </w:tcPr>
          <w:p w14:paraId="178E61D2" w14:textId="77777777" w:rsidR="00D65CBF" w:rsidRPr="00646813" w:rsidRDefault="00250275">
            <w:pPr>
              <w:spacing w:line="240" w:lineRule="auto"/>
              <w:rPr>
                <w:b/>
              </w:rPr>
            </w:pPr>
            <w:r w:rsidRPr="00646813">
              <w:rPr>
                <w:b/>
              </w:rPr>
              <w:t>Selgitus</w:t>
            </w:r>
          </w:p>
        </w:tc>
      </w:tr>
      <w:tr w:rsidR="00C46A5F" w:rsidRPr="00646813" w14:paraId="69689B9F" w14:textId="77777777" w:rsidTr="3C7F867A">
        <w:trPr>
          <w:trHeight w:val="990"/>
        </w:trPr>
        <w:tc>
          <w:tcPr>
            <w:tcW w:w="1305" w:type="dxa"/>
            <w:vMerge w:val="restart"/>
          </w:tcPr>
          <w:p w14:paraId="0771712D" w14:textId="77777777" w:rsidR="00C46A5F" w:rsidRPr="00646813" w:rsidRDefault="00C46A5F">
            <w:pPr>
              <w:spacing w:line="240" w:lineRule="auto"/>
              <w:jc w:val="center"/>
            </w:pPr>
          </w:p>
          <w:p w14:paraId="260F7F33" w14:textId="77777777" w:rsidR="00C46A5F" w:rsidRPr="00646813" w:rsidRDefault="00C46A5F">
            <w:pPr>
              <w:spacing w:line="240" w:lineRule="auto"/>
            </w:pPr>
            <w:r w:rsidRPr="00646813">
              <w:t xml:space="preserve">Koolitus- ja </w:t>
            </w:r>
            <w:proofErr w:type="spellStart"/>
            <w:r w:rsidRPr="00646813">
              <w:t>arendus-tegevuste</w:t>
            </w:r>
            <w:proofErr w:type="spellEnd"/>
            <w:r w:rsidRPr="00646813">
              <w:t xml:space="preserve"> programm vabaühendustele</w:t>
            </w:r>
          </w:p>
        </w:tc>
        <w:tc>
          <w:tcPr>
            <w:tcW w:w="992" w:type="dxa"/>
            <w:vMerge w:val="restart"/>
          </w:tcPr>
          <w:p w14:paraId="3B8F95AE" w14:textId="77777777" w:rsidR="00C46A5F" w:rsidRPr="00646813" w:rsidRDefault="00C46A5F">
            <w:pPr>
              <w:spacing w:line="240" w:lineRule="auto"/>
              <w:jc w:val="center"/>
            </w:pPr>
            <w:r w:rsidRPr="00646813">
              <w:t>0</w:t>
            </w:r>
          </w:p>
        </w:tc>
        <w:tc>
          <w:tcPr>
            <w:tcW w:w="993" w:type="dxa"/>
            <w:vMerge w:val="restart"/>
          </w:tcPr>
          <w:p w14:paraId="0E6DF900" w14:textId="77777777" w:rsidR="00C46A5F" w:rsidRPr="00646813" w:rsidRDefault="00C46A5F">
            <w:pPr>
              <w:spacing w:line="240" w:lineRule="auto"/>
              <w:jc w:val="center"/>
            </w:pPr>
            <w:r w:rsidRPr="00646813">
              <w:t>1</w:t>
            </w:r>
          </w:p>
        </w:tc>
        <w:tc>
          <w:tcPr>
            <w:tcW w:w="1842" w:type="dxa"/>
          </w:tcPr>
          <w:p w14:paraId="2BF61EBD" w14:textId="3E16470D" w:rsidR="00C46A5F" w:rsidRPr="00646813" w:rsidRDefault="00C46A5F">
            <w:pPr>
              <w:spacing w:line="240" w:lineRule="auto"/>
              <w:rPr>
                <w:color w:val="1F497D"/>
              </w:rPr>
            </w:pPr>
            <w:proofErr w:type="spellStart"/>
            <w:r w:rsidRPr="00646813">
              <w:t>Häkatonid</w:t>
            </w:r>
            <w:proofErr w:type="spellEnd"/>
          </w:p>
        </w:tc>
        <w:tc>
          <w:tcPr>
            <w:tcW w:w="1560" w:type="dxa"/>
          </w:tcPr>
          <w:p w14:paraId="1C05F2CF" w14:textId="74798F09" w:rsidR="00C46A5F" w:rsidRPr="00646813" w:rsidRDefault="00075E6E" w:rsidP="68482FDB">
            <w:pPr>
              <w:spacing w:line="240" w:lineRule="auto"/>
            </w:pPr>
            <w:r w:rsidRPr="00646813">
              <w:t>5</w:t>
            </w:r>
          </w:p>
        </w:tc>
        <w:tc>
          <w:tcPr>
            <w:tcW w:w="2409" w:type="dxa"/>
          </w:tcPr>
          <w:p w14:paraId="2B40A0E1" w14:textId="6079B43F" w:rsidR="00C46A5F" w:rsidRPr="00646813" w:rsidRDefault="00354875" w:rsidP="68482FDB">
            <w:pPr>
              <w:spacing w:line="240" w:lineRule="auto"/>
            </w:pPr>
            <w:r w:rsidRPr="00646813">
              <w:t xml:space="preserve">Korraldatakse teenusepakkuja poolt </w:t>
            </w:r>
            <w:proofErr w:type="spellStart"/>
            <w:r w:rsidR="003349AF" w:rsidRPr="00646813">
              <w:t>häkatonid</w:t>
            </w:r>
            <w:proofErr w:type="spellEnd"/>
            <w:r w:rsidR="003349AF" w:rsidRPr="00646813">
              <w:t xml:space="preserve">, milles osalevad erinevatest </w:t>
            </w:r>
            <w:proofErr w:type="spellStart"/>
            <w:r w:rsidR="003349AF" w:rsidRPr="00646813">
              <w:t>KOVidest</w:t>
            </w:r>
            <w:proofErr w:type="spellEnd"/>
            <w:r w:rsidR="003349AF" w:rsidRPr="00646813">
              <w:t xml:space="preserve"> vabaühenduste esindajad ja noored. Koos arendatakse ideest lahendus. </w:t>
            </w:r>
            <w:proofErr w:type="spellStart"/>
            <w:r w:rsidR="003349AF" w:rsidRPr="00646813">
              <w:t>Häkatoni</w:t>
            </w:r>
            <w:proofErr w:type="spellEnd"/>
            <w:r w:rsidR="003349AF" w:rsidRPr="00646813">
              <w:t xml:space="preserve"> raames tutvustatakse VABAK tööriistu ja </w:t>
            </w:r>
            <w:r w:rsidR="00377362" w:rsidRPr="00646813">
              <w:t>arendatakse osapoolte võrgustikku.</w:t>
            </w:r>
          </w:p>
        </w:tc>
      </w:tr>
      <w:tr w:rsidR="00A763AE" w:rsidRPr="00646813" w14:paraId="36C9B988" w14:textId="77777777" w:rsidTr="3C7F867A">
        <w:trPr>
          <w:trHeight w:val="1253"/>
        </w:trPr>
        <w:tc>
          <w:tcPr>
            <w:tcW w:w="1305" w:type="dxa"/>
            <w:vMerge/>
          </w:tcPr>
          <w:p w14:paraId="23530079" w14:textId="77777777" w:rsidR="00A763AE" w:rsidRPr="00646813" w:rsidRDefault="00A763AE">
            <w:pPr>
              <w:pBdr>
                <w:top w:val="nil"/>
                <w:left w:val="nil"/>
                <w:bottom w:val="nil"/>
                <w:right w:val="nil"/>
                <w:between w:val="nil"/>
              </w:pBdr>
              <w:spacing w:line="240" w:lineRule="auto"/>
              <w:jc w:val="left"/>
            </w:pPr>
          </w:p>
        </w:tc>
        <w:tc>
          <w:tcPr>
            <w:tcW w:w="992" w:type="dxa"/>
            <w:vMerge/>
          </w:tcPr>
          <w:p w14:paraId="4245D67B" w14:textId="77777777" w:rsidR="00A763AE" w:rsidRPr="00646813" w:rsidRDefault="00A763AE">
            <w:pPr>
              <w:pBdr>
                <w:top w:val="nil"/>
                <w:left w:val="nil"/>
                <w:bottom w:val="nil"/>
                <w:right w:val="nil"/>
                <w:between w:val="nil"/>
              </w:pBdr>
              <w:spacing w:line="240" w:lineRule="auto"/>
              <w:jc w:val="left"/>
            </w:pPr>
          </w:p>
        </w:tc>
        <w:tc>
          <w:tcPr>
            <w:tcW w:w="993" w:type="dxa"/>
            <w:vMerge/>
          </w:tcPr>
          <w:p w14:paraId="0C421330" w14:textId="77777777" w:rsidR="00A763AE" w:rsidRPr="00646813" w:rsidRDefault="00A763AE">
            <w:pPr>
              <w:pBdr>
                <w:top w:val="nil"/>
                <w:left w:val="nil"/>
                <w:bottom w:val="nil"/>
                <w:right w:val="nil"/>
                <w:between w:val="nil"/>
              </w:pBdr>
              <w:spacing w:line="240" w:lineRule="auto"/>
              <w:jc w:val="left"/>
            </w:pPr>
          </w:p>
        </w:tc>
        <w:tc>
          <w:tcPr>
            <w:tcW w:w="1842" w:type="dxa"/>
          </w:tcPr>
          <w:p w14:paraId="5DE6DE7E" w14:textId="5ABF66BD" w:rsidR="00A763AE" w:rsidRPr="00646813" w:rsidRDefault="00A763AE">
            <w:pPr>
              <w:spacing w:line="240" w:lineRule="auto"/>
            </w:pPr>
            <w:r w:rsidRPr="00646813">
              <w:t>Kogukonnapraktika platvormi arendus</w:t>
            </w:r>
            <w:r w:rsidR="00AA3FA1" w:rsidRPr="00646813">
              <w:t xml:space="preserve"> esmaversi</w:t>
            </w:r>
            <w:r w:rsidR="00B7448C" w:rsidRPr="00646813">
              <w:t>ooni teenusepakkuja leidmine</w:t>
            </w:r>
          </w:p>
        </w:tc>
        <w:tc>
          <w:tcPr>
            <w:tcW w:w="1560" w:type="dxa"/>
          </w:tcPr>
          <w:p w14:paraId="7CF2819A" w14:textId="52C1C979" w:rsidR="00A763AE" w:rsidRPr="00646813" w:rsidRDefault="00A763AE">
            <w:pPr>
              <w:spacing w:line="240" w:lineRule="auto"/>
            </w:pPr>
            <w:r w:rsidRPr="00646813">
              <w:t>1</w:t>
            </w:r>
          </w:p>
        </w:tc>
        <w:tc>
          <w:tcPr>
            <w:tcW w:w="2409" w:type="dxa"/>
          </w:tcPr>
          <w:p w14:paraId="3B5B351E" w14:textId="58E62AA0" w:rsidR="00C47E51" w:rsidRPr="00646813" w:rsidRDefault="00B7448C" w:rsidP="00C47E51">
            <w:pPr>
              <w:spacing w:line="240" w:lineRule="auto"/>
              <w:jc w:val="left"/>
            </w:pPr>
            <w:r w:rsidRPr="00646813">
              <w:t xml:space="preserve">Teenusepakkuja, kes </w:t>
            </w:r>
            <w:r w:rsidRPr="00646813">
              <w:br/>
            </w:r>
            <w:proofErr w:type="spellStart"/>
            <w:r w:rsidRPr="00646813">
              <w:t>v</w:t>
            </w:r>
            <w:r w:rsidR="00F30741" w:rsidRPr="00646813">
              <w:t>atavalt</w:t>
            </w:r>
            <w:proofErr w:type="spellEnd"/>
            <w:r w:rsidR="00F30741" w:rsidRPr="00646813">
              <w:t xml:space="preserve"> kirjeldusele </w:t>
            </w:r>
            <w:r w:rsidRPr="00646813">
              <w:t>viib ellu</w:t>
            </w:r>
            <w:r w:rsidR="00F30741" w:rsidRPr="00646813">
              <w:t xml:space="preserve"> kogukonnapraktika lahenduse täiustami</w:t>
            </w:r>
            <w:r w:rsidRPr="00646813">
              <w:t>se</w:t>
            </w:r>
            <w:r w:rsidR="00F30741" w:rsidRPr="00646813">
              <w:t xml:space="preserve"> ja platvormi uuendus</w:t>
            </w:r>
            <w:r w:rsidR="00AD1BEA" w:rsidRPr="00646813">
              <w:t>ed</w:t>
            </w:r>
            <w:r w:rsidR="00F30741" w:rsidRPr="00646813">
              <w:t xml:space="preserve"> lisavõimalustega, mis on tegevuskavas kirjeldatud</w:t>
            </w:r>
            <w:r w:rsidR="00C47E51" w:rsidRPr="00646813">
              <w:t>:</w:t>
            </w:r>
            <w:r w:rsidR="00C47E51" w:rsidRPr="00646813">
              <w:br/>
            </w:r>
            <w:r w:rsidR="00AA3FA1" w:rsidRPr="00646813">
              <w:t>*</w:t>
            </w:r>
            <w:r w:rsidR="00C47E51" w:rsidRPr="00646813">
              <w:rPr>
                <w:bCs/>
              </w:rPr>
              <w:t>VÜ kalender „Kutsu mind kooli“</w:t>
            </w:r>
            <w:r w:rsidR="00C47E51" w:rsidRPr="00646813">
              <w:t>, mille kaudu vabaühenduste esindajad saavad end pakkuda koolidesse esinema;</w:t>
            </w:r>
          </w:p>
          <w:p w14:paraId="351197CA" w14:textId="48166C61" w:rsidR="00C47E51" w:rsidRPr="00C47E51" w:rsidRDefault="00AA3FA1" w:rsidP="00C47E51">
            <w:pPr>
              <w:spacing w:line="240" w:lineRule="auto"/>
              <w:jc w:val="left"/>
            </w:pPr>
            <w:r w:rsidRPr="00646813">
              <w:t>*</w:t>
            </w:r>
            <w:r w:rsidR="00C47E51" w:rsidRPr="00C47E51">
              <w:rPr>
                <w:b/>
                <w:bCs/>
              </w:rPr>
              <w:t>E-tundide keskkond</w:t>
            </w:r>
            <w:r w:rsidR="00C47E51" w:rsidRPr="00C47E51">
              <w:t xml:space="preserve"> kogukonnapraktika tutvustamiseks (5 videot juhendajatele ja noortele);</w:t>
            </w:r>
          </w:p>
          <w:p w14:paraId="7EF8FCB1" w14:textId="0516141E" w:rsidR="00C47E51" w:rsidRPr="00C47E51" w:rsidRDefault="00AA3FA1" w:rsidP="00C47E51">
            <w:pPr>
              <w:spacing w:line="240" w:lineRule="auto"/>
              <w:jc w:val="left"/>
            </w:pPr>
            <w:r w:rsidRPr="00646813">
              <w:t>*</w:t>
            </w:r>
            <w:r w:rsidR="00C47E51" w:rsidRPr="00C47E51">
              <w:rPr>
                <w:b/>
                <w:bCs/>
              </w:rPr>
              <w:t xml:space="preserve">Vabaühenduste </w:t>
            </w:r>
            <w:proofErr w:type="spellStart"/>
            <w:r w:rsidR="00C47E51" w:rsidRPr="00C47E51">
              <w:rPr>
                <w:b/>
                <w:bCs/>
              </w:rPr>
              <w:t>interface</w:t>
            </w:r>
            <w:proofErr w:type="spellEnd"/>
            <w:r w:rsidR="00C47E51" w:rsidRPr="00C47E51">
              <w:t xml:space="preserve"> vabatahtlike kaasamiseks ja </w:t>
            </w:r>
            <w:r w:rsidR="00C47E51" w:rsidRPr="00C47E51">
              <w:lastRenderedPageBreak/>
              <w:t>tegevuste haldamiseks;</w:t>
            </w:r>
          </w:p>
          <w:p w14:paraId="31030A1D" w14:textId="23743746" w:rsidR="00C47E51" w:rsidRPr="00C47E51" w:rsidRDefault="00AA3FA1" w:rsidP="00C47E51">
            <w:pPr>
              <w:spacing w:line="240" w:lineRule="auto"/>
              <w:jc w:val="left"/>
              <w:rPr>
                <w:lang w:val="sv-SE"/>
              </w:rPr>
            </w:pPr>
            <w:r w:rsidRPr="00646813">
              <w:rPr>
                <w:lang w:val="sv-SE"/>
              </w:rPr>
              <w:t>*</w:t>
            </w:r>
            <w:r w:rsidR="00C47E51" w:rsidRPr="00C47E51">
              <w:rPr>
                <w:b/>
                <w:bCs/>
                <w:lang w:val="sv-SE"/>
              </w:rPr>
              <w:t>Koolide interface</w:t>
            </w:r>
            <w:r w:rsidR="00C47E51" w:rsidRPr="00C47E51">
              <w:rPr>
                <w:lang w:val="sv-SE"/>
              </w:rPr>
              <w:t>, mis võimaldab jälgida praktikaperioode ja koolide osalust;</w:t>
            </w:r>
          </w:p>
          <w:p w14:paraId="5CA7BF18" w14:textId="0DE16AAD" w:rsidR="00C47E51" w:rsidRPr="00C47E51" w:rsidRDefault="00AA3FA1" w:rsidP="00C47E51">
            <w:pPr>
              <w:spacing w:line="240" w:lineRule="auto"/>
              <w:jc w:val="left"/>
              <w:rPr>
                <w:lang w:val="sv-SE"/>
              </w:rPr>
            </w:pPr>
            <w:r w:rsidRPr="00646813">
              <w:rPr>
                <w:lang w:val="sv-SE"/>
              </w:rPr>
              <w:t>*</w:t>
            </w:r>
            <w:r w:rsidR="00C47E51" w:rsidRPr="00C47E51">
              <w:rPr>
                <w:b/>
                <w:bCs/>
                <w:lang w:val="sv-SE"/>
              </w:rPr>
              <w:t>Kuulutustetahvel</w:t>
            </w:r>
            <w:r w:rsidR="00C47E51" w:rsidRPr="00C47E51">
              <w:rPr>
                <w:lang w:val="sv-SE"/>
              </w:rPr>
              <w:t xml:space="preserve"> vabatahtlike ja vabaühenduste vaheliseks suhtluseks („otsin vabatahtlikku“ ja „otsin vabatahtliku töö võimalust“);</w:t>
            </w:r>
          </w:p>
          <w:p w14:paraId="2A5ADD47" w14:textId="1DA7ABC2" w:rsidR="00C47E51" w:rsidRPr="00C47E51" w:rsidRDefault="00AA3FA1" w:rsidP="00C47E51">
            <w:pPr>
              <w:spacing w:line="240" w:lineRule="auto"/>
              <w:jc w:val="left"/>
              <w:rPr>
                <w:lang w:val="sv-SE"/>
              </w:rPr>
            </w:pPr>
            <w:r w:rsidRPr="00646813">
              <w:rPr>
                <w:lang w:val="sv-SE"/>
              </w:rPr>
              <w:t>*</w:t>
            </w:r>
            <w:r w:rsidR="00C47E51" w:rsidRPr="00C47E51">
              <w:rPr>
                <w:b/>
                <w:bCs/>
                <w:lang w:val="sv-SE"/>
              </w:rPr>
              <w:t>Tunnistuse või tõendi moodul</w:t>
            </w:r>
            <w:r w:rsidR="00C47E51" w:rsidRPr="00C47E51">
              <w:rPr>
                <w:lang w:val="sv-SE"/>
              </w:rPr>
              <w:t>, mis võimaldab väljastada osalejatele ametliku kinnituse kogukonnapraktika läbimise kohta;</w:t>
            </w:r>
          </w:p>
          <w:p w14:paraId="7AE7B34C" w14:textId="1467C299" w:rsidR="00C47E51" w:rsidRPr="00C47E51" w:rsidRDefault="00AA3FA1" w:rsidP="00C47E51">
            <w:pPr>
              <w:spacing w:line="240" w:lineRule="auto"/>
              <w:jc w:val="left"/>
              <w:rPr>
                <w:lang w:val="sv-SE"/>
              </w:rPr>
            </w:pPr>
            <w:r w:rsidRPr="00646813">
              <w:rPr>
                <w:lang w:val="sv-SE"/>
              </w:rPr>
              <w:t>*</w:t>
            </w:r>
            <w:r w:rsidR="00C47E51" w:rsidRPr="00C47E51">
              <w:rPr>
                <w:b/>
                <w:bCs/>
                <w:lang w:val="sv-SE"/>
              </w:rPr>
              <w:t>VABAK tööriistakasti ala</w:t>
            </w:r>
            <w:r w:rsidR="00C47E51" w:rsidRPr="00C47E51">
              <w:rPr>
                <w:lang w:val="sv-SE"/>
              </w:rPr>
              <w:t>, mis sisaldab juhendmaterjale ja häid praktikaid vabatahtlike kaasamiseks.</w:t>
            </w:r>
          </w:p>
          <w:p w14:paraId="7E62FE7B" w14:textId="25D667E4" w:rsidR="00A763AE" w:rsidRPr="00646813" w:rsidRDefault="00A763AE">
            <w:pPr>
              <w:spacing w:line="240" w:lineRule="auto"/>
              <w:jc w:val="left"/>
            </w:pPr>
          </w:p>
        </w:tc>
      </w:tr>
      <w:tr w:rsidR="00AD1BEA" w:rsidRPr="00646813" w14:paraId="00AC9DB0" w14:textId="77777777" w:rsidTr="3C7F867A">
        <w:trPr>
          <w:trHeight w:val="1253"/>
        </w:trPr>
        <w:tc>
          <w:tcPr>
            <w:tcW w:w="1305" w:type="dxa"/>
            <w:vMerge/>
          </w:tcPr>
          <w:p w14:paraId="42374A59" w14:textId="77777777" w:rsidR="00AD1BEA" w:rsidRPr="00646813" w:rsidRDefault="00AD1BEA">
            <w:pPr>
              <w:pBdr>
                <w:top w:val="nil"/>
                <w:left w:val="nil"/>
                <w:bottom w:val="nil"/>
                <w:right w:val="nil"/>
                <w:between w:val="nil"/>
              </w:pBdr>
              <w:spacing w:line="240" w:lineRule="auto"/>
              <w:jc w:val="left"/>
            </w:pPr>
          </w:p>
        </w:tc>
        <w:tc>
          <w:tcPr>
            <w:tcW w:w="992" w:type="dxa"/>
            <w:vMerge/>
          </w:tcPr>
          <w:p w14:paraId="5E2C0AE7" w14:textId="77777777" w:rsidR="00AD1BEA" w:rsidRPr="00646813" w:rsidRDefault="00AD1BEA">
            <w:pPr>
              <w:pBdr>
                <w:top w:val="nil"/>
                <w:left w:val="nil"/>
                <w:bottom w:val="nil"/>
                <w:right w:val="nil"/>
                <w:between w:val="nil"/>
              </w:pBdr>
              <w:spacing w:line="240" w:lineRule="auto"/>
              <w:jc w:val="left"/>
            </w:pPr>
          </w:p>
        </w:tc>
        <w:tc>
          <w:tcPr>
            <w:tcW w:w="993" w:type="dxa"/>
            <w:vMerge/>
          </w:tcPr>
          <w:p w14:paraId="5AAB2033" w14:textId="77777777" w:rsidR="00AD1BEA" w:rsidRPr="00646813" w:rsidRDefault="00AD1BEA">
            <w:pPr>
              <w:pBdr>
                <w:top w:val="nil"/>
                <w:left w:val="nil"/>
                <w:bottom w:val="nil"/>
                <w:right w:val="nil"/>
                <w:between w:val="nil"/>
              </w:pBdr>
              <w:spacing w:line="240" w:lineRule="auto"/>
              <w:jc w:val="left"/>
            </w:pPr>
          </w:p>
        </w:tc>
        <w:tc>
          <w:tcPr>
            <w:tcW w:w="1842" w:type="dxa"/>
          </w:tcPr>
          <w:p w14:paraId="71FF2E06" w14:textId="3DCE1B4B" w:rsidR="00AD1BEA" w:rsidRPr="00646813" w:rsidRDefault="00AD1BEA">
            <w:pPr>
              <w:spacing w:line="240" w:lineRule="auto"/>
            </w:pPr>
            <w:r w:rsidRPr="00646813">
              <w:t xml:space="preserve">Kogukonnapraktika sädeinimeste </w:t>
            </w:r>
            <w:r w:rsidR="005B3AEB" w:rsidRPr="00646813">
              <w:t>leidmine igasse maakonda</w:t>
            </w:r>
          </w:p>
        </w:tc>
        <w:tc>
          <w:tcPr>
            <w:tcW w:w="1560" w:type="dxa"/>
          </w:tcPr>
          <w:p w14:paraId="659592CA" w14:textId="5B7591BE" w:rsidR="00AD1BEA" w:rsidRPr="00646813" w:rsidRDefault="005B3AEB">
            <w:pPr>
              <w:spacing w:line="240" w:lineRule="auto"/>
            </w:pPr>
            <w:r w:rsidRPr="00646813">
              <w:t>15</w:t>
            </w:r>
          </w:p>
        </w:tc>
        <w:tc>
          <w:tcPr>
            <w:tcW w:w="2409" w:type="dxa"/>
          </w:tcPr>
          <w:p w14:paraId="362D3DE7" w14:textId="15EEA44A" w:rsidR="00AD1BEA" w:rsidRPr="00646813" w:rsidRDefault="005B3AEB">
            <w:pPr>
              <w:spacing w:line="240" w:lineRule="auto"/>
              <w:jc w:val="left"/>
            </w:pPr>
            <w:r w:rsidRPr="00646813">
              <w:t>Sädeinimeste arv</w:t>
            </w:r>
            <w:r w:rsidR="004D1476" w:rsidRPr="00646813">
              <w:t xml:space="preserve"> Eestis</w:t>
            </w:r>
            <w:r w:rsidRPr="00646813">
              <w:t xml:space="preserve">, kes toetavad kogukonnapraktika eestvedaja tööd, on </w:t>
            </w:r>
            <w:r w:rsidR="009A7957" w:rsidRPr="00646813">
              <w:t xml:space="preserve">kõigile osapooltele info vahendajaks. </w:t>
            </w:r>
          </w:p>
        </w:tc>
      </w:tr>
      <w:tr w:rsidR="00C46A5F" w:rsidRPr="00646813" w14:paraId="63628013" w14:textId="77777777" w:rsidTr="3C7F867A">
        <w:trPr>
          <w:trHeight w:val="1253"/>
        </w:trPr>
        <w:tc>
          <w:tcPr>
            <w:tcW w:w="1305" w:type="dxa"/>
            <w:vMerge/>
          </w:tcPr>
          <w:p w14:paraId="6D271254" w14:textId="77777777" w:rsidR="00C46A5F" w:rsidRPr="00646813" w:rsidRDefault="00C46A5F">
            <w:pPr>
              <w:pBdr>
                <w:top w:val="nil"/>
                <w:left w:val="nil"/>
                <w:bottom w:val="nil"/>
                <w:right w:val="nil"/>
                <w:between w:val="nil"/>
              </w:pBdr>
              <w:spacing w:line="240" w:lineRule="auto"/>
              <w:jc w:val="left"/>
            </w:pPr>
          </w:p>
        </w:tc>
        <w:tc>
          <w:tcPr>
            <w:tcW w:w="992" w:type="dxa"/>
            <w:vMerge/>
          </w:tcPr>
          <w:p w14:paraId="0EF70C1E" w14:textId="77777777" w:rsidR="00C46A5F" w:rsidRPr="00646813" w:rsidRDefault="00C46A5F">
            <w:pPr>
              <w:pBdr>
                <w:top w:val="nil"/>
                <w:left w:val="nil"/>
                <w:bottom w:val="nil"/>
                <w:right w:val="nil"/>
                <w:between w:val="nil"/>
              </w:pBdr>
              <w:spacing w:line="240" w:lineRule="auto"/>
              <w:jc w:val="left"/>
            </w:pPr>
          </w:p>
        </w:tc>
        <w:tc>
          <w:tcPr>
            <w:tcW w:w="993" w:type="dxa"/>
            <w:vMerge/>
          </w:tcPr>
          <w:p w14:paraId="36988815" w14:textId="77777777" w:rsidR="00C46A5F" w:rsidRPr="00646813" w:rsidRDefault="00C46A5F">
            <w:pPr>
              <w:pBdr>
                <w:top w:val="nil"/>
                <w:left w:val="nil"/>
                <w:bottom w:val="nil"/>
                <w:right w:val="nil"/>
                <w:between w:val="nil"/>
              </w:pBdr>
              <w:spacing w:line="240" w:lineRule="auto"/>
              <w:jc w:val="left"/>
            </w:pPr>
          </w:p>
        </w:tc>
        <w:tc>
          <w:tcPr>
            <w:tcW w:w="1842" w:type="dxa"/>
          </w:tcPr>
          <w:p w14:paraId="14A9556A" w14:textId="29E801B3" w:rsidR="00C46A5F" w:rsidRPr="00646813" w:rsidRDefault="008A5ADD">
            <w:pPr>
              <w:spacing w:line="240" w:lineRule="auto"/>
            </w:pPr>
            <w:r w:rsidRPr="00646813">
              <w:t>Kogukonnapraktika poolt korraldatud vabakonna festival koolides</w:t>
            </w:r>
          </w:p>
        </w:tc>
        <w:tc>
          <w:tcPr>
            <w:tcW w:w="1560" w:type="dxa"/>
          </w:tcPr>
          <w:p w14:paraId="3F3E776F" w14:textId="704AFF8A" w:rsidR="00C46A5F" w:rsidRPr="00646813" w:rsidRDefault="005715CC">
            <w:pPr>
              <w:spacing w:line="240" w:lineRule="auto"/>
            </w:pPr>
            <w:r w:rsidRPr="00646813">
              <w:t>4</w:t>
            </w:r>
          </w:p>
        </w:tc>
        <w:tc>
          <w:tcPr>
            <w:tcW w:w="2409" w:type="dxa"/>
          </w:tcPr>
          <w:p w14:paraId="5A78B271" w14:textId="7EDAB05E" w:rsidR="00C46A5F" w:rsidRPr="00646813" w:rsidRDefault="005715CC">
            <w:pPr>
              <w:spacing w:line="240" w:lineRule="auto"/>
              <w:jc w:val="left"/>
            </w:pPr>
            <w:r w:rsidRPr="00646813">
              <w:t xml:space="preserve">Koolides toimuv kogukonnapraktika platvormi tutvustavad sündmused, mille raames tuuakse vabaühendused koolidesse. Toimub </w:t>
            </w:r>
            <w:r w:rsidR="00354875" w:rsidRPr="00646813">
              <w:t>osapoolte kokku viimine.</w:t>
            </w:r>
          </w:p>
        </w:tc>
      </w:tr>
      <w:tr w:rsidR="00C46A5F" w:rsidRPr="00646813" w14:paraId="733ED8A6" w14:textId="77777777" w:rsidTr="3C7F867A">
        <w:trPr>
          <w:trHeight w:val="305"/>
        </w:trPr>
        <w:tc>
          <w:tcPr>
            <w:tcW w:w="1305" w:type="dxa"/>
            <w:vMerge/>
          </w:tcPr>
          <w:p w14:paraId="54D84FBD" w14:textId="77777777" w:rsidR="00C46A5F" w:rsidRPr="00646813" w:rsidRDefault="00C46A5F">
            <w:pPr>
              <w:pBdr>
                <w:top w:val="nil"/>
                <w:left w:val="nil"/>
                <w:bottom w:val="nil"/>
                <w:right w:val="nil"/>
                <w:between w:val="nil"/>
              </w:pBdr>
              <w:spacing w:line="240" w:lineRule="auto"/>
              <w:jc w:val="left"/>
            </w:pPr>
          </w:p>
        </w:tc>
        <w:tc>
          <w:tcPr>
            <w:tcW w:w="992" w:type="dxa"/>
            <w:vMerge/>
          </w:tcPr>
          <w:p w14:paraId="0977E2A6" w14:textId="77777777" w:rsidR="00C46A5F" w:rsidRPr="00646813" w:rsidRDefault="00C46A5F">
            <w:pPr>
              <w:pBdr>
                <w:top w:val="nil"/>
                <w:left w:val="nil"/>
                <w:bottom w:val="nil"/>
                <w:right w:val="nil"/>
                <w:between w:val="nil"/>
              </w:pBdr>
              <w:spacing w:line="240" w:lineRule="auto"/>
              <w:jc w:val="left"/>
            </w:pPr>
          </w:p>
        </w:tc>
        <w:tc>
          <w:tcPr>
            <w:tcW w:w="993" w:type="dxa"/>
            <w:vMerge/>
          </w:tcPr>
          <w:p w14:paraId="573EBDBD" w14:textId="77777777" w:rsidR="00C46A5F" w:rsidRPr="00646813" w:rsidRDefault="00C46A5F">
            <w:pPr>
              <w:pBdr>
                <w:top w:val="nil"/>
                <w:left w:val="nil"/>
                <w:bottom w:val="nil"/>
                <w:right w:val="nil"/>
                <w:between w:val="nil"/>
              </w:pBdr>
              <w:spacing w:line="240" w:lineRule="auto"/>
              <w:jc w:val="left"/>
            </w:pPr>
          </w:p>
        </w:tc>
        <w:tc>
          <w:tcPr>
            <w:tcW w:w="1842" w:type="dxa"/>
          </w:tcPr>
          <w:p w14:paraId="1D01E7C9" w14:textId="2E33D0E0" w:rsidR="00C46A5F" w:rsidRPr="00646813" w:rsidRDefault="00377362" w:rsidP="3C7F867A">
            <w:pPr>
              <w:spacing w:line="240" w:lineRule="auto"/>
            </w:pPr>
            <w:r w:rsidRPr="00646813">
              <w:t xml:space="preserve">VABAK platvormi </w:t>
            </w:r>
            <w:r w:rsidR="00232534" w:rsidRPr="00646813">
              <w:t>esmaversioon</w:t>
            </w:r>
          </w:p>
        </w:tc>
        <w:tc>
          <w:tcPr>
            <w:tcW w:w="1560" w:type="dxa"/>
          </w:tcPr>
          <w:p w14:paraId="6D25C19D" w14:textId="14E0DD9F" w:rsidR="00C46A5F" w:rsidRPr="00646813" w:rsidRDefault="00232534" w:rsidP="3C7F867A">
            <w:pPr>
              <w:spacing w:line="240" w:lineRule="auto"/>
            </w:pPr>
            <w:r w:rsidRPr="00646813">
              <w:t>1</w:t>
            </w:r>
          </w:p>
        </w:tc>
        <w:tc>
          <w:tcPr>
            <w:tcW w:w="2409" w:type="dxa"/>
          </w:tcPr>
          <w:p w14:paraId="5C819BB2" w14:textId="0334807F" w:rsidR="00C46A5F" w:rsidRPr="00646813" w:rsidRDefault="00232534" w:rsidP="68482FDB">
            <w:pPr>
              <w:spacing w:line="240" w:lineRule="auto"/>
            </w:pPr>
            <w:r w:rsidRPr="00646813">
              <w:t xml:space="preserve">Avalikuks saab esialgne versioon tööriistakastist, mida hakatakse tutvustama ja </w:t>
            </w:r>
            <w:r w:rsidR="00A763AE" w:rsidRPr="00646813">
              <w:t>läbi testimiste täiendatakse.</w:t>
            </w:r>
          </w:p>
        </w:tc>
      </w:tr>
    </w:tbl>
    <w:p w14:paraId="4D0A421A" w14:textId="77777777" w:rsidR="00D65CBF" w:rsidRPr="00646813" w:rsidRDefault="00D65CBF">
      <w:pPr>
        <w:spacing w:line="240" w:lineRule="auto"/>
        <w:ind w:left="720"/>
      </w:pPr>
    </w:p>
    <w:p w14:paraId="1D96CB92" w14:textId="67071D78" w:rsidR="00D65CBF" w:rsidRPr="00646813" w:rsidRDefault="76D786FD" w:rsidP="00BB1F2B">
      <w:pPr>
        <w:pStyle w:val="Heading2"/>
        <w:keepLines w:val="0"/>
        <w:widowControl/>
        <w:numPr>
          <w:ilvl w:val="2"/>
          <w:numId w:val="23"/>
        </w:numPr>
        <w:tabs>
          <w:tab w:val="left" w:pos="426"/>
        </w:tabs>
        <w:spacing w:before="240" w:after="60" w:line="240" w:lineRule="auto"/>
        <w:rPr>
          <w:b/>
          <w:bCs/>
          <w:color w:val="000000"/>
          <w:sz w:val="24"/>
          <w:szCs w:val="24"/>
        </w:rPr>
      </w:pPr>
      <w:r w:rsidRPr="00646813">
        <w:rPr>
          <w:b/>
          <w:bCs/>
          <w:color w:val="000000" w:themeColor="text1"/>
          <w:sz w:val="24"/>
          <w:szCs w:val="24"/>
        </w:rPr>
        <w:lastRenderedPageBreak/>
        <w:t>Alategevus: Noortele suunatud teadlikkust tõstvate kohtumiste ja sündmuste korraldamine</w:t>
      </w:r>
    </w:p>
    <w:p w14:paraId="3D0C57A3" w14:textId="77777777" w:rsidR="00D65CBF" w:rsidRPr="00646813" w:rsidRDefault="00D65CBF">
      <w:pPr>
        <w:spacing w:line="240" w:lineRule="auto"/>
      </w:pPr>
    </w:p>
    <w:p w14:paraId="1D8AD984" w14:textId="5450116E" w:rsidR="00D65CBF" w:rsidRPr="00646813" w:rsidRDefault="6EAC8B13">
      <w:pPr>
        <w:spacing w:line="240" w:lineRule="auto"/>
      </w:pPr>
      <w:r w:rsidRPr="00646813">
        <w:t xml:space="preserve">Jätkatakse noortele suunatud teadlikkust tõstvate kohtumiste ja sündmuste korraldamist. </w:t>
      </w:r>
      <w:r w:rsidR="76D786FD" w:rsidRPr="00646813">
        <w:t xml:space="preserve">Kaardistatakse </w:t>
      </w:r>
      <w:r w:rsidRPr="00646813">
        <w:t>202</w:t>
      </w:r>
      <w:r w:rsidR="00BB1F2B" w:rsidRPr="00646813">
        <w:t>6</w:t>
      </w:r>
      <w:r w:rsidRPr="00646813">
        <w:t xml:space="preserve">. aasta </w:t>
      </w:r>
      <w:r w:rsidR="76D786FD" w:rsidRPr="00646813">
        <w:t xml:space="preserve">üle-eestiliselt ja maakondlikult noortele </w:t>
      </w:r>
      <w:r w:rsidR="4EA17172" w:rsidRPr="00646813">
        <w:t xml:space="preserve">korraldatavad </w:t>
      </w:r>
      <w:r w:rsidR="76D786FD" w:rsidRPr="00646813">
        <w:t>kaasamisteemalised sekkumised. Kaardistuse alusel alustatakse tegevus- ja ajakava koostamist noorte kodanikuühiskonna alase teadlikkuse edendamiseks, mis on seostatud teiste üle-eestiliste algatuste plaanidega. Esmase kaardistusega alustatakse 202</w:t>
      </w:r>
      <w:r w:rsidR="00EC39A8" w:rsidRPr="00646813">
        <w:t>5</w:t>
      </w:r>
      <w:r w:rsidR="76D786FD" w:rsidRPr="00646813">
        <w:t xml:space="preserve">. aasta </w:t>
      </w:r>
      <w:r w:rsidR="00EC39A8" w:rsidRPr="00646813">
        <w:t>lõpus</w:t>
      </w:r>
      <w:r w:rsidR="76D786FD" w:rsidRPr="00646813">
        <w:t xml:space="preserve">, mil sõlmitakse esmased kokkulepped koostöö osas. </w:t>
      </w:r>
    </w:p>
    <w:p w14:paraId="72C75380" w14:textId="77777777" w:rsidR="00D65CBF" w:rsidRPr="00646813" w:rsidRDefault="00D65CBF">
      <w:pPr>
        <w:spacing w:line="240" w:lineRule="auto"/>
      </w:pPr>
    </w:p>
    <w:p w14:paraId="23A3E03C" w14:textId="069FC60E" w:rsidR="00EA0B93" w:rsidRPr="005C643D" w:rsidRDefault="6EAC8B13" w:rsidP="00E659AF">
      <w:pPr>
        <w:spacing w:line="240" w:lineRule="auto"/>
      </w:pPr>
      <w:r w:rsidRPr="00646813">
        <w:t xml:space="preserve">Jätkatakse noortele </w:t>
      </w:r>
      <w:r w:rsidR="76D786FD" w:rsidRPr="00646813">
        <w:t>kohtumis</w:t>
      </w:r>
      <w:r w:rsidRPr="00646813">
        <w:t>te</w:t>
      </w:r>
      <w:r w:rsidR="76D786FD" w:rsidRPr="00646813">
        <w:t>, sündmus</w:t>
      </w:r>
      <w:r w:rsidRPr="00646813">
        <w:t>te</w:t>
      </w:r>
      <w:r w:rsidR="76D786FD" w:rsidRPr="00646813">
        <w:t xml:space="preserve"> ja algatus</w:t>
      </w:r>
      <w:r w:rsidRPr="00646813">
        <w:t>te korraldamist</w:t>
      </w:r>
      <w:r w:rsidR="01A48741" w:rsidRPr="00646813">
        <w:t>,</w:t>
      </w:r>
      <w:r w:rsidR="76D786FD" w:rsidRPr="00646813">
        <w:t xml:space="preserve"> kuhu kaasatakse noortega tegelevaid organisatsioone, vabakonna esindajaid, ettevõtjaid</w:t>
      </w:r>
      <w:r w:rsidR="00EC39A8" w:rsidRPr="00646813">
        <w:t>, kohalikke omavalitsu</w:t>
      </w:r>
      <w:r w:rsidR="00AB66A1" w:rsidRPr="00646813">
        <w:t>si</w:t>
      </w:r>
      <w:r w:rsidR="76D786FD" w:rsidRPr="00646813">
        <w:t xml:space="preserve"> ja teisi sihtrühma esindajaid. Kohtumiste ja sündmuste eesmärk on tõsta laste ja noorte teadlikkust kodanikuühiskonna olemusest ja seal osalemise võimalustest. Noortele suunatud teadlikkust tõstvate kohtumiste ja sündmuste ettevalmistamise ning korraldamise eesmärgil suheldakse sihtrühmaga. Toimub teavitustegevus noortele kodanikuühiskonna ja kodanikuühiskonnas osalemise kohta.</w:t>
      </w:r>
      <w:r w:rsidRPr="00646813">
        <w:t xml:space="preserve"> Teavitustegevusteks on nii noorte kaasamisteemaliste sündmuste eel ja </w:t>
      </w:r>
      <w:proofErr w:type="spellStart"/>
      <w:r w:rsidRPr="00646813">
        <w:t>järelteavitused</w:t>
      </w:r>
      <w:proofErr w:type="spellEnd"/>
      <w:r w:rsidRPr="00646813">
        <w:t xml:space="preserve"> kui ka erinevad, üldisemad teavitusmaterjalid, mis annavad infot lastele ja noortele kodanikuühiskonnas osalemise kohta.</w:t>
      </w:r>
      <w:r w:rsidR="00F70D5C" w:rsidRPr="00646813">
        <w:t xml:space="preserve"> </w:t>
      </w:r>
      <w:r w:rsidR="00F70D5C" w:rsidRPr="00646813">
        <w:br/>
      </w:r>
      <w:r w:rsidR="00F70D5C" w:rsidRPr="005C643D">
        <w:br/>
      </w:r>
      <w:r w:rsidR="00E659AF" w:rsidRPr="005C643D">
        <w:t xml:space="preserve">Tallinn Music </w:t>
      </w:r>
      <w:proofErr w:type="spellStart"/>
      <w:r w:rsidR="00E659AF" w:rsidRPr="005C643D">
        <w:t>Weeki</w:t>
      </w:r>
      <w:proofErr w:type="spellEnd"/>
      <w:r w:rsidR="00E659AF" w:rsidRPr="005C643D">
        <w:t xml:space="preserve"> (TMW) vabatahtlike kaasamise praktika on tugev näide sellest, kuidas noorte osalus kultuurisündmustel võib kujuneda sisuliseks ühiskondliku vastutuse ja kodanikuteadlikkuse kogemuseks. Algatus toetab TAT 2.2.3.2 eesmärki – noortele suunatud teadlikkust tõstvate kohtumiste ja sündmuste korraldamist. TMW vabatahtlike </w:t>
      </w:r>
      <w:proofErr w:type="spellStart"/>
      <w:r w:rsidR="00E659AF" w:rsidRPr="005C643D">
        <w:t>noorteprogramm</w:t>
      </w:r>
      <w:proofErr w:type="spellEnd"/>
      <w:r w:rsidR="00E659AF" w:rsidRPr="005C643D">
        <w:t xml:space="preserve"> toob esile noorte vabatahtliku töö kui kaasaegse ja atraktiivse osalusvormi, mille kaudu on võimalik õppida, panustada ning luua ühiskondlikke sidemeid väljaspool formaalhariduse keskkonda.</w:t>
      </w:r>
      <w:r w:rsidR="00E659AF" w:rsidRPr="005C643D">
        <w:br/>
      </w:r>
    </w:p>
    <w:p w14:paraId="3E859E44" w14:textId="376AED54" w:rsidR="00BB71FC" w:rsidRPr="005C643D" w:rsidRDefault="004A21B8" w:rsidP="004A21B8">
      <w:pPr>
        <w:spacing w:line="240" w:lineRule="auto"/>
      </w:pPr>
      <w:r w:rsidRPr="005C643D">
        <w:t xml:space="preserve">TMW vabatahtlike </w:t>
      </w:r>
      <w:proofErr w:type="spellStart"/>
      <w:r w:rsidRPr="005C643D">
        <w:t>noorteprogrammi</w:t>
      </w:r>
      <w:proofErr w:type="spellEnd"/>
      <w:r w:rsidRPr="005C643D">
        <w:t xml:space="preserve"> kaasamismudel on oma olemuselt süsteemne, järgides TAT 2.2.3.1 põhimõtet – vabaühenduste kaasamis- ja osalemisoskuste tõstmist. Programmi ülesehitus hõlmab vabatahtlike ettevalmistamist, juhendamist ja </w:t>
      </w:r>
      <w:proofErr w:type="spellStart"/>
      <w:r w:rsidRPr="005C643D">
        <w:t>järeltoetust</w:t>
      </w:r>
      <w:proofErr w:type="spellEnd"/>
      <w:r w:rsidRPr="005C643D">
        <w:t xml:space="preserve">, pakkudes noortele kogemust, kus nad on ühtaegu õppijad ja </w:t>
      </w:r>
      <w:proofErr w:type="spellStart"/>
      <w:r w:rsidRPr="005C643D">
        <w:t>panustajad</w:t>
      </w:r>
      <w:proofErr w:type="spellEnd"/>
      <w:r w:rsidRPr="005C643D">
        <w:t xml:space="preserve">. See aitab tugevdada noorte suutlikkust tegutseda kodanikuühiskonnas ning loob struktuuri, mille kaudu nad mõistavad oma rolli laiemas ühiskondlikus kontekstis. Selline korralduslik raamistik toetab ka TAT 2.1.3.1.2 põhimõtet, mille kohaselt edendatakse noorte süsteemset kaasamist praktiliste tegevuste ja koostöövormide kaudu. Selle algatuse kaasamine projekti käesolevasse tegevussuunda aitab laiendada arusaama vabatahtlikust tööst kui ühiskondlikust õpikogemusest, mitte üksnes abistavast rollist. TMW kogemus toetab TAT 1.2.2 ja 1.2.3 </w:t>
      </w:r>
      <w:proofErr w:type="spellStart"/>
      <w:r w:rsidRPr="005C643D">
        <w:t>üldeesmärke</w:t>
      </w:r>
      <w:proofErr w:type="spellEnd"/>
      <w:r w:rsidRPr="005C643D">
        <w:t xml:space="preserve"> – arendada avaliku, era- ja kolmanda sektori partnerlust ning tõsta laste ja noorte teadlikkust ühiskonnas toimuva suhtes, kujundades oskust selles aktiivselt kaasa rääkida.</w:t>
      </w:r>
      <w:r w:rsidRPr="005C643D">
        <w:br/>
      </w:r>
      <w:r w:rsidRPr="005C643D">
        <w:br/>
      </w:r>
      <w:r w:rsidRPr="005C643D">
        <w:t xml:space="preserve">2026. aastal on projekti raames kavandatud vabatahtlike </w:t>
      </w:r>
      <w:proofErr w:type="spellStart"/>
      <w:r w:rsidRPr="005C643D">
        <w:t>noorteprogrammi</w:t>
      </w:r>
      <w:proofErr w:type="spellEnd"/>
      <w:r w:rsidRPr="005C643D">
        <w:t xml:space="preserve"> töö kogemuse dokumenteerimine, mis on kooskõlas TAT 8.2.12 ja 10.1 nõuetega koguda ja analüüsida toetatavate tegevuste mõju. See tegevus annab võimaluse täiendada VABAK tööriistakasti (vt </w:t>
      </w:r>
      <w:proofErr w:type="spellStart"/>
      <w:r w:rsidRPr="005C643D">
        <w:t>pt</w:t>
      </w:r>
      <w:proofErr w:type="spellEnd"/>
      <w:r w:rsidRPr="005C643D">
        <w:t xml:space="preserve"> 2.1.1) heade näidete panga tööriista, kuhu kogutakse ja süstematiseeritakse noorte osalemise edulugusid eri Eesti piirkondadest. Sellega toetatakse TAT Lisa 2 põhimõtteid võrdsete võimaluste ja regionaalse tasakaalu edendamisel. Dokumenteeritud kogemused aitavad tulevikus kujundada teistele vabaühendustele ja omavalitsustele praktilisi näiteid, kuidas noori kaasata sisuliselt ja mõtestatult.</w:t>
      </w:r>
      <w:r w:rsidRPr="005C643D">
        <w:br/>
      </w:r>
    </w:p>
    <w:p w14:paraId="63DB3854" w14:textId="389F07AB" w:rsidR="00D65CBF" w:rsidRPr="005C643D" w:rsidRDefault="001B6765" w:rsidP="001B6765">
      <w:pPr>
        <w:spacing w:line="240" w:lineRule="auto"/>
      </w:pPr>
      <w:r w:rsidRPr="005C643D">
        <w:t xml:space="preserve">Erinevalt varasematest aastatest osalevad seekordses vabatahtlike </w:t>
      </w:r>
      <w:proofErr w:type="spellStart"/>
      <w:r w:rsidRPr="005C643D">
        <w:t>noorteprogrammis</w:t>
      </w:r>
      <w:proofErr w:type="spellEnd"/>
      <w:r w:rsidRPr="005C643D">
        <w:t xml:space="preserve"> ka varasemate aastate osalejad ehk programmi vilistlased. Nende kaasamine meeskonda loob </w:t>
      </w:r>
      <w:r w:rsidRPr="005C643D">
        <w:lastRenderedPageBreak/>
        <w:t xml:space="preserve">väärtusliku õpiringi: vilistlased saavad oma kogemuste ja teadmiste põhjal toetada uusi osalejaid, jagada praktilisi nõuandeid ning aidata kujundada programmi sisu noorte endi vaatenurgast. Selline lähenemine tugevdab kogukondlikku järjepidevust ja suurendab programmi mõju, pakkudes noortele võimalust areneda nii õppija kui juhendaja rollis. Tallinn Music </w:t>
      </w:r>
      <w:proofErr w:type="spellStart"/>
      <w:r w:rsidRPr="005C643D">
        <w:t>Weeki</w:t>
      </w:r>
      <w:proofErr w:type="spellEnd"/>
      <w:r w:rsidRPr="005C643D">
        <w:t xml:space="preserve"> kaasamine käesolevasse tegevussuunda kinnitab, et noorte osalus ei pea piirduma traditsiooniliste noorsootöö vormidega – see võib toimuda ka loomingulises ja professionaalses keskkonnas, kus noor inimene on partner, mitte pelgalt abiline. Nii rakendatakse TAT 2.2.2.1 tulemuspõhimõtet – noorte teadlikkus kodanikuühiskonnast ja osalusvõimalustest on paranenud üle Eesti. Lisaks osaleb märkimisväärne osa noortest Tallinn Music </w:t>
      </w:r>
      <w:proofErr w:type="spellStart"/>
      <w:r w:rsidRPr="005C643D">
        <w:t>Weeki</w:t>
      </w:r>
      <w:proofErr w:type="spellEnd"/>
      <w:r w:rsidRPr="005C643D">
        <w:t xml:space="preserve"> vabatahtlike </w:t>
      </w:r>
      <w:proofErr w:type="spellStart"/>
      <w:r w:rsidRPr="005C643D">
        <w:t>noorte</w:t>
      </w:r>
      <w:r w:rsidRPr="005C643D">
        <w:t>programmis</w:t>
      </w:r>
      <w:proofErr w:type="spellEnd"/>
      <w:r w:rsidRPr="005C643D">
        <w:t xml:space="preserve"> läbi kogukonnapraktika, mis annab tegevusele täiendava lisaväärtuse – kogukonnapraktika saab sel moel dokumenteeritud ja kajastatud projekti raames kui osa heade näidete pangast</w:t>
      </w:r>
      <w:r w:rsidRPr="005C643D">
        <w:t xml:space="preserve">. Siduskoht on ka </w:t>
      </w:r>
      <w:r w:rsidR="00215716" w:rsidRPr="005C643D">
        <w:t xml:space="preserve">aspektil, et kogukonnapraktika on üks </w:t>
      </w:r>
      <w:proofErr w:type="spellStart"/>
      <w:r w:rsidR="005C643D" w:rsidRPr="005C643D">
        <w:t>VABAKi</w:t>
      </w:r>
      <w:proofErr w:type="spellEnd"/>
      <w:r w:rsidR="005C643D" w:rsidRPr="005C643D">
        <w:t xml:space="preserve"> tööriistu. </w:t>
      </w:r>
    </w:p>
    <w:p w14:paraId="44CD75EF" w14:textId="77777777" w:rsidR="00D65CBF" w:rsidRPr="00646813" w:rsidRDefault="00D65CBF">
      <w:pPr>
        <w:spacing w:line="240" w:lineRule="auto"/>
      </w:pPr>
    </w:p>
    <w:p w14:paraId="193222AD" w14:textId="77777777" w:rsidR="00D65CBF" w:rsidRPr="00646813" w:rsidRDefault="00250275">
      <w:pPr>
        <w:spacing w:line="240" w:lineRule="auto"/>
        <w:rPr>
          <w:b/>
        </w:rPr>
      </w:pPr>
      <w:r w:rsidRPr="00646813">
        <w:rPr>
          <w:b/>
        </w:rPr>
        <w:t>Tabel 3. Tegevustega seotud näitajad</w:t>
      </w:r>
    </w:p>
    <w:p w14:paraId="3368F9F3" w14:textId="77777777" w:rsidR="00D65CBF" w:rsidRPr="00646813" w:rsidRDefault="00D65CBF">
      <w:pPr>
        <w:spacing w:line="240" w:lineRule="auto"/>
        <w:rPr>
          <w:b/>
        </w:rPr>
      </w:pPr>
    </w:p>
    <w:tbl>
      <w:tblPr>
        <w:tblStyle w:val="a2"/>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648"/>
        <w:gridCol w:w="1754"/>
        <w:gridCol w:w="2409"/>
      </w:tblGrid>
      <w:tr w:rsidR="00D65CBF" w:rsidRPr="00646813" w14:paraId="4D4D482A" w14:textId="77777777" w:rsidTr="3C7F867A">
        <w:trPr>
          <w:trHeight w:val="670"/>
        </w:trPr>
        <w:tc>
          <w:tcPr>
            <w:tcW w:w="1305" w:type="dxa"/>
          </w:tcPr>
          <w:p w14:paraId="5D49B478" w14:textId="77777777" w:rsidR="00D65CBF" w:rsidRPr="00646813" w:rsidRDefault="00250275">
            <w:pPr>
              <w:spacing w:line="240" w:lineRule="auto"/>
              <w:rPr>
                <w:b/>
              </w:rPr>
            </w:pPr>
            <w:r w:rsidRPr="00646813">
              <w:rPr>
                <w:b/>
              </w:rPr>
              <w:t>Toetatava tegevuse näitaja nimetus</w:t>
            </w:r>
          </w:p>
        </w:tc>
        <w:tc>
          <w:tcPr>
            <w:tcW w:w="992" w:type="dxa"/>
          </w:tcPr>
          <w:p w14:paraId="6F9D4D96" w14:textId="45DA36B3" w:rsidR="00D65CBF" w:rsidRPr="00646813" w:rsidRDefault="00250275">
            <w:pPr>
              <w:spacing w:line="240" w:lineRule="auto"/>
              <w:rPr>
                <w:b/>
              </w:rPr>
            </w:pPr>
            <w:r w:rsidRPr="00646813">
              <w:rPr>
                <w:b/>
              </w:rPr>
              <w:t>Siht-tase (202</w:t>
            </w:r>
            <w:r w:rsidR="00164C2A" w:rsidRPr="00646813">
              <w:rPr>
                <w:b/>
              </w:rPr>
              <w:t>4</w:t>
            </w:r>
            <w:r w:rsidRPr="00646813">
              <w:rPr>
                <w:b/>
              </w:rPr>
              <w:t>)</w:t>
            </w:r>
          </w:p>
        </w:tc>
        <w:tc>
          <w:tcPr>
            <w:tcW w:w="993" w:type="dxa"/>
          </w:tcPr>
          <w:p w14:paraId="00B66636" w14:textId="77777777" w:rsidR="00D65CBF" w:rsidRPr="00646813" w:rsidRDefault="00250275">
            <w:pPr>
              <w:spacing w:line="240" w:lineRule="auto"/>
              <w:rPr>
                <w:b/>
              </w:rPr>
            </w:pPr>
            <w:r w:rsidRPr="00646813">
              <w:rPr>
                <w:b/>
              </w:rPr>
              <w:t>Siht-tase</w:t>
            </w:r>
          </w:p>
          <w:p w14:paraId="707BDCB0" w14:textId="77777777" w:rsidR="00D65CBF" w:rsidRPr="00646813" w:rsidRDefault="00250275">
            <w:pPr>
              <w:spacing w:line="240" w:lineRule="auto"/>
              <w:rPr>
                <w:b/>
              </w:rPr>
            </w:pPr>
            <w:r w:rsidRPr="00646813">
              <w:rPr>
                <w:b/>
              </w:rPr>
              <w:t>(2029)</w:t>
            </w:r>
          </w:p>
        </w:tc>
        <w:tc>
          <w:tcPr>
            <w:tcW w:w="1648" w:type="dxa"/>
          </w:tcPr>
          <w:p w14:paraId="5ACE392F" w14:textId="77777777" w:rsidR="00D65CBF" w:rsidRPr="00646813" w:rsidRDefault="00250275">
            <w:pPr>
              <w:spacing w:line="240" w:lineRule="auto"/>
              <w:rPr>
                <w:b/>
              </w:rPr>
            </w:pPr>
            <w:r w:rsidRPr="00646813">
              <w:rPr>
                <w:b/>
              </w:rPr>
              <w:t>Alategevuste väljundid tegevuskava perioodil</w:t>
            </w:r>
          </w:p>
        </w:tc>
        <w:tc>
          <w:tcPr>
            <w:tcW w:w="1754" w:type="dxa"/>
          </w:tcPr>
          <w:p w14:paraId="34749F02" w14:textId="77777777" w:rsidR="00D65CBF" w:rsidRPr="00646813" w:rsidRDefault="00250275">
            <w:pPr>
              <w:spacing w:line="240" w:lineRule="auto"/>
              <w:rPr>
                <w:b/>
              </w:rPr>
            </w:pPr>
            <w:r w:rsidRPr="00646813">
              <w:rPr>
                <w:b/>
              </w:rPr>
              <w:t>Alategevuste väljundite arv tegevuskava perioodil</w:t>
            </w:r>
          </w:p>
        </w:tc>
        <w:tc>
          <w:tcPr>
            <w:tcW w:w="2409" w:type="dxa"/>
          </w:tcPr>
          <w:p w14:paraId="7904EEE2" w14:textId="77777777" w:rsidR="00D65CBF" w:rsidRPr="00646813" w:rsidRDefault="00250275">
            <w:pPr>
              <w:spacing w:line="240" w:lineRule="auto"/>
              <w:rPr>
                <w:b/>
              </w:rPr>
            </w:pPr>
            <w:r w:rsidRPr="00646813">
              <w:rPr>
                <w:b/>
              </w:rPr>
              <w:t>Selgitus</w:t>
            </w:r>
          </w:p>
        </w:tc>
      </w:tr>
      <w:tr w:rsidR="00671A8F" w:rsidRPr="00646813" w14:paraId="6C32DB27" w14:textId="77777777" w:rsidTr="3C7F867A">
        <w:trPr>
          <w:trHeight w:val="363"/>
        </w:trPr>
        <w:tc>
          <w:tcPr>
            <w:tcW w:w="1305" w:type="dxa"/>
            <w:vMerge w:val="restart"/>
          </w:tcPr>
          <w:p w14:paraId="28D65B09" w14:textId="77777777" w:rsidR="00671A8F" w:rsidRPr="00646813" w:rsidRDefault="00671A8F">
            <w:pPr>
              <w:spacing w:line="240" w:lineRule="auto"/>
              <w:jc w:val="center"/>
            </w:pPr>
          </w:p>
          <w:p w14:paraId="426F31B3" w14:textId="77777777" w:rsidR="00671A8F" w:rsidRPr="00646813" w:rsidRDefault="00671A8F">
            <w:pPr>
              <w:spacing w:line="240" w:lineRule="auto"/>
            </w:pPr>
            <w:proofErr w:type="spellStart"/>
            <w:r w:rsidRPr="00646813">
              <w:t>Sündmu-sed</w:t>
            </w:r>
            <w:proofErr w:type="spellEnd"/>
            <w:r w:rsidRPr="00646813">
              <w:t xml:space="preserve"> noortele</w:t>
            </w:r>
          </w:p>
        </w:tc>
        <w:tc>
          <w:tcPr>
            <w:tcW w:w="992" w:type="dxa"/>
            <w:vMerge w:val="restart"/>
          </w:tcPr>
          <w:p w14:paraId="3ED27A2B" w14:textId="5F714864" w:rsidR="00671A8F" w:rsidRPr="00646813" w:rsidRDefault="00671A8F">
            <w:pPr>
              <w:spacing w:line="240" w:lineRule="auto"/>
              <w:jc w:val="center"/>
            </w:pPr>
            <w:r w:rsidRPr="00646813">
              <w:t>8</w:t>
            </w:r>
          </w:p>
        </w:tc>
        <w:tc>
          <w:tcPr>
            <w:tcW w:w="993" w:type="dxa"/>
            <w:vMerge w:val="restart"/>
          </w:tcPr>
          <w:p w14:paraId="2BA58ACE" w14:textId="77777777" w:rsidR="00671A8F" w:rsidRPr="00646813" w:rsidRDefault="00671A8F">
            <w:pPr>
              <w:spacing w:line="240" w:lineRule="auto"/>
              <w:jc w:val="center"/>
            </w:pPr>
            <w:r w:rsidRPr="00646813">
              <w:t>70</w:t>
            </w:r>
          </w:p>
        </w:tc>
        <w:tc>
          <w:tcPr>
            <w:tcW w:w="1648" w:type="dxa"/>
          </w:tcPr>
          <w:p w14:paraId="08CAC9BF" w14:textId="77777777" w:rsidR="00671A8F" w:rsidRPr="00646813" w:rsidRDefault="00671A8F">
            <w:pPr>
              <w:spacing w:line="240" w:lineRule="auto"/>
            </w:pPr>
            <w:r w:rsidRPr="00646813">
              <w:t>Sündmus</w:t>
            </w:r>
          </w:p>
        </w:tc>
        <w:tc>
          <w:tcPr>
            <w:tcW w:w="1754" w:type="dxa"/>
          </w:tcPr>
          <w:p w14:paraId="66AA4DBF" w14:textId="5352ABDE" w:rsidR="00671A8F" w:rsidRPr="00646813" w:rsidRDefault="00671A8F">
            <w:pPr>
              <w:spacing w:line="240" w:lineRule="auto"/>
            </w:pPr>
            <w:r w:rsidRPr="00646813">
              <w:t>51</w:t>
            </w:r>
          </w:p>
        </w:tc>
        <w:tc>
          <w:tcPr>
            <w:tcW w:w="2409" w:type="dxa"/>
          </w:tcPr>
          <w:p w14:paraId="2E757C6B" w14:textId="2F6829F4" w:rsidR="00671A8F" w:rsidRPr="00646813" w:rsidRDefault="00671A8F">
            <w:pPr>
              <w:spacing w:line="240" w:lineRule="auto"/>
            </w:pPr>
            <w:r w:rsidRPr="00646813">
              <w:t>2025. aastaks on korraldatud 31 sündmust. Aastal 2026 plaanitakse korraldada 20 koostöösündmust.</w:t>
            </w:r>
          </w:p>
        </w:tc>
      </w:tr>
      <w:tr w:rsidR="00671A8F" w:rsidRPr="00646813" w14:paraId="3556FD41" w14:textId="77777777" w:rsidTr="3C7F867A">
        <w:trPr>
          <w:trHeight w:val="363"/>
        </w:trPr>
        <w:tc>
          <w:tcPr>
            <w:tcW w:w="1305" w:type="dxa"/>
            <w:vMerge/>
          </w:tcPr>
          <w:p w14:paraId="64208FD9" w14:textId="77777777" w:rsidR="00671A8F" w:rsidRPr="00646813" w:rsidRDefault="00671A8F">
            <w:pPr>
              <w:spacing w:line="240" w:lineRule="auto"/>
              <w:jc w:val="center"/>
            </w:pPr>
          </w:p>
        </w:tc>
        <w:tc>
          <w:tcPr>
            <w:tcW w:w="992" w:type="dxa"/>
            <w:vMerge/>
          </w:tcPr>
          <w:p w14:paraId="503B7017" w14:textId="77777777" w:rsidR="00671A8F" w:rsidRPr="00646813" w:rsidDel="00164C2A" w:rsidRDefault="00671A8F">
            <w:pPr>
              <w:spacing w:line="240" w:lineRule="auto"/>
              <w:jc w:val="center"/>
            </w:pPr>
          </w:p>
        </w:tc>
        <w:tc>
          <w:tcPr>
            <w:tcW w:w="993" w:type="dxa"/>
            <w:vMerge/>
          </w:tcPr>
          <w:p w14:paraId="134810A7" w14:textId="77777777" w:rsidR="00671A8F" w:rsidRPr="00646813" w:rsidRDefault="00671A8F">
            <w:pPr>
              <w:spacing w:line="240" w:lineRule="auto"/>
              <w:jc w:val="center"/>
            </w:pPr>
          </w:p>
        </w:tc>
        <w:tc>
          <w:tcPr>
            <w:tcW w:w="1648" w:type="dxa"/>
          </w:tcPr>
          <w:p w14:paraId="4EB39888" w14:textId="1B216957" w:rsidR="00671A8F" w:rsidRPr="00646813" w:rsidRDefault="00671A8F" w:rsidP="00671A8F">
            <w:pPr>
              <w:spacing w:line="240" w:lineRule="auto"/>
            </w:pPr>
            <w:r w:rsidRPr="00646813">
              <w:t>2026.aasta Tegevus- ja ajakava</w:t>
            </w:r>
          </w:p>
        </w:tc>
        <w:tc>
          <w:tcPr>
            <w:tcW w:w="1754" w:type="dxa"/>
          </w:tcPr>
          <w:p w14:paraId="5AEF6648" w14:textId="1F0C0291" w:rsidR="00671A8F" w:rsidRPr="00646813" w:rsidRDefault="00671A8F">
            <w:pPr>
              <w:spacing w:line="240" w:lineRule="auto"/>
            </w:pPr>
            <w:r w:rsidRPr="00646813">
              <w:t>1</w:t>
            </w:r>
          </w:p>
        </w:tc>
        <w:tc>
          <w:tcPr>
            <w:tcW w:w="2409" w:type="dxa"/>
          </w:tcPr>
          <w:p w14:paraId="2D33BFEF" w14:textId="317D772E" w:rsidR="00671A8F" w:rsidRPr="00646813" w:rsidRDefault="00671A8F" w:rsidP="007B6925">
            <w:pPr>
              <w:spacing w:line="240" w:lineRule="auto"/>
              <w:jc w:val="left"/>
            </w:pPr>
            <w:r w:rsidRPr="00646813">
              <w:t xml:space="preserve">Elluviija koostab tegevus- ja ajakava noorte kodanikuühiskonna alase teadlikkuse edendamiseks. </w:t>
            </w:r>
          </w:p>
        </w:tc>
      </w:tr>
      <w:tr w:rsidR="00671A8F" w:rsidRPr="00646813" w14:paraId="17171D73" w14:textId="77777777" w:rsidTr="3C7F867A">
        <w:trPr>
          <w:trHeight w:val="363"/>
        </w:trPr>
        <w:tc>
          <w:tcPr>
            <w:tcW w:w="1305" w:type="dxa"/>
            <w:vMerge/>
          </w:tcPr>
          <w:p w14:paraId="68ABB1D0" w14:textId="77777777" w:rsidR="00671A8F" w:rsidRPr="00646813" w:rsidRDefault="00671A8F">
            <w:pPr>
              <w:spacing w:line="240" w:lineRule="auto"/>
              <w:jc w:val="center"/>
            </w:pPr>
          </w:p>
        </w:tc>
        <w:tc>
          <w:tcPr>
            <w:tcW w:w="992" w:type="dxa"/>
            <w:vMerge/>
          </w:tcPr>
          <w:p w14:paraId="1DD155C7" w14:textId="77777777" w:rsidR="00671A8F" w:rsidRPr="00646813" w:rsidDel="00164C2A" w:rsidRDefault="00671A8F">
            <w:pPr>
              <w:spacing w:line="240" w:lineRule="auto"/>
              <w:jc w:val="center"/>
            </w:pPr>
          </w:p>
        </w:tc>
        <w:tc>
          <w:tcPr>
            <w:tcW w:w="993" w:type="dxa"/>
            <w:vMerge/>
          </w:tcPr>
          <w:p w14:paraId="02D46546" w14:textId="77777777" w:rsidR="00671A8F" w:rsidRPr="00646813" w:rsidRDefault="00671A8F">
            <w:pPr>
              <w:spacing w:line="240" w:lineRule="auto"/>
              <w:jc w:val="center"/>
            </w:pPr>
          </w:p>
        </w:tc>
        <w:tc>
          <w:tcPr>
            <w:tcW w:w="1648" w:type="dxa"/>
          </w:tcPr>
          <w:p w14:paraId="293DE7D4" w14:textId="7B17C0BD" w:rsidR="00671A8F" w:rsidRPr="00646813" w:rsidRDefault="00A70FA3" w:rsidP="00671A8F">
            <w:pPr>
              <w:spacing w:line="240" w:lineRule="auto"/>
            </w:pPr>
            <w:proofErr w:type="spellStart"/>
            <w:r w:rsidRPr="00646813">
              <w:t>Dokumetaal</w:t>
            </w:r>
            <w:proofErr w:type="spellEnd"/>
            <w:r w:rsidRPr="00646813">
              <w:t xml:space="preserve"> Tallinn Music </w:t>
            </w:r>
            <w:proofErr w:type="spellStart"/>
            <w:r w:rsidRPr="00646813">
              <w:t>Week</w:t>
            </w:r>
            <w:proofErr w:type="spellEnd"/>
            <w:r w:rsidRPr="00646813">
              <w:t xml:space="preserve"> näite jäädvustamiseks</w:t>
            </w:r>
          </w:p>
        </w:tc>
        <w:tc>
          <w:tcPr>
            <w:tcW w:w="1754" w:type="dxa"/>
          </w:tcPr>
          <w:p w14:paraId="46F368BD" w14:textId="594A1CAD" w:rsidR="00671A8F" w:rsidRPr="00646813" w:rsidRDefault="00A70FA3">
            <w:pPr>
              <w:spacing w:line="240" w:lineRule="auto"/>
            </w:pPr>
            <w:r w:rsidRPr="00646813">
              <w:t>1</w:t>
            </w:r>
          </w:p>
        </w:tc>
        <w:tc>
          <w:tcPr>
            <w:tcW w:w="2409" w:type="dxa"/>
          </w:tcPr>
          <w:p w14:paraId="0305F866" w14:textId="270804F0" w:rsidR="00671A8F" w:rsidRPr="00646813" w:rsidRDefault="00646813" w:rsidP="007B6925">
            <w:pPr>
              <w:spacing w:line="240" w:lineRule="auto"/>
              <w:jc w:val="left"/>
            </w:pPr>
            <w:proofErr w:type="spellStart"/>
            <w:r w:rsidRPr="00646813">
              <w:t>Dokumetaal</w:t>
            </w:r>
            <w:proofErr w:type="spellEnd"/>
            <w:r w:rsidRPr="00646813">
              <w:t xml:space="preserve"> Tallinn Music </w:t>
            </w:r>
            <w:proofErr w:type="spellStart"/>
            <w:r w:rsidRPr="00646813">
              <w:t>Week</w:t>
            </w:r>
            <w:proofErr w:type="spellEnd"/>
            <w:r w:rsidRPr="00646813">
              <w:t xml:space="preserve"> näite jäädvustamiseks</w:t>
            </w:r>
            <w:r w:rsidR="000666BD">
              <w:t>.</w:t>
            </w:r>
          </w:p>
        </w:tc>
      </w:tr>
    </w:tbl>
    <w:p w14:paraId="760E4F8A" w14:textId="77777777" w:rsidR="00D65CBF" w:rsidRPr="00646813" w:rsidRDefault="00D65CBF">
      <w:pPr>
        <w:spacing w:line="240" w:lineRule="auto"/>
        <w:rPr>
          <w:b/>
        </w:rPr>
      </w:pPr>
    </w:p>
    <w:p w14:paraId="1E0E6263" w14:textId="77777777" w:rsidR="00D65CBF" w:rsidRPr="00646813" w:rsidRDefault="00D65CBF">
      <w:pPr>
        <w:widowControl/>
        <w:spacing w:line="240" w:lineRule="auto"/>
        <w:ind w:left="125"/>
      </w:pPr>
    </w:p>
    <w:p w14:paraId="28E1302E" w14:textId="77777777" w:rsidR="00D65CBF" w:rsidRPr="00646813" w:rsidRDefault="00D65CBF">
      <w:pPr>
        <w:widowControl/>
        <w:spacing w:line="240" w:lineRule="auto"/>
      </w:pPr>
    </w:p>
    <w:p w14:paraId="620221BC" w14:textId="77777777" w:rsidR="00D65CBF" w:rsidRPr="00646813" w:rsidRDefault="76D786FD" w:rsidP="00754417">
      <w:pPr>
        <w:numPr>
          <w:ilvl w:val="0"/>
          <w:numId w:val="3"/>
        </w:numPr>
        <w:pBdr>
          <w:top w:val="nil"/>
          <w:left w:val="nil"/>
          <w:bottom w:val="nil"/>
          <w:right w:val="nil"/>
          <w:between w:val="nil"/>
        </w:pBdr>
        <w:tabs>
          <w:tab w:val="left" w:pos="360"/>
        </w:tabs>
        <w:spacing w:line="240" w:lineRule="auto"/>
        <w:ind w:left="284" w:hanging="284"/>
        <w:rPr>
          <w:rFonts w:eastAsia="Times New Roman"/>
          <w:b/>
          <w:bCs/>
          <w:color w:val="000000"/>
        </w:rPr>
      </w:pPr>
      <w:r w:rsidRPr="00646813">
        <w:rPr>
          <w:rFonts w:eastAsia="Times New Roman"/>
          <w:b/>
          <w:bCs/>
          <w:color w:val="000000" w:themeColor="text1"/>
        </w:rPr>
        <w:t xml:space="preserve">Toetatavate tegevuste mõju strateegia „Eesti 2035“ näitajatesse ning seal sisalduvatesse horisontaalsetesse põhimõtetesse </w:t>
      </w:r>
    </w:p>
    <w:p w14:paraId="06D51F03" w14:textId="77777777" w:rsidR="00D65CBF" w:rsidRPr="00646813" w:rsidRDefault="00D65CBF">
      <w:pPr>
        <w:widowControl/>
        <w:spacing w:line="240" w:lineRule="auto"/>
      </w:pPr>
    </w:p>
    <w:p w14:paraId="39137747" w14:textId="77777777" w:rsidR="00D65CBF" w:rsidRPr="00646813" w:rsidRDefault="00D65CBF">
      <w:pPr>
        <w:widowControl/>
        <w:tabs>
          <w:tab w:val="left" w:pos="142"/>
        </w:tabs>
        <w:spacing w:line="240" w:lineRule="auto"/>
        <w:ind w:left="125"/>
        <w:rPr>
          <w:b/>
        </w:rPr>
      </w:pPr>
    </w:p>
    <w:p w14:paraId="3AD3B9AE" w14:textId="77777777" w:rsidR="00D65CBF" w:rsidRPr="00646813" w:rsidRDefault="76D786FD">
      <w:pPr>
        <w:widowControl/>
        <w:tabs>
          <w:tab w:val="left" w:pos="142"/>
        </w:tabs>
        <w:spacing w:line="240" w:lineRule="auto"/>
        <w:ind w:left="125"/>
      </w:pPr>
      <w:r w:rsidRPr="00646813">
        <w:rPr>
          <w:b/>
          <w:bCs/>
        </w:rPr>
        <w:t>Eri rahvusest, eri vanuses, erivajadustega inimestele võrdsete võimaluste loomine</w:t>
      </w:r>
      <w:r w:rsidRPr="00646813">
        <w:t xml:space="preserve"> - Arendus- ja koolitustegevuste ning sündmuste käigus käsitletakse muu hulgas ka võrdse kohtlemise teemasid. </w:t>
      </w:r>
      <w:r w:rsidR="00250275" w:rsidRPr="00646813">
        <w:br/>
      </w:r>
      <w:r w:rsidRPr="00646813">
        <w:t xml:space="preserve">Avalikkusele suunatud teavitustegevustes ning info- ja koolitusmaterjalide väljatöötamisel järgitakse võrdse kohtlemise põhimõtteid ning välditakse </w:t>
      </w:r>
      <w:proofErr w:type="spellStart"/>
      <w:r w:rsidRPr="00646813">
        <w:t>eelarvamuslikke</w:t>
      </w:r>
      <w:proofErr w:type="spellEnd"/>
      <w:r w:rsidRPr="00646813">
        <w:t xml:space="preserve"> sõnumeid ja kuvandeid vähemusrühmade kohta.</w:t>
      </w:r>
      <w:r w:rsidR="00250275" w:rsidRPr="00646813">
        <w:br/>
      </w:r>
      <w:r w:rsidRPr="00646813">
        <w:t>Tegevuste otsese sihtrühma hulka kuuluvad ka võrdset kohtlemist edendavad vabaühendused, et edendada nende oskusi kaasata noori oma töösse.</w:t>
      </w:r>
    </w:p>
    <w:p w14:paraId="67872EB6" w14:textId="77777777" w:rsidR="00D65CBF" w:rsidRPr="00646813" w:rsidRDefault="00D65CBF">
      <w:pPr>
        <w:widowControl/>
        <w:tabs>
          <w:tab w:val="left" w:pos="142"/>
        </w:tabs>
        <w:spacing w:line="240" w:lineRule="auto"/>
        <w:ind w:left="125"/>
        <w:rPr>
          <w:b/>
        </w:rPr>
      </w:pPr>
    </w:p>
    <w:p w14:paraId="4817E88A" w14:textId="77777777" w:rsidR="00D65CBF" w:rsidRPr="00646813" w:rsidRDefault="00250275">
      <w:pPr>
        <w:widowControl/>
        <w:tabs>
          <w:tab w:val="left" w:pos="142"/>
        </w:tabs>
        <w:spacing w:line="240" w:lineRule="auto"/>
        <w:ind w:left="125"/>
        <w:rPr>
          <w:b/>
        </w:rPr>
      </w:pPr>
      <w:r w:rsidRPr="00646813">
        <w:rPr>
          <w:b/>
        </w:rPr>
        <w:lastRenderedPageBreak/>
        <w:t>Sooline võrdõiguslikkus</w:t>
      </w:r>
      <w:r w:rsidRPr="00646813">
        <w:t xml:space="preserve"> - Tegevuste käigus arendatakse maakondlike kodanikuühiskonna konsultantide ja Eesti vabaühenduste teadmisi ja oskusi kaasata oma tegevustesse noori ja lapsi sõltumata nende soost. Koolitusprogrammides käsitletakse muu hulgas ka soolise võrdõiguslikkuse teemasid, et vähendada võimalikke soostereotüüpseid arusaamu vabaühenduste töös. Avalikkusele suunatud teavitustegevustes ning info- ja koolitusmaterjalide väljatöötamisel järgitakse soolise võrdõiguslikkuse põhimõtteid ning välditakse soostereotüüpseid tekste ja kuvandeid. Toetatavate tegevuste raames tehtavatel hindamistel kogutakse ja analüüsitakse andmeid võimalusel ka soo lõikes.</w:t>
      </w:r>
    </w:p>
    <w:p w14:paraId="5840C99A" w14:textId="77777777" w:rsidR="00D65CBF" w:rsidRPr="00646813" w:rsidRDefault="00D65CBF">
      <w:pPr>
        <w:widowControl/>
        <w:tabs>
          <w:tab w:val="left" w:pos="142"/>
        </w:tabs>
        <w:spacing w:line="240" w:lineRule="auto"/>
        <w:ind w:left="125"/>
        <w:rPr>
          <w:b/>
        </w:rPr>
      </w:pPr>
    </w:p>
    <w:p w14:paraId="4883001F" w14:textId="77777777" w:rsidR="00D65CBF" w:rsidRPr="00646813" w:rsidRDefault="00250275">
      <w:pPr>
        <w:widowControl/>
        <w:tabs>
          <w:tab w:val="left" w:pos="142"/>
        </w:tabs>
        <w:spacing w:line="240" w:lineRule="auto"/>
        <w:ind w:left="125"/>
      </w:pPr>
      <w:r w:rsidRPr="00646813">
        <w:rPr>
          <w:b/>
        </w:rPr>
        <w:t xml:space="preserve">Ligipääsetavus </w:t>
      </w:r>
      <w:r w:rsidRPr="00646813">
        <w:t xml:space="preserve">- Avalikkusele suunatud kohtumiste, koolituste ja teiste sündmuste läbiviimisel tagatakse vajaduse korral ligipääsetavus hoonele ja ruumidele ning infole ja kommunikatsioonile nelja peamise puudeliigiga inimestele (nägemis-, kuulmis-, liikumis- ja intellektipuue). </w:t>
      </w:r>
    </w:p>
    <w:p w14:paraId="64A883AB" w14:textId="77777777" w:rsidR="00D65CBF" w:rsidRPr="00646813" w:rsidRDefault="00D65CBF">
      <w:pPr>
        <w:widowControl/>
        <w:tabs>
          <w:tab w:val="left" w:pos="142"/>
        </w:tabs>
        <w:spacing w:line="240" w:lineRule="auto"/>
        <w:ind w:left="125"/>
        <w:rPr>
          <w:b/>
        </w:rPr>
      </w:pPr>
    </w:p>
    <w:p w14:paraId="2FD0323B" w14:textId="77777777" w:rsidR="00D65CBF" w:rsidRPr="00646813" w:rsidRDefault="00250275">
      <w:pPr>
        <w:widowControl/>
        <w:tabs>
          <w:tab w:val="left" w:pos="142"/>
        </w:tabs>
        <w:spacing w:line="240" w:lineRule="auto"/>
        <w:ind w:left="125"/>
      </w:pPr>
      <w:r w:rsidRPr="00646813">
        <w:rPr>
          <w:b/>
        </w:rPr>
        <w:t>Tegevused panustavad regionaalsesse tasakaalustatud arengusse</w:t>
      </w:r>
      <w:r w:rsidRPr="00646813">
        <w:t xml:space="preserve"> - Koostöös maakondlike arenduskeskuste kodanikuühiskonna konsultantide ja maakondliku kodanikuühiskonna nõustamisteenusega seotud isikutega kaardistatakse iga maakonna vabaühenduste arenguvajadused ning selle kaardistamise analüüsi kaudu leitakse regionaalsed erinevused Eesti maakondade vahel.</w:t>
      </w:r>
    </w:p>
    <w:p w14:paraId="6123C59E" w14:textId="77777777" w:rsidR="00D65CBF" w:rsidRPr="00646813" w:rsidRDefault="00250275">
      <w:pPr>
        <w:widowControl/>
        <w:tabs>
          <w:tab w:val="left" w:pos="142"/>
        </w:tabs>
        <w:spacing w:line="240" w:lineRule="auto"/>
        <w:ind w:left="125"/>
      </w:pPr>
      <w:r w:rsidRPr="00646813">
        <w:t>Regionaalsete erinevuste vähendamiseks viiakse läbi koolitus- ja arendustegevusi, mille sihtrühmaks on kõigi maakondade kodanikuühiskonna konsultandid ja vabaühendused. Koolitus- ja arendustegevuste planeerimisel arvestatakse konkreetse piirkonna arenguvajadustega.</w:t>
      </w:r>
    </w:p>
    <w:p w14:paraId="3461237A" w14:textId="77777777" w:rsidR="00D65CBF" w:rsidRPr="00646813" w:rsidRDefault="00D65CBF">
      <w:pPr>
        <w:widowControl/>
        <w:tabs>
          <w:tab w:val="left" w:pos="142"/>
        </w:tabs>
        <w:spacing w:line="240" w:lineRule="auto"/>
      </w:pPr>
    </w:p>
    <w:p w14:paraId="0D9ADA70" w14:textId="77777777" w:rsidR="00D65CBF" w:rsidRPr="00646813" w:rsidRDefault="00250275">
      <w:pPr>
        <w:widowControl/>
        <w:tabs>
          <w:tab w:val="left" w:pos="142"/>
        </w:tabs>
        <w:spacing w:line="240" w:lineRule="auto"/>
        <w:ind w:left="125"/>
      </w:pPr>
      <w:r w:rsidRPr="00646813">
        <w:rPr>
          <w:b/>
        </w:rPr>
        <w:t xml:space="preserve">Tegevused panustavad </w:t>
      </w:r>
      <w:proofErr w:type="spellStart"/>
      <w:r w:rsidRPr="00646813">
        <w:rPr>
          <w:b/>
        </w:rPr>
        <w:t>KOVide</w:t>
      </w:r>
      <w:proofErr w:type="spellEnd"/>
      <w:r w:rsidRPr="00646813">
        <w:rPr>
          <w:b/>
        </w:rPr>
        <w:t xml:space="preserve"> haldus- ja arendusvõimekusse - </w:t>
      </w:r>
      <w:r w:rsidRPr="00646813">
        <w:t xml:space="preserve">tegevuste raames arendatakse nii maakondlike kodanikuühiskonna konsultantide kui ka kohalike omavalitsuste esindajate (näiteks noorsootöötajad, kogukonna koordinaatorid, heaolu ja/või turvalisuse koordinaatorid) teadmisi ja oskusi kaasata noori vabaühenduste tegevustesse. Selleks viiakse läbi ettevalmistavas etapis läbi ümarlaudu maakondades ja kohalikes omavalitsustes, et kaardistada vabaühenduste võimekus oma tegevustesse lapsi ja noori kaasata. </w:t>
      </w:r>
    </w:p>
    <w:p w14:paraId="08BAA95F" w14:textId="77777777" w:rsidR="00D65CBF" w:rsidRDefault="00D65CBF">
      <w:pPr>
        <w:widowControl/>
        <w:tabs>
          <w:tab w:val="left" w:pos="142"/>
        </w:tabs>
        <w:spacing w:line="240" w:lineRule="auto"/>
        <w:ind w:left="125"/>
      </w:pPr>
    </w:p>
    <w:sectPr w:rsidR="00D65CBF">
      <w:headerReference w:type="default" r:id="rId12"/>
      <w:footerReference w:type="default" r:id="rId13"/>
      <w:footerReference w:type="first" r:id="rId14"/>
      <w:pgSz w:w="11906" w:h="16838"/>
      <w:pgMar w:top="907" w:right="1021" w:bottom="1418" w:left="1814"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C5B2" w14:textId="77777777" w:rsidR="0063427E" w:rsidRDefault="0063427E">
      <w:pPr>
        <w:spacing w:line="240" w:lineRule="auto"/>
      </w:pPr>
      <w:r>
        <w:separator/>
      </w:r>
    </w:p>
  </w:endnote>
  <w:endnote w:type="continuationSeparator" w:id="0">
    <w:p w14:paraId="4B12F8BE" w14:textId="77777777" w:rsidR="0063427E" w:rsidRDefault="00634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71EF" w14:textId="77777777" w:rsidR="00D65CBF" w:rsidRDefault="00250275">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05542E">
      <w:rPr>
        <w:rFonts w:eastAsia="Times New Roman"/>
        <w:noProof/>
        <w:color w:val="000000"/>
        <w:sz w:val="20"/>
        <w:szCs w:val="20"/>
      </w:rPr>
      <w:t>2</w:t>
    </w:r>
    <w:r>
      <w:rPr>
        <w:rFonts w:eastAsia="Times New Roman"/>
        <w:color w:val="000000"/>
        <w:sz w:val="20"/>
        <w:szCs w:val="20"/>
      </w:rPr>
      <w:fldChar w:fldCharType="end"/>
    </w:r>
    <w:r>
      <w:rPr>
        <w:rFonts w:eastAsia="Times New Roman"/>
        <w:color w:val="000000"/>
        <w:sz w:val="20"/>
        <w:szCs w:val="20"/>
      </w:rPr>
      <w:t xml:space="preserve"> (</w:t>
    </w:r>
    <w:r>
      <w:rPr>
        <w:rFonts w:eastAsia="Times New Roman"/>
        <w:color w:val="000000"/>
        <w:sz w:val="20"/>
        <w:szCs w:val="20"/>
      </w:rPr>
      <w:fldChar w:fldCharType="begin"/>
    </w:r>
    <w:r>
      <w:rPr>
        <w:rFonts w:eastAsia="Times New Roman"/>
        <w:color w:val="000000"/>
        <w:sz w:val="20"/>
        <w:szCs w:val="20"/>
      </w:rPr>
      <w:instrText>NUMPAGES</w:instrText>
    </w:r>
    <w:r>
      <w:rPr>
        <w:rFonts w:eastAsia="Times New Roman"/>
        <w:color w:val="000000"/>
        <w:sz w:val="20"/>
        <w:szCs w:val="20"/>
      </w:rPr>
      <w:fldChar w:fldCharType="separate"/>
    </w:r>
    <w:r w:rsidR="0005542E">
      <w:rPr>
        <w:rFonts w:eastAsia="Times New Roman"/>
        <w:noProof/>
        <w:color w:val="000000"/>
        <w:sz w:val="20"/>
        <w:szCs w:val="20"/>
      </w:rPr>
      <w:t>3</w:t>
    </w:r>
    <w:r>
      <w:rPr>
        <w:rFonts w:eastAsia="Times New Roman"/>
        <w:color w:val="000000"/>
        <w:sz w:val="20"/>
        <w:szCs w:val="20"/>
      </w:rPr>
      <w:fldChar w:fldCharType="end"/>
    </w:r>
    <w:r>
      <w:rPr>
        <w:rFonts w:eastAsia="Times New Roman"/>
        <w:color w:val="00000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B2D9" w14:textId="77777777" w:rsidR="00D65CBF" w:rsidRDefault="00D65CBF">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996E" w14:textId="77777777" w:rsidR="0063427E" w:rsidRDefault="0063427E">
      <w:pPr>
        <w:spacing w:line="240" w:lineRule="auto"/>
      </w:pPr>
      <w:r>
        <w:separator/>
      </w:r>
    </w:p>
  </w:footnote>
  <w:footnote w:type="continuationSeparator" w:id="0">
    <w:p w14:paraId="4AF8AD40" w14:textId="77777777" w:rsidR="0063427E" w:rsidRDefault="0063427E">
      <w:pPr>
        <w:spacing w:line="240" w:lineRule="auto"/>
      </w:pPr>
      <w:r>
        <w:continuationSeparator/>
      </w:r>
    </w:p>
  </w:footnote>
  <w:footnote w:id="1">
    <w:p w14:paraId="4EBA40AB" w14:textId="77777777" w:rsidR="00D65CBF" w:rsidRDefault="00250275">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Näidatakse perioodi algus- ja lõppkuupäev.</w:t>
      </w:r>
    </w:p>
  </w:footnote>
  <w:footnote w:id="2">
    <w:p w14:paraId="5A4FB6BD" w14:textId="77777777" w:rsidR="00D65CBF" w:rsidRDefault="00250275">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Näitaja nimetus on sätestatud </w:t>
      </w:r>
      <w:proofErr w:type="spellStart"/>
      <w:r>
        <w:rPr>
          <w:rFonts w:eastAsia="Times New Roman"/>
          <w:color w:val="000000"/>
          <w:sz w:val="20"/>
          <w:szCs w:val="20"/>
        </w:rPr>
        <w:t>TAT-is</w:t>
      </w:r>
      <w:proofErr w:type="spellEnd"/>
      <w:r>
        <w:rPr>
          <w:rFonts w:eastAsia="Times New Roman"/>
          <w:color w:val="000000"/>
          <w:sz w:val="20"/>
          <w:szCs w:val="20"/>
        </w:rPr>
        <w:t>.</w:t>
      </w:r>
    </w:p>
  </w:footnote>
  <w:footnote w:id="3">
    <w:p w14:paraId="3F22499A" w14:textId="77777777" w:rsidR="00D65CBF" w:rsidRDefault="00250275">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Väljundid on alategevuste konkreetsed, mõõdetavad tulemid (nt koolituste arv, koolitatud inimeste arv, analüüs, veebileht jne)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BCE2" w14:textId="77777777" w:rsidR="00D65CBF" w:rsidRDefault="00D65CBF">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D07"/>
    <w:multiLevelType w:val="multilevel"/>
    <w:tmpl w:val="003C51EA"/>
    <w:lvl w:ilvl="0">
      <w:start w:val="2"/>
      <w:numFmt w:val="decimal"/>
      <w:lvlText w:val="%1."/>
      <w:lvlJc w:val="left"/>
      <w:pPr>
        <w:ind w:left="612" w:hanging="612"/>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 w15:restartNumberingAfterBreak="0">
    <w:nsid w:val="1092669D"/>
    <w:multiLevelType w:val="multilevel"/>
    <w:tmpl w:val="9F622032"/>
    <w:lvl w:ilvl="0">
      <w:start w:val="2"/>
      <w:numFmt w:val="decimal"/>
      <w:lvlText w:val="%1."/>
      <w:lvlJc w:val="left"/>
      <w:pPr>
        <w:ind w:left="612" w:hanging="612"/>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15:restartNumberingAfterBreak="0">
    <w:nsid w:val="11D13E6F"/>
    <w:multiLevelType w:val="multilevel"/>
    <w:tmpl w:val="E2CE94CA"/>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91EE2"/>
    <w:multiLevelType w:val="multilevel"/>
    <w:tmpl w:val="97EE1F5C"/>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13BF46B4"/>
    <w:multiLevelType w:val="multilevel"/>
    <w:tmpl w:val="4B86CF60"/>
    <w:lvl w:ilvl="0">
      <w:start w:val="1"/>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159C3D08"/>
    <w:multiLevelType w:val="hybridMultilevel"/>
    <w:tmpl w:val="267CC988"/>
    <w:lvl w:ilvl="0" w:tplc="02605EE6">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4166F"/>
    <w:multiLevelType w:val="hybridMultilevel"/>
    <w:tmpl w:val="99FABBD6"/>
    <w:lvl w:ilvl="0" w:tplc="6C46421C">
      <w:start w:val="2025"/>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17D61B75"/>
    <w:multiLevelType w:val="multilevel"/>
    <w:tmpl w:val="2FB22798"/>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E7B04"/>
    <w:multiLevelType w:val="multilevel"/>
    <w:tmpl w:val="5B24102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0B9F"/>
    <w:multiLevelType w:val="hybridMultilevel"/>
    <w:tmpl w:val="983CA986"/>
    <w:lvl w:ilvl="0" w:tplc="8364F55E">
      <w:start w:val="2025"/>
      <w:numFmt w:val="decimal"/>
      <w:lvlText w:val="%1."/>
      <w:lvlJc w:val="left"/>
      <w:pPr>
        <w:ind w:left="960" w:hanging="6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74F2E"/>
    <w:multiLevelType w:val="multilevel"/>
    <w:tmpl w:val="A8983F3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62344"/>
    <w:multiLevelType w:val="multilevel"/>
    <w:tmpl w:val="4B86CF60"/>
    <w:lvl w:ilvl="0">
      <w:start w:val="1"/>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444A0893"/>
    <w:multiLevelType w:val="multilevel"/>
    <w:tmpl w:val="4CC4860E"/>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F652B9"/>
    <w:multiLevelType w:val="multilevel"/>
    <w:tmpl w:val="4B86CF60"/>
    <w:lvl w:ilvl="0">
      <w:start w:val="1"/>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96C6CBC"/>
    <w:multiLevelType w:val="hybridMultilevel"/>
    <w:tmpl w:val="69A0A0B0"/>
    <w:lvl w:ilvl="0" w:tplc="8364F55E">
      <w:start w:val="2025"/>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636F2B"/>
    <w:multiLevelType w:val="hybridMultilevel"/>
    <w:tmpl w:val="AB72E060"/>
    <w:lvl w:ilvl="0" w:tplc="271E1F0E">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427D3"/>
    <w:multiLevelType w:val="multilevel"/>
    <w:tmpl w:val="8AF08690"/>
    <w:lvl w:ilvl="0">
      <w:start w:val="1"/>
      <w:numFmt w:val="decimal"/>
      <w:lvlText w:val="%1."/>
      <w:lvlJc w:val="left"/>
      <w:pPr>
        <w:ind w:left="720" w:hanging="360"/>
      </w:pPr>
      <w:rPr>
        <w:b/>
        <w:i w:val="0"/>
        <w:color w:val="000000"/>
        <w:sz w:val="24"/>
        <w:szCs w:val="24"/>
      </w:rPr>
    </w:lvl>
    <w:lvl w:ilvl="1">
      <w:start w:val="1"/>
      <w:numFmt w:val="decimal"/>
      <w:lvlText w:val="%1.%2."/>
      <w:lvlJc w:val="left"/>
      <w:pPr>
        <w:ind w:left="720" w:hanging="360"/>
      </w:pPr>
      <w:rPr>
        <w:rFonts w:ascii="Times New Roman" w:eastAsia="Times New Roman" w:hAnsi="Times New Roman" w:cs="Times New Roman"/>
        <w:b/>
        <w:i w:val="0"/>
        <w:color w:val="000000"/>
        <w:sz w:val="24"/>
        <w:szCs w:val="24"/>
      </w:rPr>
    </w:lvl>
    <w:lvl w:ilvl="2">
      <w:start w:val="1"/>
      <w:numFmt w:val="decimal"/>
      <w:lvlText w:val="%1.%2.%3"/>
      <w:lvlJc w:val="left"/>
      <w:pPr>
        <w:ind w:left="1146" w:hanging="720"/>
      </w:pPr>
      <w:rPr>
        <w:b/>
        <w:bCs/>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7923A34"/>
    <w:multiLevelType w:val="hybridMultilevel"/>
    <w:tmpl w:val="C1682D32"/>
    <w:lvl w:ilvl="0" w:tplc="1B04E334">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4250E"/>
    <w:multiLevelType w:val="hybridMultilevel"/>
    <w:tmpl w:val="84FA01F4"/>
    <w:lvl w:ilvl="0" w:tplc="0144DDBE">
      <w:start w:val="2025"/>
      <w:numFmt w:val="decimal"/>
      <w:lvlText w:val="%1"/>
      <w:lvlJc w:val="left"/>
      <w:pPr>
        <w:ind w:left="840" w:hanging="48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F679C"/>
    <w:multiLevelType w:val="multilevel"/>
    <w:tmpl w:val="47481D2E"/>
    <w:lvl w:ilvl="0">
      <w:start w:val="2"/>
      <w:numFmt w:val="decimal"/>
      <w:lvlText w:val="%1."/>
      <w:lvlJc w:val="left"/>
      <w:pPr>
        <w:ind w:left="612" w:hanging="612"/>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0" w15:restartNumberingAfterBreak="0">
    <w:nsid w:val="77873A0E"/>
    <w:multiLevelType w:val="hybridMultilevel"/>
    <w:tmpl w:val="7DEE9000"/>
    <w:lvl w:ilvl="0" w:tplc="69DEDD7C">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C1ED5"/>
    <w:multiLevelType w:val="hybridMultilevel"/>
    <w:tmpl w:val="04ACA756"/>
    <w:lvl w:ilvl="0" w:tplc="B0B8F87A">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26040"/>
    <w:multiLevelType w:val="multilevel"/>
    <w:tmpl w:val="EEE2F5CC"/>
    <w:lvl w:ilvl="0">
      <w:start w:val="1"/>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754286497">
    <w:abstractNumId w:val="16"/>
  </w:num>
  <w:num w:numId="2" w16cid:durableId="516820374">
    <w:abstractNumId w:val="12"/>
  </w:num>
  <w:num w:numId="3" w16cid:durableId="765420134">
    <w:abstractNumId w:val="9"/>
  </w:num>
  <w:num w:numId="4" w16cid:durableId="369572318">
    <w:abstractNumId w:val="3"/>
  </w:num>
  <w:num w:numId="5" w16cid:durableId="35544852">
    <w:abstractNumId w:val="14"/>
  </w:num>
  <w:num w:numId="6" w16cid:durableId="926842310">
    <w:abstractNumId w:val="7"/>
  </w:num>
  <w:num w:numId="7" w16cid:durableId="1947151857">
    <w:abstractNumId w:val="10"/>
  </w:num>
  <w:num w:numId="8" w16cid:durableId="1616254599">
    <w:abstractNumId w:val="5"/>
  </w:num>
  <w:num w:numId="9" w16cid:durableId="1543012311">
    <w:abstractNumId w:val="20"/>
  </w:num>
  <w:num w:numId="10" w16cid:durableId="857888620">
    <w:abstractNumId w:val="18"/>
  </w:num>
  <w:num w:numId="11" w16cid:durableId="1600983219">
    <w:abstractNumId w:val="21"/>
  </w:num>
  <w:num w:numId="12" w16cid:durableId="267396024">
    <w:abstractNumId w:val="15"/>
  </w:num>
  <w:num w:numId="13" w16cid:durableId="1385912048">
    <w:abstractNumId w:val="17"/>
  </w:num>
  <w:num w:numId="14" w16cid:durableId="1989700322">
    <w:abstractNumId w:val="6"/>
  </w:num>
  <w:num w:numId="15" w16cid:durableId="240792257">
    <w:abstractNumId w:val="11"/>
  </w:num>
  <w:num w:numId="16" w16cid:durableId="1720935525">
    <w:abstractNumId w:val="13"/>
  </w:num>
  <w:num w:numId="17" w16cid:durableId="1930232415">
    <w:abstractNumId w:val="4"/>
  </w:num>
  <w:num w:numId="18" w16cid:durableId="1088886838">
    <w:abstractNumId w:val="22"/>
  </w:num>
  <w:num w:numId="19" w16cid:durableId="1946377998">
    <w:abstractNumId w:val="0"/>
  </w:num>
  <w:num w:numId="20" w16cid:durableId="1283852493">
    <w:abstractNumId w:val="1"/>
  </w:num>
  <w:num w:numId="21" w16cid:durableId="1283263016">
    <w:abstractNumId w:val="8"/>
  </w:num>
  <w:num w:numId="22" w16cid:durableId="1204250805">
    <w:abstractNumId w:val="2"/>
  </w:num>
  <w:num w:numId="23" w16cid:durableId="1935934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F"/>
    <w:rsid w:val="00025760"/>
    <w:rsid w:val="0002C553"/>
    <w:rsid w:val="00040DF5"/>
    <w:rsid w:val="00050095"/>
    <w:rsid w:val="00051114"/>
    <w:rsid w:val="0005542E"/>
    <w:rsid w:val="000666BD"/>
    <w:rsid w:val="000671F9"/>
    <w:rsid w:val="00071942"/>
    <w:rsid w:val="000734FE"/>
    <w:rsid w:val="00073924"/>
    <w:rsid w:val="00075DC8"/>
    <w:rsid w:val="00075E6E"/>
    <w:rsid w:val="000769C3"/>
    <w:rsid w:val="00081258"/>
    <w:rsid w:val="00083AF2"/>
    <w:rsid w:val="000868BC"/>
    <w:rsid w:val="000922F9"/>
    <w:rsid w:val="000938A6"/>
    <w:rsid w:val="000966EA"/>
    <w:rsid w:val="00096D57"/>
    <w:rsid w:val="000A0245"/>
    <w:rsid w:val="000A0532"/>
    <w:rsid w:val="000A5C88"/>
    <w:rsid w:val="000B15DE"/>
    <w:rsid w:val="000B34AD"/>
    <w:rsid w:val="000B5164"/>
    <w:rsid w:val="000B5DBB"/>
    <w:rsid w:val="000B65F9"/>
    <w:rsid w:val="000C1E6B"/>
    <w:rsid w:val="000C73C0"/>
    <w:rsid w:val="000D7593"/>
    <w:rsid w:val="000E5B49"/>
    <w:rsid w:val="000E6747"/>
    <w:rsid w:val="000F0CF0"/>
    <w:rsid w:val="001010F7"/>
    <w:rsid w:val="0010140D"/>
    <w:rsid w:val="00101E76"/>
    <w:rsid w:val="00101F04"/>
    <w:rsid w:val="00127AB3"/>
    <w:rsid w:val="0014120A"/>
    <w:rsid w:val="0014746A"/>
    <w:rsid w:val="00151927"/>
    <w:rsid w:val="0015197C"/>
    <w:rsid w:val="00161732"/>
    <w:rsid w:val="00164C2A"/>
    <w:rsid w:val="001862C7"/>
    <w:rsid w:val="00190EED"/>
    <w:rsid w:val="001B6765"/>
    <w:rsid w:val="001C0D57"/>
    <w:rsid w:val="001D14DE"/>
    <w:rsid w:val="001E2FA3"/>
    <w:rsid w:val="001F34E7"/>
    <w:rsid w:val="001F6BEB"/>
    <w:rsid w:val="001F71A1"/>
    <w:rsid w:val="001F7A37"/>
    <w:rsid w:val="0020481C"/>
    <w:rsid w:val="00207DC7"/>
    <w:rsid w:val="00214F07"/>
    <w:rsid w:val="00215716"/>
    <w:rsid w:val="00216404"/>
    <w:rsid w:val="00220818"/>
    <w:rsid w:val="00221B81"/>
    <w:rsid w:val="00232534"/>
    <w:rsid w:val="00240EAB"/>
    <w:rsid w:val="00250275"/>
    <w:rsid w:val="00267F4D"/>
    <w:rsid w:val="00271DB7"/>
    <w:rsid w:val="00287BED"/>
    <w:rsid w:val="00297E2F"/>
    <w:rsid w:val="002C7B44"/>
    <w:rsid w:val="002D54DB"/>
    <w:rsid w:val="002E014D"/>
    <w:rsid w:val="002E77E4"/>
    <w:rsid w:val="002F22CD"/>
    <w:rsid w:val="002F615A"/>
    <w:rsid w:val="003134D3"/>
    <w:rsid w:val="00321BEB"/>
    <w:rsid w:val="003349AF"/>
    <w:rsid w:val="00335103"/>
    <w:rsid w:val="00351066"/>
    <w:rsid w:val="00354875"/>
    <w:rsid w:val="0037027D"/>
    <w:rsid w:val="00375054"/>
    <w:rsid w:val="00376C53"/>
    <w:rsid w:val="00377362"/>
    <w:rsid w:val="0038196A"/>
    <w:rsid w:val="00382D97"/>
    <w:rsid w:val="00385661"/>
    <w:rsid w:val="0039596B"/>
    <w:rsid w:val="00396BA0"/>
    <w:rsid w:val="003A2E78"/>
    <w:rsid w:val="003B50F7"/>
    <w:rsid w:val="003C3C76"/>
    <w:rsid w:val="003D3330"/>
    <w:rsid w:val="003D7462"/>
    <w:rsid w:val="003E532F"/>
    <w:rsid w:val="003E64F8"/>
    <w:rsid w:val="003F2F3C"/>
    <w:rsid w:val="00400ED4"/>
    <w:rsid w:val="00402E6F"/>
    <w:rsid w:val="004131D3"/>
    <w:rsid w:val="004156F6"/>
    <w:rsid w:val="004321D7"/>
    <w:rsid w:val="00440F8B"/>
    <w:rsid w:val="004435FD"/>
    <w:rsid w:val="004474CF"/>
    <w:rsid w:val="00447768"/>
    <w:rsid w:val="00461D7E"/>
    <w:rsid w:val="00462A50"/>
    <w:rsid w:val="00464D96"/>
    <w:rsid w:val="00472D59"/>
    <w:rsid w:val="004736E2"/>
    <w:rsid w:val="00475144"/>
    <w:rsid w:val="00480531"/>
    <w:rsid w:val="00496176"/>
    <w:rsid w:val="00496257"/>
    <w:rsid w:val="004A21B8"/>
    <w:rsid w:val="004A32BE"/>
    <w:rsid w:val="004D1476"/>
    <w:rsid w:val="004E1AD5"/>
    <w:rsid w:val="004E3A3A"/>
    <w:rsid w:val="004F1BA1"/>
    <w:rsid w:val="00514017"/>
    <w:rsid w:val="00515EB6"/>
    <w:rsid w:val="00517639"/>
    <w:rsid w:val="005221A3"/>
    <w:rsid w:val="00523505"/>
    <w:rsid w:val="00537AF8"/>
    <w:rsid w:val="005427A8"/>
    <w:rsid w:val="0054315B"/>
    <w:rsid w:val="00551409"/>
    <w:rsid w:val="00554B7B"/>
    <w:rsid w:val="00555E48"/>
    <w:rsid w:val="005715CC"/>
    <w:rsid w:val="00575763"/>
    <w:rsid w:val="00581EED"/>
    <w:rsid w:val="005948D5"/>
    <w:rsid w:val="00594ABF"/>
    <w:rsid w:val="005A21ED"/>
    <w:rsid w:val="005B3AEB"/>
    <w:rsid w:val="005C3B33"/>
    <w:rsid w:val="005C40C3"/>
    <w:rsid w:val="005C643D"/>
    <w:rsid w:val="005C70E5"/>
    <w:rsid w:val="005D2DE0"/>
    <w:rsid w:val="005D4539"/>
    <w:rsid w:val="005D6CAE"/>
    <w:rsid w:val="005E3B54"/>
    <w:rsid w:val="00612814"/>
    <w:rsid w:val="0063427E"/>
    <w:rsid w:val="00646813"/>
    <w:rsid w:val="00650136"/>
    <w:rsid w:val="00657074"/>
    <w:rsid w:val="0066088B"/>
    <w:rsid w:val="006629EE"/>
    <w:rsid w:val="0066371A"/>
    <w:rsid w:val="00671A8F"/>
    <w:rsid w:val="00686E52"/>
    <w:rsid w:val="00687202"/>
    <w:rsid w:val="00690B29"/>
    <w:rsid w:val="00691EBE"/>
    <w:rsid w:val="006B219B"/>
    <w:rsid w:val="006B6D56"/>
    <w:rsid w:val="006C09C2"/>
    <w:rsid w:val="006D451B"/>
    <w:rsid w:val="006D75F3"/>
    <w:rsid w:val="006E4952"/>
    <w:rsid w:val="006E6122"/>
    <w:rsid w:val="006E6908"/>
    <w:rsid w:val="006F49A2"/>
    <w:rsid w:val="00711188"/>
    <w:rsid w:val="00724F70"/>
    <w:rsid w:val="007272E4"/>
    <w:rsid w:val="007348A3"/>
    <w:rsid w:val="00744116"/>
    <w:rsid w:val="0074607C"/>
    <w:rsid w:val="007516FA"/>
    <w:rsid w:val="00754417"/>
    <w:rsid w:val="007555D9"/>
    <w:rsid w:val="00765561"/>
    <w:rsid w:val="0077684C"/>
    <w:rsid w:val="00781EE1"/>
    <w:rsid w:val="00785BE1"/>
    <w:rsid w:val="00791709"/>
    <w:rsid w:val="007A194C"/>
    <w:rsid w:val="007A60B5"/>
    <w:rsid w:val="007A68DF"/>
    <w:rsid w:val="007B0986"/>
    <w:rsid w:val="007B6925"/>
    <w:rsid w:val="007D483D"/>
    <w:rsid w:val="007F2E5E"/>
    <w:rsid w:val="007F4A58"/>
    <w:rsid w:val="00800395"/>
    <w:rsid w:val="00802C04"/>
    <w:rsid w:val="00811367"/>
    <w:rsid w:val="00812FB1"/>
    <w:rsid w:val="00821328"/>
    <w:rsid w:val="00826466"/>
    <w:rsid w:val="00831814"/>
    <w:rsid w:val="00831DA4"/>
    <w:rsid w:val="00837452"/>
    <w:rsid w:val="00837DBF"/>
    <w:rsid w:val="00857EB6"/>
    <w:rsid w:val="00862BD5"/>
    <w:rsid w:val="008640AD"/>
    <w:rsid w:val="00864DFE"/>
    <w:rsid w:val="00866B49"/>
    <w:rsid w:val="00872CB4"/>
    <w:rsid w:val="00875567"/>
    <w:rsid w:val="00876052"/>
    <w:rsid w:val="0088790B"/>
    <w:rsid w:val="0089295F"/>
    <w:rsid w:val="0089487A"/>
    <w:rsid w:val="008965F1"/>
    <w:rsid w:val="008A3C39"/>
    <w:rsid w:val="008A5ADD"/>
    <w:rsid w:val="008A73DF"/>
    <w:rsid w:val="008B6F1D"/>
    <w:rsid w:val="008D2EEF"/>
    <w:rsid w:val="008E5E69"/>
    <w:rsid w:val="008F34A7"/>
    <w:rsid w:val="008F507D"/>
    <w:rsid w:val="008F75A7"/>
    <w:rsid w:val="00900BC6"/>
    <w:rsid w:val="00902A77"/>
    <w:rsid w:val="00903DE7"/>
    <w:rsid w:val="0091460F"/>
    <w:rsid w:val="009147DB"/>
    <w:rsid w:val="00931249"/>
    <w:rsid w:val="009322E6"/>
    <w:rsid w:val="00932F66"/>
    <w:rsid w:val="009446D2"/>
    <w:rsid w:val="00954503"/>
    <w:rsid w:val="00963F18"/>
    <w:rsid w:val="00967AC6"/>
    <w:rsid w:val="009817B1"/>
    <w:rsid w:val="00984204"/>
    <w:rsid w:val="00984886"/>
    <w:rsid w:val="0098758E"/>
    <w:rsid w:val="00995B73"/>
    <w:rsid w:val="009A7957"/>
    <w:rsid w:val="009B3DD9"/>
    <w:rsid w:val="009B439C"/>
    <w:rsid w:val="009C0515"/>
    <w:rsid w:val="009C0A59"/>
    <w:rsid w:val="009C7067"/>
    <w:rsid w:val="009D5BA1"/>
    <w:rsid w:val="009E25C1"/>
    <w:rsid w:val="009E3D46"/>
    <w:rsid w:val="009F5B65"/>
    <w:rsid w:val="00A0333C"/>
    <w:rsid w:val="00A10C0C"/>
    <w:rsid w:val="00A25BFB"/>
    <w:rsid w:val="00A31E54"/>
    <w:rsid w:val="00A3353C"/>
    <w:rsid w:val="00A349B6"/>
    <w:rsid w:val="00A359B8"/>
    <w:rsid w:val="00A60814"/>
    <w:rsid w:val="00A65119"/>
    <w:rsid w:val="00A70FA3"/>
    <w:rsid w:val="00A72602"/>
    <w:rsid w:val="00A763AE"/>
    <w:rsid w:val="00A8000C"/>
    <w:rsid w:val="00A82472"/>
    <w:rsid w:val="00AA3FA1"/>
    <w:rsid w:val="00AB66A1"/>
    <w:rsid w:val="00AC3025"/>
    <w:rsid w:val="00AD1BEA"/>
    <w:rsid w:val="00AD3142"/>
    <w:rsid w:val="00AE3EFE"/>
    <w:rsid w:val="00AF5B45"/>
    <w:rsid w:val="00B01A15"/>
    <w:rsid w:val="00B0680C"/>
    <w:rsid w:val="00B06B76"/>
    <w:rsid w:val="00B07B2D"/>
    <w:rsid w:val="00B12B00"/>
    <w:rsid w:val="00B15614"/>
    <w:rsid w:val="00B353BB"/>
    <w:rsid w:val="00B464B8"/>
    <w:rsid w:val="00B6553B"/>
    <w:rsid w:val="00B7448C"/>
    <w:rsid w:val="00B83FFB"/>
    <w:rsid w:val="00B84F14"/>
    <w:rsid w:val="00B937B6"/>
    <w:rsid w:val="00BB02A6"/>
    <w:rsid w:val="00BB1F2B"/>
    <w:rsid w:val="00BB6851"/>
    <w:rsid w:val="00BB71FC"/>
    <w:rsid w:val="00BD959C"/>
    <w:rsid w:val="00BE1C3D"/>
    <w:rsid w:val="00BF2F84"/>
    <w:rsid w:val="00BF53DB"/>
    <w:rsid w:val="00C12E92"/>
    <w:rsid w:val="00C46010"/>
    <w:rsid w:val="00C467C0"/>
    <w:rsid w:val="00C46906"/>
    <w:rsid w:val="00C46A5F"/>
    <w:rsid w:val="00C47E51"/>
    <w:rsid w:val="00C52CDF"/>
    <w:rsid w:val="00C54FE3"/>
    <w:rsid w:val="00C5547A"/>
    <w:rsid w:val="00C633A6"/>
    <w:rsid w:val="00C7656B"/>
    <w:rsid w:val="00C81FF7"/>
    <w:rsid w:val="00C82E61"/>
    <w:rsid w:val="00C865C6"/>
    <w:rsid w:val="00C90CE9"/>
    <w:rsid w:val="00C934ED"/>
    <w:rsid w:val="00C95C80"/>
    <w:rsid w:val="00CA5107"/>
    <w:rsid w:val="00CA5675"/>
    <w:rsid w:val="00CB32BE"/>
    <w:rsid w:val="00CB5995"/>
    <w:rsid w:val="00CC62B1"/>
    <w:rsid w:val="00CC7EAA"/>
    <w:rsid w:val="00CD5B93"/>
    <w:rsid w:val="00CE275A"/>
    <w:rsid w:val="00CF3618"/>
    <w:rsid w:val="00CF7725"/>
    <w:rsid w:val="00D123EF"/>
    <w:rsid w:val="00D13CDE"/>
    <w:rsid w:val="00D17333"/>
    <w:rsid w:val="00D22398"/>
    <w:rsid w:val="00D261D2"/>
    <w:rsid w:val="00D2728D"/>
    <w:rsid w:val="00D30E48"/>
    <w:rsid w:val="00D34F1E"/>
    <w:rsid w:val="00D3755C"/>
    <w:rsid w:val="00D42B19"/>
    <w:rsid w:val="00D44F29"/>
    <w:rsid w:val="00D4502A"/>
    <w:rsid w:val="00D46C0E"/>
    <w:rsid w:val="00D6196E"/>
    <w:rsid w:val="00D658F5"/>
    <w:rsid w:val="00D65CBF"/>
    <w:rsid w:val="00D71A1F"/>
    <w:rsid w:val="00D722BB"/>
    <w:rsid w:val="00D91589"/>
    <w:rsid w:val="00DA0CD5"/>
    <w:rsid w:val="00DA12FE"/>
    <w:rsid w:val="00DB78E6"/>
    <w:rsid w:val="00DCA168"/>
    <w:rsid w:val="00DD0B15"/>
    <w:rsid w:val="00DE00B9"/>
    <w:rsid w:val="00DF646B"/>
    <w:rsid w:val="00DF704B"/>
    <w:rsid w:val="00E174F7"/>
    <w:rsid w:val="00E25A80"/>
    <w:rsid w:val="00E3104E"/>
    <w:rsid w:val="00E45ACC"/>
    <w:rsid w:val="00E572DB"/>
    <w:rsid w:val="00E60353"/>
    <w:rsid w:val="00E60D46"/>
    <w:rsid w:val="00E659AF"/>
    <w:rsid w:val="00E81985"/>
    <w:rsid w:val="00E91ACB"/>
    <w:rsid w:val="00E9228E"/>
    <w:rsid w:val="00EA0B93"/>
    <w:rsid w:val="00EA47A7"/>
    <w:rsid w:val="00EA72A3"/>
    <w:rsid w:val="00EB4D61"/>
    <w:rsid w:val="00EB7344"/>
    <w:rsid w:val="00EC39A8"/>
    <w:rsid w:val="00EE11EE"/>
    <w:rsid w:val="00EE569E"/>
    <w:rsid w:val="00EF40AE"/>
    <w:rsid w:val="00F14993"/>
    <w:rsid w:val="00F26634"/>
    <w:rsid w:val="00F30741"/>
    <w:rsid w:val="00F3185D"/>
    <w:rsid w:val="00F51A8E"/>
    <w:rsid w:val="00F70D5C"/>
    <w:rsid w:val="00F84811"/>
    <w:rsid w:val="00F90555"/>
    <w:rsid w:val="00F91A08"/>
    <w:rsid w:val="00F949EC"/>
    <w:rsid w:val="00F95176"/>
    <w:rsid w:val="00F95F3C"/>
    <w:rsid w:val="00F964B4"/>
    <w:rsid w:val="00FA297A"/>
    <w:rsid w:val="00FA4E5D"/>
    <w:rsid w:val="00FB3C90"/>
    <w:rsid w:val="00FD1584"/>
    <w:rsid w:val="00FD363B"/>
    <w:rsid w:val="00FD3C9A"/>
    <w:rsid w:val="00FE334E"/>
    <w:rsid w:val="00FF795F"/>
    <w:rsid w:val="016D984F"/>
    <w:rsid w:val="01738A60"/>
    <w:rsid w:val="01A48741"/>
    <w:rsid w:val="01B61A11"/>
    <w:rsid w:val="021275EF"/>
    <w:rsid w:val="03481A83"/>
    <w:rsid w:val="0416BB4C"/>
    <w:rsid w:val="04C5CFA7"/>
    <w:rsid w:val="05DB58C7"/>
    <w:rsid w:val="06152C82"/>
    <w:rsid w:val="06ED2250"/>
    <w:rsid w:val="075E3970"/>
    <w:rsid w:val="07C0DEA5"/>
    <w:rsid w:val="08212CEC"/>
    <w:rsid w:val="08780E1F"/>
    <w:rsid w:val="0980C3A0"/>
    <w:rsid w:val="09A168A3"/>
    <w:rsid w:val="0A08C951"/>
    <w:rsid w:val="0A37398C"/>
    <w:rsid w:val="0BBF5C50"/>
    <w:rsid w:val="0C37EF92"/>
    <w:rsid w:val="0C53C595"/>
    <w:rsid w:val="0D974039"/>
    <w:rsid w:val="0D9FC0B8"/>
    <w:rsid w:val="0DBCE9AB"/>
    <w:rsid w:val="0DE28221"/>
    <w:rsid w:val="0E43F4D5"/>
    <w:rsid w:val="0E5EE747"/>
    <w:rsid w:val="0E8DD86C"/>
    <w:rsid w:val="0EB253C7"/>
    <w:rsid w:val="0F7BCD64"/>
    <w:rsid w:val="109C6DDE"/>
    <w:rsid w:val="10FCEAED"/>
    <w:rsid w:val="111DDC27"/>
    <w:rsid w:val="138B5197"/>
    <w:rsid w:val="14618A2D"/>
    <w:rsid w:val="14906E3E"/>
    <w:rsid w:val="14FDAB10"/>
    <w:rsid w:val="157E9E54"/>
    <w:rsid w:val="16213B15"/>
    <w:rsid w:val="16EBBD8C"/>
    <w:rsid w:val="1729F151"/>
    <w:rsid w:val="177D0245"/>
    <w:rsid w:val="17CCC463"/>
    <w:rsid w:val="180C3946"/>
    <w:rsid w:val="1A8C7F1B"/>
    <w:rsid w:val="1B641230"/>
    <w:rsid w:val="1D70DE76"/>
    <w:rsid w:val="1D7EF1AF"/>
    <w:rsid w:val="1D9852C9"/>
    <w:rsid w:val="1DD684B4"/>
    <w:rsid w:val="1DF6FC03"/>
    <w:rsid w:val="1E115193"/>
    <w:rsid w:val="1E26BCFD"/>
    <w:rsid w:val="1EC056CB"/>
    <w:rsid w:val="1F73F60B"/>
    <w:rsid w:val="1F7EF8AE"/>
    <w:rsid w:val="1FFF41F0"/>
    <w:rsid w:val="206EE476"/>
    <w:rsid w:val="2111C4A7"/>
    <w:rsid w:val="22CE841A"/>
    <w:rsid w:val="22EC9F07"/>
    <w:rsid w:val="22F713D8"/>
    <w:rsid w:val="23680750"/>
    <w:rsid w:val="24DBA1FC"/>
    <w:rsid w:val="252BC604"/>
    <w:rsid w:val="2594EAA6"/>
    <w:rsid w:val="25AC9B59"/>
    <w:rsid w:val="25B2DBA0"/>
    <w:rsid w:val="26042156"/>
    <w:rsid w:val="262FD8BD"/>
    <w:rsid w:val="2635FB80"/>
    <w:rsid w:val="27046A72"/>
    <w:rsid w:val="27AC2917"/>
    <w:rsid w:val="27B4052A"/>
    <w:rsid w:val="27E5EB56"/>
    <w:rsid w:val="2813A6E1"/>
    <w:rsid w:val="282BA596"/>
    <w:rsid w:val="28BB0915"/>
    <w:rsid w:val="28EA3AA7"/>
    <w:rsid w:val="29A95FDB"/>
    <w:rsid w:val="2A4D1C1A"/>
    <w:rsid w:val="2BA47DD7"/>
    <w:rsid w:val="2CF21348"/>
    <w:rsid w:val="2D310563"/>
    <w:rsid w:val="2E146568"/>
    <w:rsid w:val="2F1C2457"/>
    <w:rsid w:val="303FCFE4"/>
    <w:rsid w:val="30B63569"/>
    <w:rsid w:val="30BCA447"/>
    <w:rsid w:val="31953411"/>
    <w:rsid w:val="31F7695E"/>
    <w:rsid w:val="3320956D"/>
    <w:rsid w:val="3373405A"/>
    <w:rsid w:val="337D8A4C"/>
    <w:rsid w:val="344383B9"/>
    <w:rsid w:val="344EA454"/>
    <w:rsid w:val="3474B702"/>
    <w:rsid w:val="349D1937"/>
    <w:rsid w:val="349F04F3"/>
    <w:rsid w:val="34FCA5D5"/>
    <w:rsid w:val="3583BCBF"/>
    <w:rsid w:val="35B3D4C0"/>
    <w:rsid w:val="35E98AD1"/>
    <w:rsid w:val="36135852"/>
    <w:rsid w:val="36A2A2DD"/>
    <w:rsid w:val="36C72B49"/>
    <w:rsid w:val="375DCD67"/>
    <w:rsid w:val="37DF989F"/>
    <w:rsid w:val="37EF7653"/>
    <w:rsid w:val="398D1633"/>
    <w:rsid w:val="3A24F56B"/>
    <w:rsid w:val="3AA728D7"/>
    <w:rsid w:val="3AB1459F"/>
    <w:rsid w:val="3AB5C7EA"/>
    <w:rsid w:val="3C562869"/>
    <w:rsid w:val="3C7815F2"/>
    <w:rsid w:val="3C7D47E6"/>
    <w:rsid w:val="3C7F867A"/>
    <w:rsid w:val="3CA875CB"/>
    <w:rsid w:val="3CE3F16A"/>
    <w:rsid w:val="3D3134A3"/>
    <w:rsid w:val="3DD765E9"/>
    <w:rsid w:val="3DD7D4B5"/>
    <w:rsid w:val="3E7862C6"/>
    <w:rsid w:val="3F0D6088"/>
    <w:rsid w:val="3F50319C"/>
    <w:rsid w:val="3FE49B14"/>
    <w:rsid w:val="401B5B54"/>
    <w:rsid w:val="406D8DE5"/>
    <w:rsid w:val="413D5C02"/>
    <w:rsid w:val="414DC0D6"/>
    <w:rsid w:val="414EC5E8"/>
    <w:rsid w:val="41B488A6"/>
    <w:rsid w:val="42D3192F"/>
    <w:rsid w:val="42DB9432"/>
    <w:rsid w:val="4364DAE9"/>
    <w:rsid w:val="438ABAC4"/>
    <w:rsid w:val="4393B15C"/>
    <w:rsid w:val="43A2018F"/>
    <w:rsid w:val="43DCF4D0"/>
    <w:rsid w:val="443C36C4"/>
    <w:rsid w:val="444EE8FB"/>
    <w:rsid w:val="456F47D5"/>
    <w:rsid w:val="462FBFD7"/>
    <w:rsid w:val="46D81F7B"/>
    <w:rsid w:val="46E06A2E"/>
    <w:rsid w:val="474655EC"/>
    <w:rsid w:val="479D3FE7"/>
    <w:rsid w:val="47B38AC7"/>
    <w:rsid w:val="47E64A96"/>
    <w:rsid w:val="47E7F091"/>
    <w:rsid w:val="48194E71"/>
    <w:rsid w:val="4842F97B"/>
    <w:rsid w:val="494F603F"/>
    <w:rsid w:val="498D1065"/>
    <w:rsid w:val="4A736D87"/>
    <w:rsid w:val="4AFBC076"/>
    <w:rsid w:val="4B2831A3"/>
    <w:rsid w:val="4BA90C0B"/>
    <w:rsid w:val="4D2E49E5"/>
    <w:rsid w:val="4D43F94A"/>
    <w:rsid w:val="4E1987AA"/>
    <w:rsid w:val="4E255AFC"/>
    <w:rsid w:val="4E758AFF"/>
    <w:rsid w:val="4EA17172"/>
    <w:rsid w:val="4EA20F63"/>
    <w:rsid w:val="4FFF19A2"/>
    <w:rsid w:val="51061BA2"/>
    <w:rsid w:val="511E4BDD"/>
    <w:rsid w:val="51E39965"/>
    <w:rsid w:val="51FBEBB2"/>
    <w:rsid w:val="527A8C48"/>
    <w:rsid w:val="52B0B059"/>
    <w:rsid w:val="52B1D017"/>
    <w:rsid w:val="5351F054"/>
    <w:rsid w:val="53780D65"/>
    <w:rsid w:val="539F9940"/>
    <w:rsid w:val="542A386B"/>
    <w:rsid w:val="55927CB4"/>
    <w:rsid w:val="55D0FF99"/>
    <w:rsid w:val="55F5B423"/>
    <w:rsid w:val="564B64A0"/>
    <w:rsid w:val="565FDDFA"/>
    <w:rsid w:val="569E0473"/>
    <w:rsid w:val="573EC1B6"/>
    <w:rsid w:val="57FD3F9E"/>
    <w:rsid w:val="590365C5"/>
    <w:rsid w:val="5A5C9D5F"/>
    <w:rsid w:val="5AC2392B"/>
    <w:rsid w:val="5B668FD8"/>
    <w:rsid w:val="5BCB4067"/>
    <w:rsid w:val="5C58AC4D"/>
    <w:rsid w:val="5DD38999"/>
    <w:rsid w:val="5E3D0300"/>
    <w:rsid w:val="5E568E65"/>
    <w:rsid w:val="5E6FCC42"/>
    <w:rsid w:val="5E7B98E3"/>
    <w:rsid w:val="5F2A9B28"/>
    <w:rsid w:val="5F9C7D07"/>
    <w:rsid w:val="5FAEA485"/>
    <w:rsid w:val="5FE66306"/>
    <w:rsid w:val="61A68DE7"/>
    <w:rsid w:val="62553DD5"/>
    <w:rsid w:val="628C575B"/>
    <w:rsid w:val="62E3BBE3"/>
    <w:rsid w:val="630C5289"/>
    <w:rsid w:val="63892132"/>
    <w:rsid w:val="63D5304C"/>
    <w:rsid w:val="640CEEEE"/>
    <w:rsid w:val="64113D26"/>
    <w:rsid w:val="64BE1FE0"/>
    <w:rsid w:val="64F24CB4"/>
    <w:rsid w:val="66037B17"/>
    <w:rsid w:val="66967213"/>
    <w:rsid w:val="6710CD48"/>
    <w:rsid w:val="67551ADB"/>
    <w:rsid w:val="67BF1174"/>
    <w:rsid w:val="68181C81"/>
    <w:rsid w:val="681D9B1A"/>
    <w:rsid w:val="681EB2FE"/>
    <w:rsid w:val="68482FDB"/>
    <w:rsid w:val="69262602"/>
    <w:rsid w:val="69433F07"/>
    <w:rsid w:val="69C08528"/>
    <w:rsid w:val="6A8FBC15"/>
    <w:rsid w:val="6AAE532E"/>
    <w:rsid w:val="6B4F4B12"/>
    <w:rsid w:val="6B619D5E"/>
    <w:rsid w:val="6B9E8B44"/>
    <w:rsid w:val="6BA035A3"/>
    <w:rsid w:val="6BB6AE1D"/>
    <w:rsid w:val="6BDDBC4F"/>
    <w:rsid w:val="6CE1A417"/>
    <w:rsid w:val="6CF889C8"/>
    <w:rsid w:val="6DBA2DC0"/>
    <w:rsid w:val="6DFCB267"/>
    <w:rsid w:val="6E12ED79"/>
    <w:rsid w:val="6E1A7256"/>
    <w:rsid w:val="6E658213"/>
    <w:rsid w:val="6EAC8B13"/>
    <w:rsid w:val="6FF81A55"/>
    <w:rsid w:val="70257EF6"/>
    <w:rsid w:val="705A00A7"/>
    <w:rsid w:val="7062B55F"/>
    <w:rsid w:val="739E0AD7"/>
    <w:rsid w:val="73C98E11"/>
    <w:rsid w:val="743110BD"/>
    <w:rsid w:val="745F93B9"/>
    <w:rsid w:val="75065560"/>
    <w:rsid w:val="754E5C57"/>
    <w:rsid w:val="758EFBD4"/>
    <w:rsid w:val="75A882F9"/>
    <w:rsid w:val="767123B6"/>
    <w:rsid w:val="767F5930"/>
    <w:rsid w:val="76D786FD"/>
    <w:rsid w:val="771C603D"/>
    <w:rsid w:val="7842237B"/>
    <w:rsid w:val="78B3EA70"/>
    <w:rsid w:val="793A32CD"/>
    <w:rsid w:val="796D6787"/>
    <w:rsid w:val="799D5531"/>
    <w:rsid w:val="79D2FE67"/>
    <w:rsid w:val="7AE20B36"/>
    <w:rsid w:val="7B754D4F"/>
    <w:rsid w:val="7BAA2EC5"/>
    <w:rsid w:val="7D2075CA"/>
    <w:rsid w:val="7D2BA3EA"/>
    <w:rsid w:val="7DB5E6EC"/>
    <w:rsid w:val="7E0E7332"/>
    <w:rsid w:val="7ED2BD30"/>
    <w:rsid w:val="7F7984B7"/>
    <w:rsid w:val="7F87E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EDAB"/>
  <w15:docId w15:val="{36EF3D31-3EEE-45C3-B0C7-81EDF101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widowControl w:val="0"/>
        <w:spacing w:line="23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suppressAutoHyphens/>
      <w:spacing w:line="238" w:lineRule="exact"/>
    </w:pPr>
    <w:rPr>
      <w:rFonts w:eastAsia="SimSun"/>
      <w:kern w:val="1"/>
      <w:lang w:eastAsia="zh-CN" w:bidi="hi-IN"/>
    </w:rPr>
  </w:style>
  <w:style w:type="paragraph" w:styleId="Heading1">
    <w:name w:val="heading 1"/>
    <w:basedOn w:val="Normal"/>
    <w:next w:val="Normal"/>
    <w:link w:val="Heading1Char"/>
    <w:uiPriority w:val="9"/>
    <w:qFormat/>
    <w:rsid w:val="00FE03F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FE03F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semiHidden/>
    <w:unhideWhenUsed/>
    <w:qFormat/>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semiHidden/>
    <w:unhideWhenUsed/>
    <w:qFormat/>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suppressAutoHyphens/>
    </w:pPr>
    <w:rPr>
      <w:rFonts w:eastAsia="SimSun" w:cs="Mangal"/>
      <w:kern w:val="1"/>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5B5E78"/>
    <w:pPr>
      <w:keepNext/>
      <w:keepLines/>
      <w:suppressLineNumbers/>
    </w:pPr>
    <w:rPr>
      <w:rFonts w:eastAsia="SimSun"/>
      <w:b/>
      <w:kern w:val="1"/>
      <w:lang w:eastAsia="zh-CN" w:bidi="hi-IN"/>
    </w:rPr>
  </w:style>
  <w:style w:type="paragraph" w:customStyle="1" w:styleId="Pealkiri1">
    <w:name w:val="Pealkiri1"/>
    <w:autoRedefine/>
    <w:qFormat/>
    <w:rsid w:val="0084562D"/>
    <w:pPr>
      <w:spacing w:after="560"/>
    </w:pPr>
    <w:rPr>
      <w:rFonts w:eastAsia="SimSun"/>
      <w:bCs/>
      <w:kern w:val="1"/>
      <w:lang w:eastAsia="zh-CN" w:bidi="hi-IN"/>
    </w:rPr>
  </w:style>
  <w:style w:type="paragraph" w:customStyle="1" w:styleId="Tekst">
    <w:name w:val="Tekst"/>
    <w:autoRedefine/>
    <w:qFormat/>
    <w:rsid w:val="007056E1"/>
    <w:rPr>
      <w:rFonts w:eastAsia="SimSun" w:cs="Mangal"/>
      <w:kern w:val="1"/>
      <w:lang w:eastAsia="zh-CN" w:bidi="hi-IN"/>
    </w:rPr>
  </w:style>
  <w:style w:type="paragraph" w:customStyle="1" w:styleId="Kuupev1">
    <w:name w:val="Kuupäev1"/>
    <w:autoRedefine/>
    <w:qFormat/>
    <w:rsid w:val="005927C1"/>
    <w:pPr>
      <w:tabs>
        <w:tab w:val="left" w:pos="291"/>
      </w:tabs>
      <w:spacing w:before="840"/>
    </w:pPr>
    <w:rPr>
      <w:rFonts w:eastAsia="SimSun"/>
      <w:kern w:val="24"/>
      <w:lang w:eastAsia="zh-CN" w:bidi="hi-IN"/>
    </w:rPr>
  </w:style>
  <w:style w:type="paragraph" w:customStyle="1" w:styleId="Liik">
    <w:name w:val="Liik"/>
    <w:autoRedefine/>
    <w:qFormat/>
    <w:rsid w:val="00110BCA"/>
    <w:rPr>
      <w:rFonts w:eastAsia="SimSun"/>
      <w:caps/>
      <w:kern w:val="24"/>
      <w:lang w:eastAsia="zh-CN" w:bidi="hi-IN"/>
    </w:rPr>
  </w:style>
  <w:style w:type="paragraph" w:customStyle="1" w:styleId="Osa">
    <w:name w:val="Osa"/>
    <w:qFormat/>
    <w:rsid w:val="0050252A"/>
    <w:pPr>
      <w:jc w:val="center"/>
    </w:pPr>
    <w:rPr>
      <w:rFonts w:eastAsia="SimSun" w:cs="Mangal"/>
      <w:b/>
      <w:kern w:val="1"/>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FE03F5"/>
    <w:pPr>
      <w:widowControl/>
      <w:suppressAutoHyphens w:val="0"/>
      <w:spacing w:line="240" w:lineRule="auto"/>
      <w:jc w:val="left"/>
    </w:pPr>
    <w:rPr>
      <w:rFonts w:eastAsia="Times New Roman"/>
      <w:kern w:val="0"/>
      <w:sz w:val="20"/>
      <w:szCs w:val="20"/>
      <w:lang w:val="en-US" w:eastAsia="en-US" w:bidi="ar-SA"/>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FE03F5"/>
    <w:rPr>
      <w:lang w:val="en-US"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semiHidden/>
    <w:rsid w:val="00FE03F5"/>
    <w:rPr>
      <w:rFonts w:cs="Times New Roman"/>
      <w:vertAlign w:val="superscript"/>
    </w:rPr>
  </w:style>
  <w:style w:type="character" w:customStyle="1" w:styleId="Heading1Char">
    <w:name w:val="Heading 1 Char"/>
    <w:basedOn w:val="DefaultParagraphFont"/>
    <w:link w:val="Heading1"/>
    <w:uiPriority w:val="9"/>
    <w:rsid w:val="00FE03F5"/>
    <w:rPr>
      <w:rFonts w:asciiTheme="majorHAnsi" w:eastAsiaTheme="majorEastAsia" w:hAnsiTheme="majorHAnsi" w:cs="Mangal"/>
      <w:color w:val="365F91" w:themeColor="accent1" w:themeShade="BF"/>
      <w:kern w:val="1"/>
      <w:sz w:val="32"/>
      <w:szCs w:val="29"/>
      <w:lang w:eastAsia="zh-CN" w:bidi="hi-IN"/>
    </w:rPr>
  </w:style>
  <w:style w:type="character" w:customStyle="1" w:styleId="Heading2Char">
    <w:name w:val="Heading 2 Char"/>
    <w:basedOn w:val="DefaultParagraphFont"/>
    <w:link w:val="Heading2"/>
    <w:uiPriority w:val="9"/>
    <w:rsid w:val="00FE03F5"/>
    <w:rPr>
      <w:rFonts w:asciiTheme="majorHAnsi" w:eastAsiaTheme="majorEastAsia" w:hAnsiTheme="majorHAnsi" w:cs="Mangal"/>
      <w:color w:val="365F91" w:themeColor="accent1" w:themeShade="BF"/>
      <w:kern w:val="1"/>
      <w:sz w:val="26"/>
      <w:szCs w:val="23"/>
      <w:lang w:eastAsia="zh-CN" w:bidi="hi-IN"/>
    </w:rPr>
  </w:style>
  <w:style w:type="paragraph" w:styleId="ListParagraph">
    <w:name w:val="List Paragraph"/>
    <w:basedOn w:val="Normal"/>
    <w:uiPriority w:val="34"/>
    <w:qFormat/>
    <w:rsid w:val="007A460D"/>
    <w:pPr>
      <w:ind w:left="720"/>
      <w:contextualSpacing/>
    </w:pPr>
    <w:rPr>
      <w:rFonts w:cs="Mangal"/>
      <w:szCs w:val="21"/>
    </w:rPr>
  </w:style>
  <w:style w:type="character" w:styleId="CommentReference">
    <w:name w:val="annotation reference"/>
    <w:basedOn w:val="DefaultParagraphFont"/>
    <w:uiPriority w:val="99"/>
    <w:semiHidden/>
    <w:unhideWhenUsed/>
    <w:rsid w:val="007B476E"/>
    <w:rPr>
      <w:sz w:val="16"/>
      <w:szCs w:val="16"/>
    </w:rPr>
  </w:style>
  <w:style w:type="paragraph" w:styleId="CommentText">
    <w:name w:val="annotation text"/>
    <w:basedOn w:val="Normal"/>
    <w:link w:val="CommentTextChar"/>
    <w:uiPriority w:val="99"/>
    <w:unhideWhenUsed/>
    <w:rsid w:val="007B476E"/>
    <w:pPr>
      <w:spacing w:line="240" w:lineRule="auto"/>
    </w:pPr>
    <w:rPr>
      <w:rFonts w:cs="Mangal"/>
      <w:sz w:val="20"/>
      <w:szCs w:val="18"/>
    </w:rPr>
  </w:style>
  <w:style w:type="character" w:customStyle="1" w:styleId="CommentTextChar">
    <w:name w:val="Comment Text Char"/>
    <w:basedOn w:val="DefaultParagraphFont"/>
    <w:link w:val="CommentText"/>
    <w:uiPriority w:val="99"/>
    <w:rsid w:val="007B476E"/>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7B476E"/>
    <w:rPr>
      <w:b/>
      <w:bCs/>
    </w:rPr>
  </w:style>
  <w:style w:type="character" w:customStyle="1" w:styleId="CommentSubjectChar">
    <w:name w:val="Comment Subject Char"/>
    <w:basedOn w:val="CommentTextChar"/>
    <w:link w:val="CommentSubject"/>
    <w:uiPriority w:val="99"/>
    <w:semiHidden/>
    <w:rsid w:val="007B476E"/>
    <w:rPr>
      <w:rFonts w:eastAsia="SimSun" w:cs="Mangal"/>
      <w:b/>
      <w:bCs/>
      <w:kern w:val="1"/>
      <w:szCs w:val="18"/>
      <w:lang w:eastAsia="zh-CN" w:bidi="hi-IN"/>
    </w:rPr>
  </w:style>
  <w:style w:type="paragraph" w:styleId="Revision">
    <w:name w:val="Revision"/>
    <w:hidden/>
    <w:uiPriority w:val="99"/>
    <w:semiHidden/>
    <w:rsid w:val="00794AE5"/>
    <w:rPr>
      <w:rFonts w:eastAsia="SimSun" w:cs="Mangal"/>
      <w:kern w:val="1"/>
      <w:szCs w:val="21"/>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A510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GbFm6xuI/s3w/HyKzE+/tww/A==">CgMxLjAyCGguZ2pkZ3hzMgloLjMwajB6bGw4AHIhMTYwR1Z2YlFIQURGR01OUjFuLW1VM2ZXNEl2Tll5N0tw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4A35BE5CA0F42910A4EFEA253D3AE" ma:contentTypeVersion="14" ma:contentTypeDescription="Create a new document." ma:contentTypeScope="" ma:versionID="3b0d0c428da60d99e592a3ae198e95ba">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b12250891805977e633925793ba92a4e"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430D60-EF24-4284-82E3-1FBC36BABDD7}">
  <ds:schemaRefs>
    <ds:schemaRef ds:uri="http://schemas.microsoft.com/sharepoint/v3/contenttype/forms"/>
  </ds:schemaRefs>
</ds:datastoreItem>
</file>

<file path=customXml/itemProps3.xml><?xml version="1.0" encoding="utf-8"?>
<ds:datastoreItem xmlns:ds="http://schemas.openxmlformats.org/officeDocument/2006/customXml" ds:itemID="{C1674084-3B20-4CC3-AB31-66CDE059865A}"/>
</file>

<file path=customXml/itemProps4.xml><?xml version="1.0" encoding="utf-8"?>
<ds:datastoreItem xmlns:ds="http://schemas.openxmlformats.org/officeDocument/2006/customXml" ds:itemID="{CA9AB08C-B47C-416B-B9A6-97B75E6040F2}">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12</Pages>
  <Words>4902</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Sille Uusleer</dc:creator>
  <cp:lastModifiedBy>Leana Liivson </cp:lastModifiedBy>
  <cp:revision>325</cp:revision>
  <dcterms:created xsi:type="dcterms:W3CDTF">2024-11-11T12:38:00Z</dcterms:created>
  <dcterms:modified xsi:type="dcterms:W3CDTF">2025-10-27T07:56:00Z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y fmtid="{D5CDD505-2E9C-101B-9397-08002B2CF9AE}" pid="17" name="ContentTypeId">
    <vt:lpwstr>0x0101000214A35BE5CA0F42910A4EFEA253D3AE</vt:lpwstr>
  </property>
  <property fmtid="{D5CDD505-2E9C-101B-9397-08002B2CF9AE}" pid="18" name="MediaServiceImageTags">
    <vt:lpwstr/>
  </property>
</Properties>
</file>