
<file path=[Content_Types].xml><?xml version="1.0" encoding="utf-8"?>
<Types xmlns="http://schemas.openxmlformats.org/package/2006/content-types">
  <Default Extension="rels" ContentType="application/vnd.openxmlformats-package.relationships+xml"/>
  <Default Extension="jpeg" ContentType="image/jpeg"/>
  <Override PartName="/docProps/core.xml" ContentType="application/vnd.openxmlformats-package.core-properti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officeDocument" Target="word/document.xml" /></Relationships>
</file>

<file path=word/document.xml><?xml version="1.0" encoding="utf-8"?>
<w:document xmlns:r="http://schemas.openxmlformats.org/officeDocument/2006/relationships" xmlns:w="http://schemas.openxmlformats.org/wordprocessingml/2006/main">
  <w:body>
    <w:p>
      <w:pPr>
        <w:spacing w:after="0" w:line="240" w:lineRule="auto"/>
        <w:jc w:val="center"/>
        <w:rPr>
          <w:rFonts w:ascii="Times New Roman" w:hAnsi="Times New Roman" w:cs="Times New Roman"/>
          <w:b w:val="true"/>
          <w:sz w:val="28"/>
        </w:rPr>
      </w:pPr>
      <w:r>
        <w:rPr>
          <w:rFonts w:ascii="Times New Roman" w:hAnsi="Times New Roman" w:cs="Times New Roman"/>
          <w:b w:val="true"/>
          <w:sz w:val="28"/>
        </w:rPr>
        <w:t>KEHTNA   VALLAVALITSUS</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tabs>
          <w:tab w:pos="5387" w:val="left" w:leader="none"/>
        </w:tabs>
        <w:spacing w:after="0" w:line="240" w:lineRule="auto"/>
        <w:rPr>
          <w:rFonts w:ascii="Times New Roman" w:hAnsi="Times New Roman" w:cs="Times New Roman"/>
          <w:color w:val="171717"/>
          <w:sz w:val="24"/>
        </w:rPr>
      </w:pPr>
      <w:r>
        <w:br/>
      </w:r>
      <w:r>
        <w:rPr>
          <w:rFonts w:ascii="Times New Roman" w:hAnsi="Times New Roman" w:cs="Times New Roman"/>
          <w:color w:val="171717"/>
          <w:sz w:val="24"/>
        </w:rPr>
        <w:t xml:space="preserve">Riigi Tugiteenuste Keskus </w:t>
      </w:r>
      <w:r>
        <w:rPr>
          <w:rFonts w:ascii="Times New Roman" w:hAnsi="Times New Roman" w:cs="Times New Roman"/>
          <w:sz w:val="24"/>
        </w:rPr>
        <w:tab/>
        <w:t>Teie 16.02.2024</w:t>
      </w:r>
      <w:r>
        <w:rPr>
          <w:rFonts w:ascii="Times New Roman" w:hAnsi="Times New Roman" w:cs="Times New Roman"/>
          <w:color w:val="171717"/>
          <w:sz w:val="24"/>
          <w:shd w:fill="FFFFFF" w:color="auto" w:val="clear"/>
        </w:rPr>
        <w:t xml:space="preserve"> </w:t>
      </w:r>
      <w:r>
        <w:rPr>
          <w:rFonts w:ascii="Times New Roman" w:hAnsi="Times New Roman" w:cs="Times New Roman"/>
          <w:color w:val="171717"/>
          <w:sz w:val="24"/>
        </w:rPr>
        <w:t xml:space="preserve">nr </w:t>
      </w:r>
      <w:r>
        <w:rPr>
          <w:rFonts w:ascii="Times New Roman" w:hAnsi="Times New Roman" w:cs="Times New Roman"/>
          <w:sz w:val="24"/>
        </w:rPr>
        <w:t>11.2-14/24/102</w:t>
      </w:r>
    </w:p>
    <w:p>
      <w:pPr>
        <w:tabs>
          <w:tab w:pos="5387" w:val="left" w:leader="none"/>
        </w:tabs>
        <w:spacing w:after="0" w:line="240" w:lineRule="auto"/>
        <w:rPr>
          <w:rFonts w:ascii="Times New Roman" w:hAnsi="Times New Roman" w:cs="Times New Roman"/>
          <w:color w:val="171717"/>
          <w:sz w:val="24"/>
          <w:shd w:fill="FFFFFF" w:color="auto" w:val="clear"/>
        </w:rPr>
      </w:pPr>
      <w:r>
        <w:rPr>
          <w:rFonts w:ascii="Times New Roman" w:hAnsi="Times New Roman" w:cs="Times New Roman"/>
          <w:color w:val="171717"/>
          <w:sz w:val="24"/>
          <w:shd w:fill="FFFFFF" w:color="auto" w:val="clear"/>
        </w:rPr>
        <w:t>Lõkke 4</w:t>
      </w:r>
    </w:p>
    <w:p>
      <w:pPr>
        <w:tabs>
          <w:tab w:pos="5387" w:val="left" w:leader="none"/>
        </w:tabs>
        <w:spacing w:after="0" w:line="240" w:lineRule="auto"/>
        <w:rPr>
          <w:rFonts w:ascii="Times New Roman" w:hAnsi="Times New Roman" w:cs="Times New Roman"/>
          <w:sz w:val="24"/>
        </w:rPr>
      </w:pPr>
      <w:r>
        <w:rPr>
          <w:rFonts w:ascii="Times New Roman" w:hAnsi="Times New Roman" w:cs="Times New Roman"/>
          <w:color w:val="171717"/>
          <w:sz w:val="24"/>
          <w:shd w:fill="FFFFFF" w:color="auto" w:val="clear"/>
        </w:rPr>
        <w:t xml:space="preserve">10122 TALLINN </w:t>
      </w:r>
      <w:r>
        <w:rPr>
          <w:rFonts w:ascii="Times New Roman" w:hAnsi="Times New Roman" w:cs="Times New Roman"/>
          <w:sz w:val="24"/>
        </w:rPr>
        <w:tab/>
        <w:t xml:space="preserve">Meie 14.03.2024 nr </w:t>
      </w:r>
      <w:r>
        <w:rPr>
          <w:rFonts w:ascii="Times New Roman" w:hAnsi="Times New Roman" w:cs="Times New Roman"/>
          <w:sz w:val="24"/>
          <w:shd w:fill="FFFFFF" w:color="auto" w:val="clear"/>
        </w:rPr>
        <w:t>12-12/2024/398-1</w:t>
      </w:r>
    </w:p>
    <w:p>
      <w:pPr>
        <w:tabs>
          <w:tab w:pos="5387" w:val="left" w:leader="none"/>
        </w:tabs>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jc w:val="both"/>
        <w:rPr>
          <w:rFonts w:ascii="Times New Roman" w:hAnsi="Times New Roman" w:cs="Times New Roman"/>
          <w:sz w:val="24"/>
        </w:rPr>
      </w:pPr>
    </w:p>
    <w:p>
      <w:pPr>
        <w:spacing w:after="0" w:line="240" w:lineRule="auto"/>
        <w:jc w:val="both"/>
        <w:rPr>
          <w:rFonts w:ascii="Times New Roman" w:hAnsi="Times New Roman" w:cs="Times New Roman"/>
          <w:sz w:val="24"/>
        </w:rPr>
      </w:pPr>
      <w:r>
        <w:rPr>
          <w:rFonts w:ascii="Times New Roman" w:hAnsi="Times New Roman" w:cs="Times New Roman"/>
          <w:sz w:val="24"/>
        </w:rPr>
        <w:t>Vaide esitaja:</w:t>
      </w:r>
      <w:r>
        <w:rPr>
          <w:rFonts w:ascii="Times New Roman" w:hAnsi="Times New Roman" w:cs="Times New Roman"/>
          <w:sz w:val="24"/>
        </w:rPr>
        <w:tab/>
      </w:r>
      <w:bookmarkStart w:id="5" w:name="_Hlk161316704"/>
      <w:r>
        <w:rPr>
          <w:rFonts w:ascii="Times New Roman" w:hAnsi="Times New Roman" w:cs="Times New Roman"/>
          <w:sz w:val="24"/>
        </w:rPr>
        <w:t>Kehtna Vallavalitsus</w:t>
      </w:r>
    </w:p>
    <w:p>
      <w:pPr>
        <w:spacing w:after="0" w:line="240" w:lineRule="auto"/>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registrikood 77000252</w:t>
      </w:r>
    </w:p>
    <w:p>
      <w:pPr>
        <w:spacing w:after="0" w:line="240" w:lineRule="auto"/>
        <w:ind w:firstLine="708" w:left="708"/>
        <w:jc w:val="both"/>
        <w:rPr>
          <w:rFonts w:ascii="Times New Roman" w:hAnsi="Times New Roman" w:cs="Times New Roman"/>
          <w:sz w:val="24"/>
        </w:rPr>
      </w:pPr>
      <w:r>
        <w:rPr>
          <w:rFonts w:ascii="Times New Roman" w:hAnsi="Times New Roman" w:cs="Times New Roman"/>
          <w:sz w:val="24"/>
        </w:rPr>
        <w:t>Pargi tn 2, Kehtna alevik, Kehtna vald</w:t>
      </w:r>
    </w:p>
    <w:p>
      <w:pPr>
        <w:spacing w:after="0" w:line="240" w:lineRule="auto"/>
        <w:ind w:firstLine="708" w:left="708"/>
        <w:jc w:val="both"/>
        <w:rPr>
          <w:rFonts w:ascii="Times New Roman" w:hAnsi="Times New Roman" w:cs="Times New Roman"/>
          <w:sz w:val="24"/>
        </w:rPr>
      </w:pPr>
      <w:r>
        <w:rPr>
          <w:rFonts w:ascii="Times New Roman" w:hAnsi="Times New Roman" w:cs="Times New Roman"/>
          <w:sz w:val="24"/>
        </w:rPr>
        <w:t>Rapla maakond, 79001</w:t>
      </w:r>
    </w:p>
    <w:p>
      <w:pPr>
        <w:spacing w:after="0" w:line="240" w:lineRule="auto"/>
        <w:ind w:firstLine="708" w:left="708"/>
        <w:jc w:val="both"/>
        <w:rPr>
          <w:rFonts w:ascii="Times New Roman" w:hAnsi="Times New Roman" w:cs="Times New Roman"/>
          <w:sz w:val="24"/>
        </w:rPr>
      </w:pPr>
      <w:r>
        <w:fldChar w:fldCharType="begin" w:fldLock="false" w:dirty="false"/>
      </w:r>
      <w:r>
        <w:rPr/>
        <w:instrText xml:space="preserve"> HYPERLINK "mailto:kehtna@kehtna.ee" </w:instrText>
      </w:r>
      <w:r>
        <w:fldChar w:fldCharType="separate"/>
      </w:r>
      <w:r>
        <w:rPr>
          <w:rStyle w:val="Hperlink"/>
          <w:rFonts w:ascii="Times New Roman" w:hAnsi="Times New Roman" w:cs="Times New Roman"/>
          <w:sz w:val="24"/>
        </w:rPr>
        <w:t>kehtna@kehtna.ee</w:t>
      </w:r>
      <w:r>
        <w:fldChar w:fldCharType="end"/>
      </w:r>
    </w:p>
    <w:p>
      <w:pPr>
        <w:spacing w:after="0" w:line="240" w:lineRule="auto"/>
        <w:jc w:val="both"/>
        <w:rPr>
          <w:rFonts w:ascii="Times New Roman" w:hAnsi="Times New Roman" w:cs="Times New Roman"/>
          <w:sz w:val="24"/>
        </w:rPr>
      </w:pPr>
      <w:bookmarkEnd w:id="5"/>
    </w:p>
    <w:p>
      <w:pPr>
        <w:spacing w:after="0" w:line="240" w:lineRule="auto"/>
        <w:jc w:val="both"/>
        <w:rPr>
          <w:rFonts w:ascii="Times New Roman" w:hAnsi="Times New Roman" w:cs="Times New Roman"/>
          <w:sz w:val="24"/>
        </w:rPr>
      </w:pPr>
      <w:r>
        <w:rPr>
          <w:rFonts w:ascii="Times New Roman" w:hAnsi="Times New Roman" w:cs="Times New Roman"/>
          <w:sz w:val="24"/>
        </w:rPr>
        <w:t>Vaide esitaja esindaja: Andi Liblikman</w:t>
      </w:r>
    </w:p>
    <w:p>
      <w:pPr>
        <w:spacing w:after="0" w:line="240" w:lineRule="auto"/>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isikukood 37411050236</w:t>
      </w:r>
    </w:p>
    <w:p>
      <w:pPr>
        <w:spacing w:after="0" w:line="240" w:lineRule="auto"/>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Kehtna Vallavalitsus</w:t>
      </w:r>
    </w:p>
    <w:p>
      <w:pPr>
        <w:spacing w:after="0" w:line="240" w:lineRule="auto"/>
        <w:ind w:firstLine="708" w:left="1416"/>
        <w:jc w:val="both"/>
        <w:rPr>
          <w:rFonts w:ascii="Times New Roman" w:hAnsi="Times New Roman" w:cs="Times New Roman"/>
          <w:sz w:val="24"/>
        </w:rPr>
      </w:pPr>
      <w:r>
        <w:rPr>
          <w:rFonts w:ascii="Times New Roman" w:hAnsi="Times New Roman" w:cs="Times New Roman"/>
          <w:sz w:val="24"/>
        </w:rPr>
        <w:t>Pargi tn 2, Kehtna alevik, Kehtna vald</w:t>
      </w:r>
    </w:p>
    <w:p>
      <w:pPr>
        <w:spacing w:after="0" w:line="240" w:lineRule="auto"/>
        <w:ind w:firstLine="708" w:left="1416"/>
        <w:jc w:val="both"/>
        <w:rPr>
          <w:rFonts w:ascii="Times New Roman" w:hAnsi="Times New Roman" w:cs="Times New Roman"/>
          <w:sz w:val="24"/>
        </w:rPr>
      </w:pPr>
      <w:r>
        <w:rPr>
          <w:rFonts w:ascii="Times New Roman" w:hAnsi="Times New Roman" w:cs="Times New Roman"/>
          <w:sz w:val="24"/>
        </w:rPr>
        <w:t>Rapla maakond, 79001</w:t>
      </w:r>
    </w:p>
    <w:p>
      <w:pPr>
        <w:spacing w:after="0" w:line="240" w:lineRule="auto"/>
        <w:ind w:firstLine="708" w:left="1416"/>
        <w:jc w:val="both"/>
        <w:rPr>
          <w:rFonts w:ascii="Times New Roman" w:hAnsi="Times New Roman" w:cs="Times New Roman"/>
          <w:sz w:val="24"/>
        </w:rPr>
      </w:pPr>
      <w:r>
        <w:fldChar w:fldCharType="begin" w:fldLock="false" w:dirty="false"/>
      </w:r>
      <w:r>
        <w:rPr/>
        <w:instrText xml:space="preserve"> HYPERLINK "mailto:kehtna@kehtna.ee" </w:instrText>
      </w:r>
      <w:r>
        <w:fldChar w:fldCharType="separate"/>
      </w:r>
      <w:r>
        <w:rPr>
          <w:rStyle w:val="Hperlink"/>
          <w:rFonts w:ascii="Times New Roman" w:hAnsi="Times New Roman" w:cs="Times New Roman"/>
          <w:sz w:val="24"/>
        </w:rPr>
        <w:t>kehtna@kehtna.ee</w:t>
      </w:r>
      <w:r>
        <w:fldChar w:fldCharType="end"/>
      </w:r>
    </w:p>
    <w:p>
      <w:pPr>
        <w:spacing w:after="0" w:line="240" w:lineRule="auto"/>
        <w:jc w:val="both"/>
        <w:rPr>
          <w:rFonts w:ascii="Times New Roman" w:hAnsi="Times New Roman" w:cs="Times New Roman"/>
          <w:sz w:val="24"/>
        </w:rPr>
      </w:pPr>
    </w:p>
    <w:p>
      <w:pPr>
        <w:spacing w:after="0" w:line="240" w:lineRule="auto"/>
        <w:jc w:val="both"/>
        <w:rPr>
          <w:rFonts w:ascii="Times New Roman" w:hAnsi="Times New Roman" w:cs="Times New Roman"/>
          <w:b w:val="true"/>
          <w:sz w:val="24"/>
        </w:rPr>
      </w:pPr>
      <w:r>
        <w:rPr>
          <w:rFonts w:ascii="Times New Roman" w:hAnsi="Times New Roman" w:cs="Times New Roman"/>
          <w:b w:val="true"/>
          <w:sz w:val="24"/>
        </w:rPr>
        <w:t>Vaie</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 xml:space="preserve">Käesolevaga edastab Kehtna Vallavalitsus vaide </w:t>
      </w:r>
      <w:bookmarkStart w:id="6" w:name="_Hlk161228136"/>
      <w:r>
        <w:rPr>
          <w:rFonts w:ascii="Times New Roman" w:hAnsi="Times New Roman" w:cs="Times New Roman"/>
          <w:sz w:val="24"/>
        </w:rPr>
        <w:t>Riigi Tugiteenuste Keskus (edaspidi RTK) 16.02.2024 otsuse „ finantskorrektsiooni tegemise ja toetuse taotluse rahuldamise otsuse muutmise kohta„</w:t>
      </w:r>
      <w:r>
        <w:rPr>
          <w:rFonts w:ascii="Times New Roman" w:hAnsi="Times New Roman" w:cs="Times New Roman"/>
          <w:sz w:val="24"/>
        </w:rPr>
        <w:t xml:space="preserve"> nr 11.2-14/24/102 </w:t>
      </w:r>
      <w:bookmarkEnd w:id="6"/>
      <w:r>
        <w:rPr>
          <w:rFonts w:ascii="Times New Roman" w:hAnsi="Times New Roman" w:cs="Times New Roman"/>
          <w:sz w:val="24"/>
        </w:rPr>
        <w:t>(edaspidi otsus) tühisuse tuvastamise nõudes. Alternatiivnõudena, juhul kui otsuse tühisust ei tuvastata, otsuse kehtetuks tunnistamise nõudes, seda alljärgnevatel põhjustel:</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Faktilised asjaolud</w:t>
      </w:r>
    </w:p>
    <w:p>
      <w:pPr>
        <w:shd w:fill="FFFFFF" w:color="auto" w:val="clear"/>
        <w:spacing w:after="0" w:line="240" w:lineRule="auto"/>
        <w:jc w:val="both"/>
        <w:rPr>
          <w:rFonts w:ascii="Times New Roman" w:hAnsi="Times New Roman" w:cs="Times New Roman"/>
          <w:sz w:val="24"/>
        </w:rPr>
      </w:pPr>
    </w:p>
    <w:p>
      <w:pPr>
        <w:pStyle w:val="Loendilik"/>
        <w:numPr>
          <w:ilvl w:val="0"/>
          <w:numId w:val="1"/>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Kehtna Vallavalitsus avaldas 02.02.2022 hanketeate riigihanke nr 245812 avatud hankemenetlusena läbi viimiseks. Riigihanke nr 245812 raames esitati kaheksa pakkumust. Menetluse tulemusena sõlmis hankija edukaks tunnistatud ühispakkumuse esitanud pakkujatega Warren Teed OÜ ja Warren Asfalt OÜ (edaspidi ka töövõtja) 22.04.2022 töövõtulepingu nr 12-2/2022/22 (edaspidi hankeleping) maksumusega 482 156,18 eurot (KM-ta).</w:t>
      </w:r>
    </w:p>
    <w:p>
      <w:pPr>
        <w:pStyle w:val="Loendilik"/>
        <w:numPr>
          <w:ilvl w:val="0"/>
          <w:numId w:val="1"/>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Riigihanke nr 245812 alusdokumentide (edaspidi ka HD) koosseisu kuuluva hankelepingu projekti (edaspidi HD Lisa II ) punkti 5.1.1 alusel kohustub töövõtja tellijale üle andma ehitusperioodi tagatisena pangagarantii, mis on Eesti Vabariigis registreeritud ja eelnevalt Tellija poolt aktsepteeritud pangalt.</w:t>
      </w:r>
    </w:p>
    <w:p>
      <w:pPr>
        <w:pStyle w:val="Loendilik"/>
        <w:numPr>
          <w:ilvl w:val="0"/>
          <w:numId w:val="1"/>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16.02.2024 otsuse „ finantskorrektsiooni tegemise ja toetuse taotluse rahuldamise otsuse muutmise kohta“ nr 11.2-14/24/102 resolutsiooni kohaselt RTK otsustas:</w:t>
      </w:r>
    </w:p>
    <w:p>
      <w:pPr>
        <w:pStyle w:val="Loendilik"/>
        <w:numPr>
          <w:ilvl w:val="0"/>
          <w:numId w:val="2"/>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lugeda projekti „Järvakandi tööstuspargi arendamine“ raames mitteabikõlblikuks kuluks kokku 22 049,85 eurot, millest Euroopa regionaalarengufondi toetus kokku moodustab 18 742,37 eurot ja omafinantseering 3 307,48 eurot; 2)</w:t>
      </w:r>
    </w:p>
    <w:p>
      <w:pPr>
        <w:pStyle w:val="Loendilik"/>
        <w:numPr>
          <w:ilvl w:val="0"/>
          <w:numId w:val="2"/>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 xml:space="preserve">vähendada riigihanke „Järvakandi tööstuspargi </w:t>
      </w:r>
      <w:r>
        <w:rPr>
          <w:rFonts w:ascii="Times New Roman" w:hAnsi="Times New Roman" w:cs="Times New Roman"/>
          <w:sz w:val="24"/>
        </w:rPr>
        <w:t>teedevõrgu</w:t>
      </w:r>
      <w:r>
        <w:rPr>
          <w:rFonts w:ascii="Times New Roman" w:hAnsi="Times New Roman" w:cs="Times New Roman"/>
          <w:sz w:val="24"/>
        </w:rPr>
        <w:t xml:space="preserve"> ümberehitamise ja laiendamise II etapp“ viitenumbriga 245812 seotud abikõlblikke kulusid projektis 5% võrra;</w:t>
      </w:r>
    </w:p>
    <w:p>
      <w:pPr>
        <w:pStyle w:val="Loendilik"/>
        <w:numPr>
          <w:ilvl w:val="0"/>
          <w:numId w:val="2"/>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 xml:space="preserve">vähendada projekti eelarvet tegevuses nr 1 „Avaliku taristu rajamine ja </w:t>
      </w:r>
      <w:r>
        <w:rPr>
          <w:rFonts w:ascii="Times New Roman" w:hAnsi="Times New Roman" w:cs="Times New Roman"/>
          <w:sz w:val="24"/>
        </w:rPr>
        <w:t>rekonstrueerimine_POLE</w:t>
      </w:r>
      <w:r>
        <w:rPr>
          <w:rFonts w:ascii="Times New Roman" w:hAnsi="Times New Roman" w:cs="Times New Roman"/>
          <w:sz w:val="24"/>
        </w:rPr>
        <w:t xml:space="preserve"> RA“ summas 22 049,85 eurot;</w:t>
      </w:r>
    </w:p>
    <w:p>
      <w:pPr>
        <w:pStyle w:val="Loendilik"/>
        <w:numPr>
          <w:ilvl w:val="0"/>
          <w:numId w:val="2"/>
        </w:num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muuta 01.02.2018 taotluse rahuldamise otsuse 1.1-5.1/18/151 punkti 2 järgmiselt: 2.1 „Projekti kogumaksumus on 1 484 473,15 eurot (üks miljonit nelisada kaheksakümmend neli tuhat nelisada seitsekümmend kolm eurot, 15 senti), millest toetuse saaja omafinantseering on minimaalselt 222 670,97 eurot (kakssada kakskümmend kaks tuhat kuussada seitsekümmend eurot, 97 senti) ja toetus on maksimaalselt 1 261 802,18 eurot (üks miljonit kakssada kuuskümmend üks tuhat kaheksasada kaks eurot, 18 senti)“.</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b w:val="true"/>
          <w:sz w:val="24"/>
        </w:rPr>
      </w:pPr>
      <w:r>
        <w:rPr>
          <w:rFonts w:ascii="Times New Roman" w:hAnsi="Times New Roman" w:cs="Times New Roman"/>
          <w:b w:val="true"/>
          <w:sz w:val="24"/>
        </w:rPr>
        <w:t>Vaide põhjendused tühisuse tuvastamise osas:</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 xml:space="preserve">1 Vaide esitaja leiab, et vaidlustatud otsus ei ole allkirjastatud RTK esindusõigusliku isiku poolt. Kehtna Vallavalitsus märgib, et otsus on allkirjastatud Tiina </w:t>
      </w:r>
      <w:r>
        <w:rPr>
          <w:rFonts w:ascii="Times New Roman" w:hAnsi="Times New Roman" w:cs="Times New Roman"/>
          <w:sz w:val="24"/>
        </w:rPr>
        <w:t>Sams</w:t>
      </w:r>
      <w:r>
        <w:rPr>
          <w:rFonts w:ascii="Times New Roman" w:hAnsi="Times New Roman" w:cs="Times New Roman"/>
          <w:sz w:val="24"/>
        </w:rPr>
        <w:t xml:space="preserve"> kui osakonnajuhataja poolt, kellel puudub esindusõigus </w:t>
      </w:r>
      <w:r>
        <w:rPr>
          <w:rFonts w:ascii="Times New Roman" w:hAnsi="Times New Roman" w:cs="Times New Roman"/>
          <w:sz w:val="24"/>
        </w:rPr>
        <w:t>RTK-st</w:t>
      </w:r>
      <w:r>
        <w:rPr>
          <w:rFonts w:ascii="Times New Roman" w:hAnsi="Times New Roman" w:cs="Times New Roman"/>
          <w:sz w:val="24"/>
        </w:rPr>
        <w:t xml:space="preserve"> esindada.</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sz w:val="24"/>
        </w:rPr>
        <w:t xml:space="preserve">RTK põhimääruse § 20 lg 1 p </w:t>
      </w:r>
      <w:r>
        <w:rPr>
          <w:rFonts w:ascii="Times New Roman" w:hAnsi="Times New Roman" w:cs="Times New Roman"/>
          <w:color w:val="202020"/>
          <w:sz w:val="24"/>
          <w:shd w:fill="FFFFFF" w:color="auto" w:val="clear"/>
        </w:rPr>
        <w:t>12 kohaselt annab peadirektor õigusaktides sätestatud haldusakte või volitab haldusaktide andmise Keskuse ametnikele. Vaidlustatud otsus on oma olemuselt haldusakt, seega peab otsus olema allkirjastatud peadirektori poolt või peadirektori poolt volitatud isiku poolt. Otsus ei kajasta volitusnormi ega viidet volikirja asukohale, millest tulenevalt saab järeldada, et vastav volitus puudub.</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Veelgi enam, RTK struktuuris puudub ametinimetus -osakonnajuhataja. Struktuuris esineb struktuuriüksuste am</w:t>
      </w:r>
      <w:r>
        <w:rPr>
          <w:rFonts w:ascii="Times New Roman" w:hAnsi="Times New Roman" w:cs="Times New Roman"/>
          <w:color w:val="202020"/>
          <w:sz w:val="24"/>
          <w:shd w:fill="FFFFFF" w:color="auto" w:val="clear"/>
        </w:rPr>
        <w:t>etipositsioone, näiteks toetuste rakendamise osakonna osakonnajuhataja kuid otsuse allkirjastaja ametinimetust RTK struktuuris ei leidu, millest tulenevalt on alus eeldada, et otsuse allkirjastajale kui pelgalt osakonnajuhatajale, vastav volitus on peadirektori poolt ka antud.</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Tulenevalt eeltoodust ning juhiindudes haldusmenetluse seaduse </w:t>
      </w:r>
      <w:bookmarkStart w:id="7" w:name="_Hlk161317191"/>
      <w:r>
        <w:rPr>
          <w:rFonts w:ascii="Times New Roman" w:hAnsi="Times New Roman" w:cs="Times New Roman"/>
          <w:color w:val="202020"/>
          <w:sz w:val="24"/>
          <w:shd w:fill="FFFFFF" w:color="auto" w:val="clear"/>
        </w:rPr>
        <w:t xml:space="preserve">(edaspidi HMS) § 63 lg 2 p-st 3 </w:t>
      </w:r>
      <w:bookmarkEnd w:id="7"/>
      <w:r>
        <w:rPr>
          <w:rFonts w:ascii="Times New Roman" w:hAnsi="Times New Roman" w:cs="Times New Roman"/>
          <w:color w:val="202020"/>
          <w:sz w:val="24"/>
          <w:shd w:fill="FFFFFF" w:color="auto" w:val="clear"/>
        </w:rPr>
        <w:t>on vaide esitaja seisukohal, et otsuse kui haldusakti ei ole andnud pädev haldusorgan. Haldusakti on allkirjastanud ametnik- osakonnajuhataja- kellel puudub volitus haldusakti andmiseks.</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b w:val="true"/>
          <w:sz w:val="24"/>
        </w:rPr>
      </w:pPr>
      <w:r>
        <w:rPr>
          <w:rFonts w:ascii="Times New Roman" w:hAnsi="Times New Roman" w:cs="Times New Roman"/>
          <w:b w:val="true"/>
          <w:sz w:val="24"/>
        </w:rPr>
        <w:t>Vaide põhjendused otsuse kehtetuks tunnistamise osas:</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color w:val="202020"/>
          <w:sz w:val="24"/>
          <w:shd w:fill="FFFFFF" w:color="auto" w:val="clear"/>
        </w:rPr>
        <w:t xml:space="preserve">Vaide esitaja on seisukohal, et vaidlus käib selle üle kas hankelepingu projekti p-s </w:t>
      </w:r>
      <w:r>
        <w:rPr>
          <w:rFonts w:ascii="Times New Roman" w:hAnsi="Times New Roman" w:cs="Times New Roman"/>
          <w:sz w:val="24"/>
        </w:rPr>
        <w:t>5.1.1 nõutud pangagarantii on oma olemuselt konkurentsi piirav tingimus ning kui jah siis kas selline konkurentsi piiramine toob kaasa varasema projekti abikõlbuliku kulu mitteabikõlbulikuks kuluks tunnistamise.</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2 Vaide esitaja on seisukohal, et üksnes pangagarantii nõue ei piira konkurentsi.</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2.1. Konkurentsiseaduse § 1 lg 1 alusel loetakse konkurentsi kahjustamiseks loodusvarade kaevandamisel, toodete valmistamisel ja teenuste osutamisel ning toodete ja teenuste ostmisel ja müümisel ning muus äritegevuses konkurentsi takistamist, piiramist või kahjustamist. Sama seaduse § 54 alusel teostab Konkurentsiamet riiklikku ja haldusjärelevalvet konkurentsiseaduse täitmise üle (välja arvatud konkurentsiseaduse 6. peatükis sätestatu täitmise üle).</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Toimunud haldusmenetluses ei ole Konkurentsiamet tuvastanud, et vaide esitaja oleks rikkunud konkurentsiseadust, st kahjustanud konkurentsi mis muuhulgas hõlmab ka konkurentsi piiramist. Konkurentsiseaduse kohaselt puudub </w:t>
      </w:r>
      <w:r>
        <w:rPr>
          <w:rFonts w:ascii="Times New Roman" w:hAnsi="Times New Roman" w:cs="Times New Roman"/>
          <w:color w:val="202020"/>
          <w:sz w:val="24"/>
          <w:shd w:fill="FFFFFF" w:color="auto" w:val="clear"/>
        </w:rPr>
        <w:t>RTK-l</w:t>
      </w:r>
      <w:r>
        <w:rPr>
          <w:rFonts w:ascii="Times New Roman" w:hAnsi="Times New Roman" w:cs="Times New Roman"/>
          <w:color w:val="202020"/>
          <w:sz w:val="24"/>
          <w:shd w:fill="FFFFFF" w:color="auto" w:val="clear"/>
        </w:rPr>
        <w:t xml:space="preserve"> seadusest tulenev volitus tuvastada ja anda hinnanguid konkurentsi kahjustamise, muuhulgas ka konkurentsi piiramise, kohta.</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Seega on RTK poolt otsuses kajastatud rikkumine, vaide esitaja poolne konkurentsi piiramine, juriidiline fakt, mille tuvastamise seaduslik õigus </w:t>
      </w:r>
      <w:r>
        <w:rPr>
          <w:rFonts w:ascii="Times New Roman" w:hAnsi="Times New Roman" w:cs="Times New Roman"/>
          <w:color w:val="202020"/>
          <w:sz w:val="24"/>
          <w:shd w:fill="FFFFFF" w:color="auto" w:val="clear"/>
        </w:rPr>
        <w:t>RTK-l</w:t>
      </w:r>
      <w:r>
        <w:rPr>
          <w:rFonts w:ascii="Times New Roman" w:hAnsi="Times New Roman" w:cs="Times New Roman"/>
          <w:color w:val="202020"/>
          <w:sz w:val="24"/>
          <w:shd w:fill="FFFFFF" w:color="auto" w:val="clear"/>
        </w:rPr>
        <w:t xml:space="preserve"> puudub.</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2.2. Vaide esitaja juhib RTK tähelepanu asjaolule, et üksnes pangagarantii eelistamist, ei loe RTK konkurentsi piiramiseks ehitushangetes, mille läbiviijaks ta ise on.</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Nii näiteks nõutakse üksnes pangagarantiid riigihankes viitenumbriga nr 252412 hankelepingu projekti punktis 3.3.1. Hanke läbiviijaks on RTK.</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i w:val="true"/>
          <w:color w:val="202020"/>
          <w:sz w:val="24"/>
          <w:shd w:fill="FFFFFF" w:color="auto" w:val="clear"/>
        </w:rPr>
      </w:pPr>
      <w:r>
        <w:rPr>
          <w:rFonts w:ascii="Times New Roman" w:hAnsi="Times New Roman" w:cs="Times New Roman"/>
          <w:color w:val="202020"/>
          <w:sz w:val="24"/>
          <w:shd w:fill="FFFFFF" w:color="auto" w:val="clear"/>
        </w:rPr>
        <w:t xml:space="preserve">„……. </w:t>
      </w:r>
      <w:r>
        <w:rPr>
          <w:rFonts w:ascii="Times New Roman" w:hAnsi="Times New Roman" w:cs="Times New Roman"/>
          <w:i w:val="true"/>
          <w:sz w:val="24"/>
        </w:rPr>
        <w:t>tagatis peab o</w:t>
      </w:r>
      <w:r>
        <w:rPr>
          <w:rFonts w:ascii="Times New Roman" w:hAnsi="Times New Roman" w:cs="Times New Roman"/>
          <w:i w:val="true"/>
          <w:sz w:val="24"/>
        </w:rPr>
        <w:t>lema antud pangagarantiina ning ettemaksu tagatise peab andma Euroopa Majanduspiirkonna liikmesriigis või Šveitsis tegevusluba omav pank, mille tegevuse kohta ei ole tagatise väljastamise seisuga avaldatud Finantsinspektsiooni kodulehel hoiatusteateid.“</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Vaide esitaja on seisukohal, et RTK selline käitumine, kus vaide esitajale heidetakse ette pangagarantii eelistamist teistele garantii võimalustele, samas RTK eelistab ka ise enda läbiviidavates hangetes pangagarantiid, ei ole asjakohane ning äärmiselt pahatahtlik hankijate suhtes.</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Veelgi enam, RHS § 90 lg 3 kohaselt esitab pakkuja hankija nõutud pakkumuse tagatise krediidi- või finantseerimisasutuse või kindlustusandja garantiina või rahasumma deponeerimisena hankija arvelduskontole. Otsuses ei heideta vaide esitajale ette hankija kontole rahasumma deponeerimise võimaluse kasutamata jätmine piiraks konkurentsi.</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color w:val="202020"/>
          <w:sz w:val="24"/>
          <w:shd w:fill="FFFFFF" w:color="auto" w:val="clear"/>
        </w:rPr>
        <w:t xml:space="preserve">2.2. Otsuse õigusliku alusena on välja toodud muu hulgas </w:t>
      </w:r>
      <w:r>
        <w:rPr>
          <w:rFonts w:ascii="Times New Roman" w:hAnsi="Times New Roman" w:cs="Times New Roman"/>
          <w:sz w:val="24"/>
        </w:rPr>
        <w:t>Vabariigi Valitsuse 01.09.2014 määruse nr 143 „Perioodi 2014–2020 struktuuritoetusest hüvitatavate kulude abikõlblikuks lugemise, toetuse maksmise ning finantskorrektsioonide tegemise tingimused ja kord“ (kuni 20.09.2018 kehtinud redaktsioonis, edaspidi kord) § 21 lg 1 ja § 22 lg 14.</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sz w:val="24"/>
        </w:rPr>
      </w:pPr>
      <w:r>
        <w:rPr>
          <w:rFonts w:ascii="Times New Roman" w:hAnsi="Times New Roman" w:cs="Times New Roman"/>
          <w:sz w:val="24"/>
        </w:rPr>
        <w:t>2.2.1. Korra § 21 lg 1 sätestab:</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i w:val="true"/>
          <w:color w:val="202020"/>
          <w:sz w:val="24"/>
        </w:rPr>
      </w:pPr>
      <w:r>
        <w:rPr>
          <w:rFonts w:ascii="Times New Roman" w:hAnsi="Times New Roman" w:cs="Times New Roman"/>
          <w:i w:val="true"/>
          <w:color w:val="202020"/>
          <w:sz w:val="24"/>
        </w:rPr>
        <w:t xml:space="preserve">Kui </w:t>
      </w:r>
      <w:r>
        <w:rPr>
          <w:rFonts w:ascii="Times New Roman" w:hAnsi="Times New Roman" w:cs="Times New Roman"/>
          <w:i w:val="true"/>
          <w:color w:val="202020"/>
          <w:sz w:val="24"/>
        </w:rPr>
        <w:t>struktuuritoetuse seaduse § 46 lõike 1 kohaselt ilmneb, et toetuse saaja on eiranud oma kohustusi või talle kehtestatud nõudeid ja finantskorrektsiooni otsuse tegemisel ei ole võimalik kohustuse või nõude täitmata jätmise laadist tulenevalt selle rahalise mõju suurust hinnata</w:t>
      </w:r>
      <w:r>
        <w:rPr>
          <w:rFonts w:ascii="Times New Roman" w:hAnsi="Times New Roman" w:cs="Times New Roman"/>
          <w:b w:val="true"/>
          <w:i w:val="true"/>
          <w:color w:val="202020"/>
          <w:sz w:val="24"/>
        </w:rPr>
        <w:t xml:space="preserve">, kuid </w:t>
      </w:r>
      <w:r>
        <w:rPr>
          <w:rFonts w:ascii="Times New Roman" w:hAnsi="Times New Roman" w:cs="Times New Roman"/>
          <w:b w:val="true"/>
          <w:color w:val="202020"/>
          <w:sz w:val="24"/>
          <w:u w:val="single"/>
        </w:rPr>
        <w:t>esineb põhjendatud oht, et täitmata jätmine tõi kaasa rahalise mõju</w:t>
      </w:r>
      <w:r>
        <w:rPr>
          <w:rFonts w:ascii="Times New Roman" w:hAnsi="Times New Roman" w:cs="Times New Roman"/>
          <w:b w:val="true"/>
          <w:i w:val="true"/>
          <w:color w:val="202020"/>
          <w:sz w:val="24"/>
        </w:rPr>
        <w:t>, siis vähendatakse toetust sõltuvalt rikkumise raskusest 2, 5, 10 või 25 protsenti tegevustele või tegevuste kogumile eraldatud toetusest sõltuvalt asjaolude mõj</w:t>
      </w:r>
      <w:r>
        <w:rPr>
          <w:rFonts w:ascii="Times New Roman" w:hAnsi="Times New Roman" w:cs="Times New Roman"/>
          <w:b w:val="true"/>
          <w:i w:val="true"/>
          <w:color w:val="202020"/>
          <w:sz w:val="24"/>
        </w:rPr>
        <w:t>ust kulu abikõlblikkusele</w:t>
      </w:r>
      <w:r>
        <w:rPr>
          <w:rFonts w:ascii="Times New Roman" w:hAnsi="Times New Roman" w:cs="Times New Roman"/>
          <w:i w:val="true"/>
          <w:color w:val="202020"/>
          <w:sz w:val="24"/>
        </w:rPr>
        <w:t>, välja arvatud, kui käesolevas peatükis ei ole sätestatud teisiti.</w:t>
      </w:r>
    </w:p>
    <w:p>
      <w:pPr>
        <w:shd w:fill="FFFFFF" w:color="auto" w:val="clear"/>
        <w:spacing w:after="0" w:line="240" w:lineRule="auto"/>
        <w:jc w:val="both"/>
        <w:rPr>
          <w:rFonts w:ascii="Times New Roman" w:hAnsi="Times New Roman" w:cs="Times New Roman"/>
          <w:sz w:val="24"/>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Tsiteeritud paragrahvi kohaldamiseks peab haldusorgan tuvastama reaalse põhjendatud ohu, et mingisuguse nõude täitmata jätmine tõi kaasa rahalise mõju (mille täpset suurust ei ole võimalik hinnata), mis tähendab, et hanke maksumus kujunes kõrgemaks kui see oleks olnud nõude täitmisel. </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Antud juhul ei ole otsuses tuvastatud reaalset rahalist mõju hanke maksumusele. On küll märgitud, et väidetavalt piiras vaide esitaja konkurentsi kuid põhjendamata on väidetava konkurentsi piirangu rahalise mõju </w:t>
      </w:r>
      <w:r>
        <w:rPr>
          <w:rFonts w:ascii="Times New Roman" w:hAnsi="Times New Roman" w:cs="Times New Roman"/>
          <w:color w:val="202020"/>
          <w:sz w:val="24"/>
          <w:shd w:fill="FFFFFF" w:color="auto" w:val="clear"/>
        </w:rPr>
        <w:t>eksistent</w:t>
      </w:r>
      <w:r>
        <w:rPr>
          <w:rFonts w:ascii="Times New Roman" w:hAnsi="Times New Roman" w:cs="Times New Roman"/>
          <w:color w:val="202020"/>
          <w:sz w:val="24"/>
          <w:shd w:fill="FFFFFF" w:color="auto" w:val="clear"/>
        </w:rPr>
        <w:t>. St RTK ei ole vaidlustatud otsuses tuvastanud rahalist väärtust või selle olemasolu, mille võrra oleks hanke maksumus olnud väiksem kui vaide esitaja oleks aktsepteerinud ka kindlustusandja garantiid. Väide, et esines konkurentsi piiramine ei tähenda kohest rahalist mõju hanke maksumusele</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Otsuses esitatud RTK seisukohad:</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i w:val="true"/>
          <w:color w:val="202020"/>
          <w:sz w:val="24"/>
          <w:shd w:fill="FFFFFF" w:color="auto" w:val="clear"/>
        </w:rPr>
      </w:pPr>
      <w:r>
        <w:rPr>
          <w:rFonts w:ascii="Times New Roman" w:hAnsi="Times New Roman" w:cs="Times New Roman"/>
          <w:i w:val="true"/>
          <w:sz w:val="24"/>
        </w:rPr>
        <w:t xml:space="preserve">„Rakendusüksus märgib veelkord, et lepingutingimuse mõju konkurentsile on nii riigihangete vaidlustuskomisjon (VAKO), aga ka Rahandusministeerium oma riigihangete teemalises korduma kippuvate küsimuste rubriigis korduvalt rõhutanud, et ettevõtjatel peab olema ligipääs riigihankele lähtuvalt oma võimekusest – ta peab suutma lepingut sisuliselt täita, mil viisil ta seda teeb, on ettevõtja enda otsustada. Seega riigihanke reeglite ja üldpõhimõtete täitmise puhul tuleb lähtuda just võimalikest hüpoteetilistest </w:t>
      </w:r>
      <w:r>
        <w:rPr>
          <w:rFonts w:ascii="Times New Roman" w:hAnsi="Times New Roman" w:cs="Times New Roman"/>
          <w:i w:val="true"/>
          <w:sz w:val="24"/>
        </w:rPr>
        <w:t>situatsioonidest ehk teisisõnu peab RHS-i korrektne järgimine tagama avatud hankemenetluses olukorra, kus isikute õigusi pole võimalik isegi oletatavasti rikkuda“.</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on äärmiselt asjakohatud kuivõrd nii VAKO kui ka RM vastused korduma kippuvatele küsimustele ei oma õigust loovat mõju. Haldusakti andmisel tuleb lähtuda õigust loovatest </w:t>
      </w:r>
      <w:r>
        <w:rPr>
          <w:rFonts w:ascii="Times New Roman" w:hAnsi="Times New Roman" w:cs="Times New Roman"/>
          <w:color w:val="202020"/>
          <w:sz w:val="24"/>
          <w:shd w:fill="FFFFFF" w:color="auto" w:val="clear"/>
        </w:rPr>
        <w:t>aktidest, mitte korduma kippuvate küsimuste vastustes.</w:t>
      </w:r>
    </w:p>
    <w:p>
      <w:pPr>
        <w:shd w:fill="FFFFFF" w:color="auto" w:val="clear"/>
        <w:spacing w:after="0" w:line="240" w:lineRule="auto"/>
        <w:jc w:val="both"/>
        <w:rPr>
          <w:rFonts w:ascii="Times New Roman" w:hAnsi="Times New Roman" w:cs="Times New Roman"/>
          <w:color w:val="202020"/>
          <w:sz w:val="24"/>
          <w:shd w:fill="FFFFFF" w:color="auto" w:val="clear"/>
        </w:rPr>
      </w:pPr>
    </w:p>
    <w:p>
      <w:pPr>
        <w:spacing w:after="0"/>
        <w:jc w:val="both"/>
        <w:rPr>
          <w:rFonts w:ascii="Times New Roman" w:hAnsi="Times New Roman" w:cs="Times New Roman"/>
          <w:color w:val="000000"/>
          <w:sz w:val="24"/>
        </w:rPr>
      </w:pPr>
      <w:r>
        <w:rPr>
          <w:rFonts w:ascii="Times New Roman" w:hAnsi="Times New Roman" w:cs="Times New Roman"/>
          <w:color w:val="000000"/>
          <w:sz w:val="24"/>
        </w:rPr>
        <w:t xml:space="preserve">Ühendmääruse §-s 228 sätestatud rikkumise korral võib finantskorrektsiooni määr olla 2, 5, 10 või 25% </w:t>
      </w:r>
      <w:r>
        <w:rPr>
          <w:rFonts w:ascii="Times New Roman" w:hAnsi="Times New Roman" w:cs="Times New Roman"/>
          <w:color w:val="000000"/>
          <w:sz w:val="24"/>
          <w:u w:val="single"/>
        </w:rPr>
        <w:t>ja formaalse rikkumise korral ei tuleks finantskorrektsiooni üldse kohaldada</w:t>
      </w:r>
      <w:r>
        <w:rPr>
          <w:rFonts w:ascii="Times New Roman" w:hAnsi="Times New Roman" w:cs="Times New Roman"/>
          <w:color w:val="000000"/>
          <w:sz w:val="24"/>
        </w:rPr>
        <w:t>. RTK on kohaldada 5% finantskorrektsiooni määra. RTK ei ole arvestanud kaebaja rikkumise olulist ja raskust. Veelgi enam, RTK ei ole tuvastanud väidetava rikkumise reaalset rahalist mõju või selle olemasolu, millest tulenevalt saaks väidetavat rikkumist pidada äärmisel juhul formaalseks rikkumiseks, mille puhul finantskorrektsiooni ei kohaldata.</w:t>
      </w:r>
    </w:p>
    <w:p>
      <w:pPr>
        <w:spacing w:after="0"/>
        <w:jc w:val="both"/>
        <w:rPr>
          <w:rFonts w:ascii="Times New Roman" w:hAnsi="Times New Roman" w:cs="Times New Roman"/>
          <w:color w:val="000000"/>
          <w:sz w:val="24"/>
        </w:rPr>
      </w:pPr>
    </w:p>
    <w:p>
      <w:pPr>
        <w:spacing w:after="0"/>
        <w:jc w:val="both"/>
        <w:rPr>
          <w:rFonts w:ascii="Times New Roman" w:hAnsi="Times New Roman" w:cs="Times New Roman"/>
          <w:color w:val="000000"/>
          <w:sz w:val="24"/>
        </w:rPr>
      </w:pPr>
      <w:r>
        <w:rPr>
          <w:rFonts w:ascii="Times New Roman" w:hAnsi="Times New Roman" w:cs="Times New Roman"/>
          <w:color w:val="000000"/>
          <w:sz w:val="24"/>
        </w:rPr>
        <w:t xml:space="preserve">Võimalikku formaalset rikkumist kinnitab ka asjaolu, et RTK on andnud hinnangu hankelepingu projektile, mitte hankija ja pakkuja vahel sõlmitud lepingule. Kuivõrd RTK hindas hankelepingu </w:t>
      </w:r>
      <w:r>
        <w:rPr>
          <w:rFonts w:ascii="Times New Roman" w:hAnsi="Times New Roman" w:cs="Times New Roman"/>
          <w:color w:val="000000"/>
          <w:sz w:val="24"/>
        </w:rPr>
        <w:t>projekti, puudub alus väita, et väidetav rikkumine tõi kaasa reaalseid tagajärgi. Samas finantskorrektsiooni määra kohaldamine eeldab eelkõige olulisuse ja raskuse arvestamist, seda just reaalselt saabunud tagajärgede pinnalt. Vaide esitaja on seisukohal, et tegemist on kaalutlusveaga. Finantskorrektsiooni määra kasutamisel ei ole hinnatud väidetava rikkumise raskust ja olulisust saabunud tagajärgede pinnalt. Kuivõrd reaalselt saabunud tagajärjed puuduvad saaks äärmisel juhul väita, et tegemist on formaalse</w:t>
      </w:r>
      <w:r>
        <w:rPr>
          <w:rFonts w:ascii="Times New Roman" w:hAnsi="Times New Roman" w:cs="Times New Roman"/>
          <w:color w:val="000000"/>
          <w:sz w:val="24"/>
        </w:rPr>
        <w:t xml:space="preserve"> rikkumisega mille puhul finantskorrektsiooni määra ei kasutata.</w:t>
      </w:r>
    </w:p>
    <w:p>
      <w:pPr>
        <w:spacing w:after="0"/>
        <w:jc w:val="both"/>
        <w:rPr>
          <w:rFonts w:ascii="Times New Roman" w:hAnsi="Times New Roman" w:cs="Times New Roman"/>
          <w:color w:val="000000"/>
          <w:sz w:val="24"/>
        </w:rPr>
      </w:pPr>
    </w:p>
    <w:p>
      <w:pPr>
        <w:shd w:fill="FFFFFF" w:color="auto" w:val="clear"/>
        <w:spacing w:after="0" w:line="240" w:lineRule="auto"/>
        <w:jc w:val="both"/>
        <w:rPr>
          <w:rFonts w:ascii="Times New Roman" w:hAnsi="Times New Roman" w:cs="Times New Roman"/>
          <w:i w:val="true"/>
          <w:color w:val="202020"/>
          <w:sz w:val="24"/>
          <w:shd w:fill="FFFFFF" w:color="auto" w:val="clear"/>
        </w:rPr>
      </w:pPr>
      <w:r>
        <w:rPr>
          <w:rFonts w:ascii="Times New Roman" w:hAnsi="Times New Roman" w:cs="Times New Roman"/>
          <w:color w:val="202020"/>
          <w:sz w:val="24"/>
          <w:shd w:fill="FFFFFF" w:color="auto" w:val="clear"/>
        </w:rPr>
        <w:t xml:space="preserve">2.2.2. korra § 22 lg 14 sätestab, </w:t>
      </w:r>
      <w:r>
        <w:rPr>
          <w:rFonts w:ascii="Times New Roman" w:hAnsi="Times New Roman" w:cs="Times New Roman"/>
          <w:i w:val="true"/>
          <w:color w:val="202020"/>
          <w:sz w:val="24"/>
          <w:shd w:fill="FFFFFF" w:color="auto" w:val="clear"/>
        </w:rPr>
        <w:t>et hankelepingule eraldatavat toetust vähendatakse kuni 10 protsenti, kui hankemenetluse korraldamisel ilmneb riigihangete seaduses sätestatud nõuete rikkumine, mida ei ole lõigetes 2–11 ja 13 nimetatud, või kui tegemist on riigihangete korraldamisega, kus hankelepingu maksumus jääb alla riigihangete piirmäära või kui on tegemist lihtsustatud korras teenuste tellimisega või ideekonkursi korraldamisega. Sõltuvalt rikkumise raskusest võib kohaldada 25-protsendilist finantskorrektsiooni määra.</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Tsiteeritud paragrahviga kontekstis leidis RTK, et vaide esitaja on rikkunud riigihangete seaduse § 3 p 2, mis sätestab, et </w:t>
      </w:r>
      <w:r>
        <w:rPr>
          <w:rFonts w:ascii="Times New Roman" w:hAnsi="Times New Roman" w:cs="Times New Roman"/>
          <w:color w:val="202020"/>
          <w:sz w:val="24"/>
        </w:rPr>
        <w:t xml:space="preserve"> „</w:t>
      </w:r>
      <w:r>
        <w:rPr>
          <w:rFonts w:ascii="Times New Roman" w:hAnsi="Times New Roman" w:cs="Times New Roman"/>
          <w:i w:val="true"/>
          <w:color w:val="202020"/>
          <w:sz w:val="24"/>
        </w:rPr>
        <w:t>hankija kohtleb kõiki isikuid, kelle elu- või asukoht on Eestis, mõnes muus Euroopa Liidu liikmesriigis, muus Euroopa Majanduspiirkonna lepinguriigis või Maailma Kaubandusorganisatsiooni riigihankelepinguga ühinenud riigis, võrdselt ja jälgib, et kõik isikutele seatavad piirangud ja kriteeriumid oleksid riigihanke eesmärgi suhtes proportsionaalsed, asjakohased ja põhjendatud;</w:t>
      </w:r>
      <w:r>
        <w:rPr>
          <w:rFonts w:ascii="Times New Roman" w:hAnsi="Times New Roman" w:cs="Times New Roman"/>
          <w:color w:val="202020"/>
          <w:sz w:val="24"/>
        </w:rPr>
        <w:t>“</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Vaide esitaja leib, et otsuse materiaalõiguslik on norm on väär ning asjakohatu. Sõnaselgelt heidetakse vaide esitajale ette konkurentsi piiramist samas RHS § 3 p 2 näol heidetakse ette isikute ebavõrdset kohtlemist. Vaide esitaja on seisukohal, et RTK põhjendus on arusaamatu, ebaloogiline ning </w:t>
      </w:r>
      <w:r>
        <w:rPr>
          <w:rFonts w:ascii="Times New Roman" w:hAnsi="Times New Roman" w:cs="Times New Roman"/>
          <w:color w:val="202020"/>
          <w:sz w:val="24"/>
          <w:shd w:fill="FFFFFF" w:color="auto" w:val="clear"/>
        </w:rPr>
        <w:t>materiaalõigusnorm</w:t>
      </w:r>
      <w:r>
        <w:rPr>
          <w:rFonts w:ascii="Times New Roman" w:hAnsi="Times New Roman" w:cs="Times New Roman"/>
          <w:color w:val="202020"/>
          <w:sz w:val="24"/>
          <w:shd w:fill="FFFFFF" w:color="auto" w:val="clear"/>
        </w:rPr>
        <w:t xml:space="preserve"> asjakohatu.</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2.2.3. Tagatise valikust</w:t>
      </w:r>
    </w:p>
    <w:p>
      <w:pPr>
        <w:shd w:fill="FFFFFF" w:color="auto" w:val="clear"/>
        <w:spacing w:after="0" w:line="240" w:lineRule="auto"/>
        <w:jc w:val="both"/>
        <w:rPr>
          <w:rFonts w:ascii="Times New Roman" w:hAnsi="Times New Roman" w:cs="Times New Roman"/>
          <w:color w:val="202020"/>
          <w:sz w:val="24"/>
          <w:shd w:fill="FFFFFF" w:color="auto" w:val="clear"/>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Kuigi hankija peab järgima riigihanke korraldamise üldpõhimõtteid, sh RHS § 3 p 2, ei</w:t>
      </w:r>
      <w:r>
        <w:rPr>
          <w:rFonts w:ascii="Times New Roman" w:hAnsi="Times New Roman" w:cs="Times New Roman"/>
          <w:color w:val="000000"/>
          <w:sz w:val="24"/>
        </w:rPr>
        <w:t xml:space="preserve"> </w:t>
      </w:r>
      <w:r>
        <w:rPr>
          <w:rFonts w:ascii="Times New Roman" w:hAnsi="Times New Roman" w:cs="Times New Roman"/>
          <w:color w:val="000000"/>
          <w:sz w:val="24"/>
        </w:rPr>
        <w:t>ole riigihanke läbiviimine eesmärk iseenesest. Oluline on, et hankija saaks riigihanke</w:t>
      </w:r>
      <w:r>
        <w:rPr>
          <w:rFonts w:ascii="Times New Roman" w:hAnsi="Times New Roman" w:cs="Times New Roman"/>
          <w:color w:val="000000"/>
          <w:sz w:val="24"/>
        </w:rPr>
        <w:t xml:space="preserve"> </w:t>
      </w:r>
      <w:r>
        <w:rPr>
          <w:rFonts w:ascii="Times New Roman" w:hAnsi="Times New Roman" w:cs="Times New Roman"/>
          <w:color w:val="000000"/>
          <w:sz w:val="24"/>
        </w:rPr>
        <w:t>tulemusel kvaliteetse töö. Kuivõrd ehitustööde lepingute täitmisel võib tekkida paratamatult</w:t>
      </w:r>
      <w:r>
        <w:rPr>
          <w:rFonts w:ascii="Times New Roman" w:hAnsi="Times New Roman" w:cs="Times New Roman"/>
          <w:color w:val="000000"/>
          <w:sz w:val="24"/>
        </w:rPr>
        <w:t xml:space="preserve"> </w:t>
      </w:r>
      <w:r>
        <w:rPr>
          <w:rFonts w:ascii="Times New Roman" w:hAnsi="Times New Roman" w:cs="Times New Roman"/>
          <w:color w:val="000000"/>
          <w:sz w:val="24"/>
        </w:rPr>
        <w:t>probleeme, on oluline, et hankija tööde teostamisel tekkida võivaid riske maandaks.</w:t>
      </w:r>
    </w:p>
    <w:p>
      <w:pPr>
        <w:shd w:fill="FFFFFF" w:color="auto" w:val="clear"/>
        <w:spacing w:after="0" w:line="240" w:lineRule="auto"/>
        <w:jc w:val="both"/>
        <w:rPr>
          <w:rFonts w:ascii="Times New Roman" w:hAnsi="Times New Roman" w:cs="Times New Roman"/>
          <w:color w:val="202020"/>
          <w:sz w:val="24"/>
          <w:shd w:fill="FFFFFF" w:color="auto" w:val="clear"/>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Sellest tulenevalt kehtestaski toetuse saaja lepingutingimuse nii, et esitada oli võimalik</w:t>
      </w:r>
      <w:r>
        <w:rPr>
          <w:rFonts w:ascii="Times New Roman" w:hAnsi="Times New Roman" w:cs="Times New Roman"/>
          <w:color w:val="000000"/>
          <w:sz w:val="24"/>
        </w:rPr>
        <w:t xml:space="preserve"> </w:t>
      </w:r>
      <w:r>
        <w:rPr>
          <w:rFonts w:ascii="Times New Roman" w:hAnsi="Times New Roman" w:cs="Times New Roman"/>
          <w:color w:val="000000"/>
          <w:sz w:val="24"/>
        </w:rPr>
        <w:t>vaid pangagarantiid. See tagas toetuse saajale kindluse, et lepingu täitmisel võimalike riskide</w:t>
      </w:r>
      <w:r>
        <w:rPr>
          <w:rFonts w:ascii="Times New Roman" w:hAnsi="Times New Roman" w:cs="Times New Roman"/>
          <w:color w:val="000000"/>
          <w:sz w:val="24"/>
        </w:rPr>
        <w:t xml:space="preserve"> </w:t>
      </w:r>
      <w:r>
        <w:rPr>
          <w:rFonts w:ascii="Times New Roman" w:hAnsi="Times New Roman" w:cs="Times New Roman"/>
          <w:color w:val="000000"/>
          <w:sz w:val="24"/>
        </w:rPr>
        <w:t>realiseerimise korral on toetuse saajal võimalik kiirelt ja tõhusalt garantiikirja realiseerida.</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Seega, kuigi tagatis- ja garantiitehingute teenuseid pakuvad lisaks krediidiasutustele ka</w:t>
      </w:r>
      <w:r>
        <w:rPr>
          <w:rFonts w:ascii="Times New Roman" w:hAnsi="Times New Roman" w:cs="Times New Roman"/>
          <w:color w:val="000000"/>
          <w:sz w:val="24"/>
        </w:rPr>
        <w:t xml:space="preserve"> </w:t>
      </w:r>
      <w:r>
        <w:rPr>
          <w:rFonts w:ascii="Times New Roman" w:hAnsi="Times New Roman" w:cs="Times New Roman"/>
          <w:color w:val="000000"/>
          <w:sz w:val="24"/>
        </w:rPr>
        <w:t>krediidiandjad ja kindlustusandjad, siis oli antud juhul eeltoodud kaalutlustest lähtuvalt</w:t>
      </w:r>
      <w:r>
        <w:rPr>
          <w:rFonts w:ascii="Times New Roman" w:hAnsi="Times New Roman" w:cs="Times New Roman"/>
          <w:color w:val="000000"/>
          <w:sz w:val="24"/>
        </w:rPr>
        <w:t xml:space="preserve"> </w:t>
      </w:r>
      <w:r>
        <w:rPr>
          <w:rFonts w:ascii="Times New Roman" w:hAnsi="Times New Roman" w:cs="Times New Roman"/>
          <w:color w:val="000000"/>
          <w:sz w:val="24"/>
        </w:rPr>
        <w:t>kohane nõuda pangagarantiid, mis maandab hankelepingu täitmisel tekkida võivaid riske</w:t>
      </w:r>
      <w:r>
        <w:rPr>
          <w:rFonts w:ascii="Times New Roman" w:hAnsi="Times New Roman" w:cs="Times New Roman"/>
          <w:color w:val="000000"/>
          <w:sz w:val="24"/>
        </w:rPr>
        <w:t xml:space="preserve"> </w:t>
      </w:r>
      <w:r>
        <w:rPr>
          <w:rFonts w:ascii="Times New Roman" w:hAnsi="Times New Roman" w:cs="Times New Roman"/>
          <w:color w:val="000000"/>
          <w:sz w:val="24"/>
        </w:rPr>
        <w:t>kiiremini ja tõhusamalt. Seetõttu on toetuse saaja poolt kehtestatud lepingutingimusel</w:t>
      </w:r>
      <w:r>
        <w:rPr>
          <w:rFonts w:ascii="Times New Roman" w:hAnsi="Times New Roman" w:cs="Times New Roman"/>
          <w:color w:val="000000"/>
          <w:sz w:val="24"/>
        </w:rPr>
        <w:t xml:space="preserve"> </w:t>
      </w:r>
      <w:r>
        <w:rPr>
          <w:rFonts w:ascii="Times New Roman" w:hAnsi="Times New Roman" w:cs="Times New Roman"/>
          <w:color w:val="000000"/>
          <w:sz w:val="24"/>
        </w:rPr>
        <w:t>käesoleval juhul objektiivne põhjendus.</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Kohtupraktikas on korduvalt leitud, et hankijal on hanketingimuste määratlemisel avar</w:t>
      </w:r>
      <w:r>
        <w:rPr>
          <w:rFonts w:ascii="Times New Roman" w:hAnsi="Times New Roman" w:cs="Times New Roman"/>
          <w:color w:val="000000"/>
          <w:sz w:val="24"/>
        </w:rPr>
        <w:t xml:space="preserve"> </w:t>
      </w:r>
      <w:r>
        <w:rPr>
          <w:rFonts w:ascii="Times New Roman" w:hAnsi="Times New Roman" w:cs="Times New Roman"/>
          <w:color w:val="000000"/>
          <w:sz w:val="24"/>
        </w:rPr>
        <w:t>kaalutlusruum, kuivõrd vaid hankija otsustada on, kas, mida ja millistel tingimustel ta hankida</w:t>
      </w:r>
      <w:r>
        <w:rPr>
          <w:rFonts w:ascii="Times New Roman" w:hAnsi="Times New Roman" w:cs="Times New Roman"/>
          <w:color w:val="000000"/>
          <w:sz w:val="24"/>
        </w:rPr>
        <w:t xml:space="preserve"> </w:t>
      </w:r>
      <w:r>
        <w:rPr>
          <w:rFonts w:ascii="Times New Roman" w:hAnsi="Times New Roman" w:cs="Times New Roman"/>
          <w:color w:val="000000"/>
          <w:sz w:val="24"/>
        </w:rPr>
        <w:t>soovib.</w:t>
      </w:r>
      <w:r>
        <w:rPr>
          <w:rFonts w:ascii="Times New Roman" w:hAnsi="Times New Roman" w:cs="Times New Roman"/>
          <w:color w:val="000000"/>
          <w:sz w:val="24"/>
        </w:rPr>
        <w:t xml:space="preserve"> </w:t>
      </w:r>
      <w:r>
        <w:rPr>
          <w:rFonts w:ascii="Times New Roman" w:hAnsi="Times New Roman" w:cs="Times New Roman"/>
          <w:color w:val="000000"/>
          <w:sz w:val="24"/>
        </w:rPr>
        <w:t>Seega on hankija otsustada, millistel tingimustel ta ka hankelepingut sõlmida soovib.</w:t>
      </w:r>
      <w:r>
        <w:rPr>
          <w:rFonts w:ascii="Times New Roman" w:hAnsi="Times New Roman" w:cs="Times New Roman"/>
          <w:color w:val="000000"/>
          <w:sz w:val="24"/>
        </w:rPr>
        <w:t xml:space="preserve"> </w:t>
      </w:r>
      <w:r>
        <w:rPr>
          <w:rFonts w:ascii="Times New Roman" w:hAnsi="Times New Roman" w:cs="Times New Roman"/>
          <w:color w:val="000000"/>
          <w:sz w:val="24"/>
        </w:rPr>
        <w:t>Õiguskirjanduses asutud ka seisukohale, et hankelepingu tingimuste kujundamine toimub hankija kaalutlusõiguse tulemusel.</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Seega olukorras, kus hankijal on objektiivne põhjendus lepingutingimuse kehtestamiseks, ei ole alust pidada seda lepingutingimust õigusvastaseks. Nagu nähtub kirjeldatud finantseerimisasutuste ja kindlustusandjate suhtes kohalduvate reeglite ja järelevalve võrdlusest, oli pangagarantii esitamise nõue proportsionaalne. Seda seetõttu, et ükski muu vahend ei oleks võimaldanud toetuse saajale sellist kaitset, mida ta objektiivselt ning põhjendatult vajas. </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Lepingutingimuse kehtestamise eesmärk oli tagada, et olukorras, kus töövõtja ei täida ehitusperioodi aegseid kohustusi või täidab neid mittevastavalt, on tellijal võimalik oma nõuded töövõtja vastu täita kiirelt ja tõhusalt. Seda eesmärki täidab pangagarantiid nõudev lepingutingimus. Seega oli lepingutingimus ka asjakohane.</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 Seega on toetuse saaja kehtestatud lepingutingimus proportsionaalne, asjakohane ja põhjendatud. Seetõttu on</w:t>
      </w:r>
      <w:r>
        <w:rPr>
          <w:rFonts w:ascii="Times New Roman" w:hAnsi="Times New Roman" w:cs="Times New Roman"/>
          <w:color w:val="000000"/>
          <w:sz w:val="24"/>
        </w:rPr>
        <w:t xml:space="preserve"> vaidlustatud otsuses </w:t>
      </w:r>
      <w:r>
        <w:rPr>
          <w:rFonts w:ascii="Times New Roman" w:hAnsi="Times New Roman" w:cs="Times New Roman"/>
          <w:color w:val="000000"/>
          <w:sz w:val="24"/>
        </w:rPr>
        <w:t xml:space="preserve">esitatud etteheited seoses </w:t>
      </w:r>
      <w:r>
        <w:rPr>
          <w:rFonts w:ascii="Times New Roman" w:hAnsi="Times New Roman" w:cs="Times New Roman"/>
          <w:color w:val="000000"/>
          <w:sz w:val="24"/>
        </w:rPr>
        <w:t>konkurentsi piiramisega</w:t>
      </w:r>
      <w:r>
        <w:rPr>
          <w:rFonts w:ascii="Times New Roman" w:hAnsi="Times New Roman" w:cs="Times New Roman"/>
          <w:color w:val="000000"/>
          <w:sz w:val="24"/>
        </w:rPr>
        <w:t xml:space="preserve"> põhjendamatud.</w:t>
      </w:r>
    </w:p>
    <w:p>
      <w:pPr>
        <w:spacing w:after="0" w:line="240" w:lineRule="auto"/>
        <w:jc w:val="both"/>
        <w:rPr>
          <w:rFonts w:ascii="Times New Roman" w:hAnsi="Times New Roman" w:cs="Times New Roman"/>
          <w:b w:val="true"/>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RTK </w:t>
      </w:r>
      <w:r>
        <w:rPr>
          <w:rFonts w:ascii="Times New Roman" w:hAnsi="Times New Roman" w:cs="Times New Roman"/>
          <w:color w:val="000000"/>
          <w:sz w:val="24"/>
        </w:rPr>
        <w:t xml:space="preserve">on FKO eelnõus asunud seisukohale, et antud juhul ei ole võimalik välistada, et kui tagatise tingimusi ei oleks sellisel viisil kehtestatud, siis oleks see võinud laiendada võimalike riigihankes nr 245812 osalejate hulka. </w:t>
      </w:r>
      <w:r>
        <w:rPr>
          <w:rFonts w:ascii="Times New Roman" w:hAnsi="Times New Roman" w:cs="Times New Roman"/>
          <w:color w:val="000000"/>
          <w:sz w:val="24"/>
        </w:rPr>
        <w:t xml:space="preserve">Vaidlustatud otsuses esitatud </w:t>
      </w:r>
      <w:r>
        <w:rPr>
          <w:rFonts w:ascii="Times New Roman" w:hAnsi="Times New Roman" w:cs="Times New Roman"/>
          <w:color w:val="000000"/>
          <w:sz w:val="24"/>
        </w:rPr>
        <w:t>järelmi</w:t>
      </w:r>
      <w:r>
        <w:rPr>
          <w:rFonts w:ascii="Times New Roman" w:hAnsi="Times New Roman" w:cs="Times New Roman"/>
          <w:color w:val="000000"/>
          <w:sz w:val="24"/>
        </w:rPr>
        <w:t xml:space="preserve"> pinnalt on asutud seisukohale, et mingisugune konkurentsi piirmaine toimus, st riigihankes ei saanud osaleda hüpoteetilised pakkujad</w:t>
      </w:r>
      <w:r>
        <w:rPr>
          <w:rFonts w:ascii="Times New Roman" w:hAnsi="Times New Roman" w:cs="Times New Roman"/>
          <w:color w:val="000000"/>
          <w:sz w:val="24"/>
        </w:rPr>
        <w:t xml:space="preserve">. </w:t>
      </w:r>
      <w:r>
        <w:rPr>
          <w:rFonts w:ascii="Times New Roman" w:hAnsi="Times New Roman" w:cs="Times New Roman"/>
          <w:color w:val="000000"/>
          <w:sz w:val="24"/>
        </w:rPr>
        <w:t xml:space="preserve">Mille tulemusena </w:t>
      </w:r>
      <w:r>
        <w:rPr>
          <w:rFonts w:ascii="Times New Roman" w:hAnsi="Times New Roman" w:cs="Times New Roman"/>
          <w:color w:val="000000"/>
          <w:sz w:val="24"/>
        </w:rPr>
        <w:t>oleks võinud edukaks ja soodamaks pakkumuseks kujuneda mõne teise pakkuja pakkumus.</w:t>
      </w:r>
      <w:r>
        <w:rPr>
          <w:rFonts w:ascii="Times New Roman" w:hAnsi="Times New Roman" w:cs="Times New Roman"/>
          <w:color w:val="000000"/>
          <w:sz w:val="24"/>
        </w:rPr>
        <w:t xml:space="preserve"> Vaide esitaja</w:t>
      </w:r>
      <w:r>
        <w:rPr>
          <w:rFonts w:ascii="Times New Roman" w:hAnsi="Times New Roman" w:cs="Times New Roman"/>
          <w:color w:val="000000"/>
          <w:sz w:val="24"/>
        </w:rPr>
        <w:t xml:space="preserve"> saaja sellega ei nõustu. Riigihankele nr 245812 esitati kaheksa pakkumust. Rahandusministeeriumi koduleheküljel avaldatud statistika kohaselt esitati aastal 2022, mil riigihanke nr 245812 hanketeade avaldati, ehitustööde avatud hankemenetluses keskmiselt 4,84 pakkumust. Sealjuures alla rahvusvahelise piirmäära jäävates ehitustööde avatud hankemenetluses oli keskmine pakkujate arv 4,80.</w:t>
      </w:r>
      <w:r>
        <w:rPr>
          <w:rFonts w:ascii="Times New Roman" w:hAnsi="Times New Roman" w:cs="Times New Roman"/>
          <w:color w:val="000000"/>
          <w:sz w:val="24"/>
        </w:rPr>
        <w:t xml:space="preserve"> </w:t>
      </w:r>
      <w:r>
        <w:rPr>
          <w:rFonts w:ascii="Times New Roman" w:hAnsi="Times New Roman" w:cs="Times New Roman"/>
          <w:color w:val="000000"/>
          <w:sz w:val="24"/>
        </w:rPr>
        <w:t xml:space="preserve">Seega oli riigihankes nr 245812 pakkumuste arv peaaegu kaks korda suurem kui sarnastes riigihangetes keskmiselt. Sellest tulenevalt oli konkurents riigihankes nr 245812 tunduvalt suurem kui keskmises sarnases riigihankes. Seega puudub igasugune põhjus eeldada, et pakkujate arv oleks olnud teistsuguse lepingutingimuse puhul veelgi suurem. Siinkohal tuleb arvestada ka riigihanke nr 245812 mahtu, mida kirjeldab selle maksumus. Tegemist oli alla rahvusvahelise piirmäära jääva ehitustööde riigihankega, mille eeldatav maksumus oli 355 100 eurot </w:t>
      </w:r>
      <w:r>
        <w:rPr>
          <w:rFonts w:ascii="Times New Roman" w:hAnsi="Times New Roman" w:cs="Times New Roman"/>
          <w:color w:val="000000"/>
          <w:sz w:val="24"/>
        </w:rPr>
        <w:t>käibemaksuta5 ja sõlmitud töövõtulepingu maksumus oli 482 156,18 eurot käibemaksuta.</w:t>
      </w:r>
      <w:r>
        <w:rPr>
          <w:rFonts w:ascii="Times New Roman" w:hAnsi="Times New Roman" w:cs="Times New Roman"/>
          <w:color w:val="000000"/>
          <w:sz w:val="24"/>
        </w:rPr>
        <w:t xml:space="preserve"> </w:t>
      </w:r>
      <w:r>
        <w:rPr>
          <w:rFonts w:ascii="Times New Roman" w:hAnsi="Times New Roman" w:cs="Times New Roman"/>
          <w:color w:val="000000"/>
          <w:sz w:val="24"/>
        </w:rPr>
        <w:t xml:space="preserve">Aastal 2022 oli alla rahvusvahelise piirmäära jääva ehitustööde avatud hankemenetluse keskmine maksumus 757 136,43 eurot. Seega </w:t>
      </w:r>
      <w:r>
        <w:rPr>
          <w:rFonts w:ascii="Times New Roman" w:hAnsi="Times New Roman" w:cs="Times New Roman"/>
          <w:color w:val="000000"/>
          <w:sz w:val="24"/>
        </w:rPr>
        <w:t>oliriigihanke</w:t>
      </w:r>
      <w:r>
        <w:rPr>
          <w:rFonts w:ascii="Times New Roman" w:hAnsi="Times New Roman" w:cs="Times New Roman"/>
          <w:color w:val="000000"/>
          <w:sz w:val="24"/>
        </w:rPr>
        <w:t xml:space="preserve"> nr 245812 maht kaks korda väiksem kui keskmine samalaadne riigihange samal perioodil.</w:t>
      </w:r>
      <w:r>
        <w:rPr>
          <w:rFonts w:ascii="Times New Roman" w:hAnsi="Times New Roman" w:cs="Times New Roman"/>
          <w:color w:val="000000"/>
          <w:sz w:val="24"/>
        </w:rPr>
        <w:t xml:space="preserve"> </w:t>
      </w:r>
      <w:r>
        <w:rPr>
          <w:rFonts w:ascii="Times New Roman" w:hAnsi="Times New Roman" w:cs="Times New Roman"/>
          <w:color w:val="000000"/>
          <w:sz w:val="24"/>
        </w:rPr>
        <w:t>Kuivõrd riigihanke nr 245812 maht oli kaks korda väiksem kui keskmine sama perioodi</w:t>
      </w:r>
      <w:r>
        <w:rPr>
          <w:rFonts w:ascii="Times New Roman" w:hAnsi="Times New Roman" w:cs="Times New Roman"/>
          <w:color w:val="000000"/>
          <w:sz w:val="24"/>
        </w:rPr>
        <w:t xml:space="preserve"> </w:t>
      </w:r>
      <w:r>
        <w:rPr>
          <w:rFonts w:ascii="Times New Roman" w:hAnsi="Times New Roman" w:cs="Times New Roman"/>
          <w:color w:val="000000"/>
          <w:sz w:val="24"/>
        </w:rPr>
        <w:t>riigihange, siis oli ka selle atraktiivsus pakkujate jaoks oma mahu tõttu madalam.</w:t>
      </w:r>
      <w:r>
        <w:rPr>
          <w:rFonts w:ascii="Times New Roman" w:hAnsi="Times New Roman" w:cs="Times New Roman"/>
          <w:color w:val="000000"/>
          <w:sz w:val="24"/>
        </w:rPr>
        <w:t xml:space="preserve"> </w:t>
      </w:r>
      <w:r>
        <w:rPr>
          <w:rFonts w:ascii="Times New Roman" w:hAnsi="Times New Roman" w:cs="Times New Roman"/>
          <w:color w:val="000000"/>
          <w:sz w:val="24"/>
        </w:rPr>
        <w:t>Põhjendamatu on eeldada, et sellisele väikesemahulisele riigihankele, mille täitmiskoht on</w:t>
      </w:r>
      <w:r>
        <w:rPr>
          <w:rFonts w:ascii="Times New Roman" w:hAnsi="Times New Roman" w:cs="Times New Roman"/>
          <w:color w:val="000000"/>
          <w:sz w:val="24"/>
        </w:rPr>
        <w:t xml:space="preserve"> </w:t>
      </w:r>
      <w:r>
        <w:rPr>
          <w:rFonts w:ascii="Times New Roman" w:hAnsi="Times New Roman" w:cs="Times New Roman"/>
          <w:color w:val="000000"/>
          <w:sz w:val="24"/>
        </w:rPr>
        <w:t>väljaspool suuri tõmbekeskusi, oleks esitatud veel rohkem pakkumusi.</w:t>
      </w:r>
    </w:p>
    <w:p>
      <w:pPr>
        <w:spacing w:after="0" w:line="240" w:lineRule="auto"/>
        <w:jc w:val="both"/>
        <w:rPr>
          <w:rFonts w:ascii="Times New Roman" w:hAnsi="Times New Roman" w:cs="Times New Roman"/>
          <w:color w:val="000000"/>
          <w:sz w:val="24"/>
        </w:rPr>
      </w:pPr>
    </w:p>
    <w:p>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Eeltoodust tulenevalt oli riigihankes nr 245812 konkurents tagatud ja puudub igasugune</w:t>
      </w:r>
      <w:r>
        <w:rPr>
          <w:rFonts w:ascii="Times New Roman" w:hAnsi="Times New Roman" w:cs="Times New Roman"/>
          <w:color w:val="000000"/>
          <w:sz w:val="24"/>
        </w:rPr>
        <w:t xml:space="preserve"> </w:t>
      </w:r>
      <w:r>
        <w:rPr>
          <w:rFonts w:ascii="Times New Roman" w:hAnsi="Times New Roman" w:cs="Times New Roman"/>
          <w:color w:val="000000"/>
          <w:sz w:val="24"/>
        </w:rPr>
        <w:t>põhjendatud alus järeldada, et teistsuguse lepingutingimuse puhul oleks konkurents olnud</w:t>
      </w:r>
      <w:r>
        <w:rPr>
          <w:rFonts w:ascii="Times New Roman" w:hAnsi="Times New Roman" w:cs="Times New Roman"/>
          <w:color w:val="000000"/>
          <w:sz w:val="24"/>
        </w:rPr>
        <w:t xml:space="preserve"> </w:t>
      </w:r>
      <w:r>
        <w:rPr>
          <w:rFonts w:ascii="Times New Roman" w:hAnsi="Times New Roman" w:cs="Times New Roman"/>
          <w:color w:val="000000"/>
          <w:sz w:val="24"/>
        </w:rPr>
        <w:t>suurem või pakkumuse maksumus madalam.</w:t>
      </w:r>
      <w:r>
        <w:rPr>
          <w:rFonts w:ascii="Times New Roman" w:hAnsi="Times New Roman" w:cs="Times New Roman"/>
          <w:color w:val="000000"/>
          <w:sz w:val="24"/>
        </w:rPr>
        <w:t xml:space="preserve"> </w:t>
      </w:r>
      <w:r>
        <w:rPr>
          <w:rFonts w:ascii="Times New Roman" w:hAnsi="Times New Roman" w:cs="Times New Roman"/>
          <w:color w:val="000000"/>
          <w:sz w:val="24"/>
        </w:rPr>
        <w:t>Lisaks sellele, et lepingutingimus konkurentsi ei mõjutanud, ei ole rakendusüksus ka</w:t>
      </w:r>
      <w:r>
        <w:rPr>
          <w:rFonts w:ascii="Times New Roman" w:hAnsi="Times New Roman" w:cs="Times New Roman"/>
          <w:color w:val="000000"/>
          <w:sz w:val="24"/>
        </w:rPr>
        <w:t xml:space="preserve"> </w:t>
      </w:r>
      <w:r>
        <w:rPr>
          <w:rFonts w:ascii="Times New Roman" w:hAnsi="Times New Roman" w:cs="Times New Roman"/>
          <w:color w:val="000000"/>
          <w:sz w:val="24"/>
        </w:rPr>
        <w:t>võimalikku mõju konkurentsile tõendanud. Nii on värskemas kohtupraktikas leitud, et see on</w:t>
      </w:r>
      <w:r>
        <w:rPr>
          <w:rFonts w:ascii="Times New Roman" w:hAnsi="Times New Roman" w:cs="Times New Roman"/>
          <w:color w:val="000000"/>
          <w:sz w:val="24"/>
        </w:rPr>
        <w:t xml:space="preserve"> </w:t>
      </w:r>
      <w:r>
        <w:rPr>
          <w:rFonts w:ascii="Times New Roman" w:hAnsi="Times New Roman" w:cs="Times New Roman"/>
          <w:color w:val="000000"/>
          <w:sz w:val="24"/>
        </w:rPr>
        <w:t>rakendusüksuse ülesanne oma uurimispõhimõtet rakendades tõendada, et konkurents võinuks</w:t>
      </w:r>
      <w:r>
        <w:rPr>
          <w:rFonts w:ascii="Times New Roman" w:hAnsi="Times New Roman" w:cs="Times New Roman"/>
          <w:color w:val="000000"/>
          <w:sz w:val="24"/>
        </w:rPr>
        <w:t xml:space="preserve"> </w:t>
      </w:r>
      <w:r>
        <w:rPr>
          <w:rFonts w:ascii="Times New Roman" w:hAnsi="Times New Roman" w:cs="Times New Roman"/>
          <w:color w:val="000000"/>
          <w:sz w:val="24"/>
        </w:rPr>
        <w:t>olla teistsuguse tingimuse korral laialdasem.</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Siinkohal, RTK tugineb vaidlustatud otsuses hüpoteetilistele järelmitele, mida kontrollida või jälgida ei ole võimalik. Samas vaide esitaja tugineb reaalsetele faktilistele asjaoludele.</w:t>
      </w:r>
    </w:p>
    <w:p>
      <w:pPr>
        <w:shd w:fill="FFFFFF" w:color="auto" w:val="clear"/>
        <w:spacing w:after="0" w:line="240" w:lineRule="auto"/>
        <w:jc w:val="both"/>
        <w:rPr>
          <w:rFonts w:ascii="Times New Roman" w:hAnsi="Times New Roman" w:cs="Times New Roman"/>
          <w:color w:val="202020"/>
          <w:sz w:val="24"/>
          <w:shd w:fill="FFFFFF" w:color="auto" w:val="clear"/>
        </w:rPr>
      </w:pPr>
    </w:p>
    <w:p>
      <w:pPr>
        <w:shd w:fill="FFFFFF" w:color="auto" w:val="clear"/>
        <w:spacing w:after="0" w:line="240" w:lineRule="auto"/>
        <w:jc w:val="both"/>
        <w:rPr>
          <w:rFonts w:ascii="Times New Roman" w:hAnsi="Times New Roman" w:cs="Times New Roman"/>
          <w:color w:val="202020"/>
          <w:sz w:val="24"/>
          <w:shd w:fill="FFFFFF" w:color="auto" w:val="clear"/>
        </w:rPr>
      </w:pPr>
      <w:r>
        <w:rPr>
          <w:rFonts w:ascii="Times New Roman" w:hAnsi="Times New Roman" w:cs="Times New Roman"/>
          <w:color w:val="202020"/>
          <w:sz w:val="24"/>
          <w:shd w:fill="FFFFFF" w:color="auto" w:val="clear"/>
        </w:rPr>
        <w:t xml:space="preserve">3. </w:t>
      </w:r>
      <w:r>
        <w:rPr>
          <w:rFonts w:ascii="Times New Roman" w:hAnsi="Times New Roman" w:cs="Times New Roman"/>
          <w:color w:val="000000"/>
          <w:sz w:val="24"/>
        </w:rPr>
        <w:t>Materiaalõiguslik alus</w:t>
      </w:r>
    </w:p>
    <w:p>
      <w:pPr>
        <w:spacing w:after="0"/>
        <w:jc w:val="both"/>
        <w:rPr>
          <w:rFonts w:ascii="Times New Roman" w:hAnsi="Times New Roman" w:cs="Times New Roman"/>
          <w:color w:val="000000"/>
          <w:sz w:val="24"/>
        </w:rPr>
      </w:pPr>
      <w:r>
        <w:rPr>
          <w:rFonts w:ascii="Times New Roman" w:hAnsi="Times New Roman" w:cs="Times New Roman"/>
          <w:color w:val="000000"/>
          <w:sz w:val="24"/>
        </w:rPr>
        <w:t>Ühendmääruse § 22 lg 14 kohaselt vähendatakse hankelepingule eraldatavat toetust kuni 10 protsenti, kui hankemenetluse korraldamisel ilmneb riigihangete seaduses sätestatud nõuete rikkumine, mida ei ole lõigetes 2–11 ja 13 nimetatud, või kui tegemist on riigihangete korraldamisega, kus hankelepingu maksumus jääb alla riigihangete piirmäära või kui on tegemist lihtsustatud korras teenuste tellimisega või ideekonkursi korraldamisega. Sõltuvalt rikkumise raskusest võib kohaldada 25-protsendilist finantskorrekt</w:t>
      </w:r>
      <w:r>
        <w:rPr>
          <w:rFonts w:ascii="Times New Roman" w:hAnsi="Times New Roman" w:cs="Times New Roman"/>
          <w:color w:val="000000"/>
          <w:sz w:val="24"/>
        </w:rPr>
        <w:t xml:space="preserve">siooni määra. Praeguses asjas kohaldas RTK 5% finantskorrektsiooni määra, seda kaalumata. RTK jättis kaalumata teised alternatiivid, so 2% või jätta finantskorrektsiooni määr kohaldamata. Järelikult on vaidlustatud otsus õigusvastane ja tuleb tühistada. Samuti tuleb arvestada, et tegemist ei ole raske ja tahtliku rikkumisega ja mõju oht on väike (Euroopa Kohtu kohtujurist E. </w:t>
      </w:r>
      <w:r>
        <w:rPr>
          <w:rFonts w:ascii="Times New Roman" w:hAnsi="Times New Roman" w:cs="Times New Roman"/>
          <w:color w:val="000000"/>
          <w:sz w:val="24"/>
        </w:rPr>
        <w:t>Sharpstoni</w:t>
      </w:r>
      <w:r>
        <w:rPr>
          <w:rFonts w:ascii="Times New Roman" w:hAnsi="Times New Roman" w:cs="Times New Roman"/>
          <w:color w:val="000000"/>
          <w:sz w:val="24"/>
        </w:rPr>
        <w:t xml:space="preserve"> ettepanek asjas C-743/18, p 89 jj). Riigikohtu selgituste järgi tuleb finantskorrektsiooni määra üle otsustamisel kaalutlus</w:t>
      </w:r>
      <w:r>
        <w:rPr>
          <w:rFonts w:ascii="Times New Roman" w:hAnsi="Times New Roman" w:cs="Times New Roman"/>
          <w:color w:val="000000"/>
          <w:sz w:val="24"/>
        </w:rPr>
        <w:t xml:space="preserve">õigust sisustada kooskõlas määruse (EL) nr 1303/2013 art 143 </w:t>
      </w:r>
      <w:r>
        <w:rPr>
          <w:rFonts w:ascii="Times New Roman" w:hAnsi="Times New Roman" w:cs="Times New Roman"/>
          <w:color w:val="000000"/>
          <w:sz w:val="24"/>
        </w:rPr>
        <w:t>lg-ga</w:t>
      </w:r>
      <w:r>
        <w:rPr>
          <w:rFonts w:ascii="Times New Roman" w:hAnsi="Times New Roman" w:cs="Times New Roman"/>
          <w:color w:val="000000"/>
          <w:sz w:val="24"/>
        </w:rPr>
        <w:t xml:space="preserve"> 2, sh tuleb kaalumisel arvestada konkreetse vaidluse asjaolusid.</w:t>
      </w:r>
    </w:p>
    <w:p>
      <w:pPr>
        <w:spacing w:after="0" w:line="240" w:lineRule="auto"/>
        <w:rPr>
          <w:rFonts w:ascii="TimesNewRomanPSMT" w:hAnsi="TimesNewRomanPSMT" w:cs="TimesNewRomanPSMT"/>
          <w:color w:val="000000"/>
          <w:sz w:val="24"/>
        </w:rPr>
      </w:pPr>
    </w:p>
    <w:p>
      <w:pPr>
        <w:spacing w:after="0"/>
        <w:jc w:val="both"/>
        <w:rPr>
          <w:rFonts w:ascii="Times New Roman" w:hAnsi="Times New Roman" w:cs="Times New Roman"/>
          <w:b w:val="true"/>
          <w:color w:val="000000"/>
          <w:sz w:val="24"/>
        </w:rPr>
      </w:pPr>
      <w:r>
        <w:rPr>
          <w:rFonts w:ascii="Times New Roman" w:hAnsi="Times New Roman" w:cs="Times New Roman"/>
          <w:b w:val="true"/>
          <w:color w:val="000000"/>
          <w:sz w:val="24"/>
        </w:rPr>
        <w:t>Kokkuvõtvalt</w:t>
      </w:r>
    </w:p>
    <w:p>
      <w:pPr>
        <w:spacing w:after="0"/>
        <w:jc w:val="both"/>
        <w:rPr>
          <w:rFonts w:ascii="Times New Roman" w:hAnsi="Times New Roman" w:cs="Times New Roman"/>
          <w:color w:val="000000"/>
          <w:sz w:val="24"/>
        </w:rPr>
      </w:pPr>
    </w:p>
    <w:p>
      <w:pPr>
        <w:spacing w:after="0"/>
        <w:jc w:val="both"/>
        <w:rPr>
          <w:rFonts w:ascii="Times New Roman" w:hAnsi="Times New Roman" w:cs="Times New Roman"/>
          <w:color w:val="000000"/>
          <w:sz w:val="24"/>
        </w:rPr>
      </w:pPr>
      <w:r>
        <w:rPr>
          <w:rFonts w:ascii="Times New Roman" w:hAnsi="Times New Roman" w:cs="Times New Roman"/>
          <w:color w:val="000000"/>
          <w:sz w:val="24"/>
        </w:rPr>
        <w:t xml:space="preserve">Lähtudes p 1 esitatud seisukohtadest tunnistada vaidlustatud otsus tühiseks, seda HMS </w:t>
      </w:r>
      <w:r>
        <w:rPr>
          <w:rFonts w:ascii="Times New Roman" w:hAnsi="Times New Roman" w:cs="Times New Roman"/>
          <w:color w:val="202020"/>
          <w:sz w:val="24"/>
          <w:shd w:fill="FFFFFF" w:color="auto" w:val="clear"/>
        </w:rPr>
        <w:t>§ 63 lg 2 p 3 alusel</w:t>
      </w:r>
    </w:p>
    <w:p>
      <w:pPr>
        <w:spacing w:after="0"/>
        <w:jc w:val="both"/>
        <w:rPr>
          <w:rFonts w:ascii="Times New Roman" w:hAnsi="Times New Roman" w:cs="Times New Roman"/>
          <w:color w:val="000000"/>
          <w:sz w:val="24"/>
        </w:rPr>
      </w:pPr>
    </w:p>
    <w:p>
      <w:pPr>
        <w:spacing w:after="0"/>
        <w:jc w:val="both"/>
        <w:rPr>
          <w:rFonts w:ascii="Times New Roman" w:hAnsi="Times New Roman" w:cs="Times New Roman"/>
          <w:color w:val="000000"/>
          <w:sz w:val="24"/>
        </w:rPr>
      </w:pPr>
      <w:r>
        <w:rPr>
          <w:rFonts w:ascii="Times New Roman" w:hAnsi="Times New Roman" w:cs="Times New Roman"/>
          <w:color w:val="000000"/>
          <w:sz w:val="24"/>
        </w:rPr>
        <w:t xml:space="preserve">Tühisuse mittetuvastamisel rahuldada vaide esitaja </w:t>
      </w:r>
      <w:r>
        <w:rPr>
          <w:rFonts w:ascii="Times New Roman" w:hAnsi="Times New Roman" w:cs="Times New Roman"/>
          <w:color w:val="000000"/>
          <w:sz w:val="24"/>
        </w:rPr>
        <w:t>alternatiivnõue ning tunnistada vaidlustatud otsus kehtetuks, seda HMS § 72 lg 1 p 1 alusel.</w:t>
      </w:r>
    </w:p>
    <w:p>
      <w:pPr>
        <w:spacing w:after="0"/>
        <w:jc w:val="both"/>
        <w:rPr>
          <w:rFonts w:ascii="Times New Roman" w:hAnsi="Times New Roman" w:cs="Times New Roman"/>
          <w:color w:val="000000"/>
          <w:sz w:val="24"/>
        </w:rPr>
      </w:pPr>
    </w:p>
    <w:p>
      <w:pPr>
        <w:spacing w:after="0"/>
        <w:jc w:val="both"/>
        <w:rPr>
          <w:rFonts w:ascii="Times New Roman" w:hAnsi="Times New Roman" w:cs="Times New Roman"/>
          <w:color w:val="000000"/>
          <w:sz w:val="24"/>
        </w:rPr>
      </w:pPr>
      <w:r>
        <w:rPr>
          <w:rFonts w:ascii="Times New Roman" w:hAnsi="Times New Roman" w:cs="Times New Roman"/>
          <w:color w:val="000000"/>
          <w:sz w:val="24"/>
        </w:rPr>
        <w:t>Vaide esitaja kinnitab, et asjas puudub jõustunud kohtuotsus ega toimu kohtumenetlust</w:t>
      </w:r>
    </w:p>
    <w:p>
      <w:pPr>
        <w:spacing w:after="0" w:line="240" w:lineRule="auto"/>
        <w:jc w:val="both"/>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Lugupidamisega</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color w:val="595959" w:themeColor="dark1" w:themeTint="A6"/>
          <w:sz w:val="24"/>
        </w:rPr>
      </w:pPr>
      <w:r>
        <w:rPr>
          <w:rFonts w:ascii="Times New Roman" w:hAnsi="Times New Roman" w:cs="Times New Roman"/>
          <w:color w:val="595959" w:themeColor="dark1" w:themeTint="A6"/>
          <w:sz w:val="24"/>
        </w:rPr>
        <w:t>(allkirjastatud digitaalselt)</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Andi Liblikman</w:t>
      </w:r>
      <w:r>
        <w:br/>
      </w:r>
      <w:r>
        <w:rPr>
          <w:rFonts w:ascii="Times New Roman" w:hAnsi="Times New Roman" w:cs="Times New Roman"/>
          <w:color w:val="171717"/>
          <w:sz w:val="24"/>
        </w:rPr>
        <w:t>jurist</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Lisa: Volikiri</w:t>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tabs>
          <w:tab w:pos="2865" w:val="left" w:leader="none"/>
        </w:tabs>
        <w:spacing w:after="0" w:line="240" w:lineRule="auto"/>
        <w:rPr>
          <w:rFonts w:ascii="Times New Roman" w:hAnsi="Times New Roman" w:cs="Times New Roman"/>
          <w:sz w:val="24"/>
        </w:rPr>
      </w:pPr>
      <w:r>
        <w:rPr>
          <w:rFonts w:ascii="Times New Roman" w:hAnsi="Times New Roman" w:cs="Times New Roman"/>
          <w:sz w:val="24"/>
        </w:rPr>
        <w:tab/>
      </w: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p>
    <w:p>
      <w:pPr>
        <w:spacing w:after="0" w:line="240" w:lineRule="auto"/>
        <w:rPr>
          <w:rFonts w:ascii="Times New Roman" w:hAnsi="Times New Roman" w:cs="Times New Roman"/>
          <w:sz w:val="24"/>
        </w:rPr>
      </w:pPr>
      <w:r>
        <w:rPr>
          <w:rFonts w:ascii="Times New Roman" w:hAnsi="Times New Roman" w:cs="Times New Roman"/>
          <w:sz w:val="24"/>
        </w:rPr>
        <w:t xml:space="preserve">Andi Liblikman </w:t>
      </w:r>
      <w:r>
        <w:rPr>
          <w:rFonts w:ascii="Times New Roman" w:hAnsi="Times New Roman" w:cs="Times New Roman"/>
          <w:sz w:val="24"/>
          <w:shd w:fill="FFFFFF" w:color="auto" w:val="clear"/>
        </w:rPr>
        <w:t>andi.liblikman@kehtna.ee 5303 6380</w:t>
      </w:r>
    </w:p>
    <w:sectPr>
      <w:pgSz w:h="16838" w:w="11906" w:orient="portrait"/>
      <w:pgMar w:top="567" w:right="851" w:bottom="851" w:left="1418" w:header="709" w:footer="420" w:gutter="0"/>
      <w:titlePg w:val="true"/>
      <w:headerReference r:id="rId2" w:type="default"/>
      <w:headerReference r:id="rId3" w:type="first"/>
      <w:footerReference r:id="rId4" w:type="default"/>
      <w:footerReference r:id="rId5" w:type="first"/>
    </w:sectPr>
  </w:body>
</w:document>
</file>

<file path=word/footer1.xml><?xml version="1.0" encoding="utf-8"?>
<w:ftr xmlns:w="http://schemas.openxmlformats.org/wordprocessingml/2006/main">
  <w:p>
    <w:pPr>
      <w:spacing w:after="0" w:line="240" w:lineRule="auto"/>
      <w:jc w:val="both"/>
      <w:rPr>
        <w:rFonts w:ascii="Times New Roman" w:hAnsi="Times New Roman" w:cs="Times New Roman"/>
        <w:sz w:val="20"/>
      </w:rPr>
    </w:pPr>
  </w:p>
</w:ftr>
</file>

<file path=word/footer2.xml><?xml version="1.0" encoding="utf-8"?>
<w:ftr xmlns:w="http://schemas.openxmlformats.org/wordprocessingml/2006/main">
  <w:p>
    <w:pPr>
      <w:pBdr>
        <w:top w:color="auto" w:frame="false" w:shadow="false" w:sz="4" w:space="1" w:val="single"/>
      </w:pBdr>
      <w:spacing w:after="0" w:line="240" w:lineRule="auto"/>
      <w:jc w:val="both"/>
      <w:rPr>
        <w:rFonts w:ascii="Times New Roman" w:hAnsi="Times New Roman" w:cs="Times New Roman"/>
        <w:sz w:val="20"/>
      </w:rPr>
    </w:pPr>
    <w:r>
      <w:rPr>
        <w:rFonts w:ascii="Times New Roman" w:hAnsi="Times New Roman" w:cs="Times New Roman"/>
        <w:sz w:val="20"/>
      </w:rPr>
      <w:t>Pargi 2</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Telefon 5348 0602</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Registrikood 77000252</w:t>
    </w:r>
  </w:p>
  <w:p>
    <w:pPr>
      <w:pBdr>
        <w:top w:color="auto" w:frame="false" w:shadow="false" w:sz="4" w:space="1" w:val="single"/>
      </w:pBdr>
      <w:spacing w:after="0" w:line="240" w:lineRule="auto"/>
      <w:jc w:val="both"/>
      <w:rPr>
        <w:rFonts w:ascii="Times New Roman" w:hAnsi="Times New Roman" w:cs="Times New Roman"/>
        <w:sz w:val="20"/>
      </w:rPr>
    </w:pPr>
    <w:r>
      <w:rPr>
        <w:rFonts w:ascii="Times New Roman" w:hAnsi="Times New Roman" w:cs="Times New Roman"/>
        <w:sz w:val="20"/>
      </w:rPr>
      <w:t>Kehtna</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SEB EE781010802000064001</w:t>
    </w:r>
  </w:p>
  <w:p>
    <w:pPr>
      <w:pBdr>
        <w:top w:color="auto" w:frame="false" w:shadow="false" w:sz="4" w:space="1" w:val="single"/>
      </w:pBdr>
      <w:spacing w:after="0" w:line="240" w:lineRule="auto"/>
      <w:jc w:val="both"/>
      <w:rPr>
        <w:rFonts w:ascii="Times New Roman" w:hAnsi="Times New Roman" w:cs="Times New Roman"/>
        <w:sz w:val="20"/>
      </w:rPr>
    </w:pPr>
    <w:r>
      <w:rPr>
        <w:rFonts w:ascii="Times New Roman" w:hAnsi="Times New Roman" w:cs="Times New Roman"/>
        <w:sz w:val="20"/>
      </w:rPr>
      <w:t>79001 RAPLAMAA</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 xml:space="preserve">e-post: </w:t>
    </w:r>
    <w:r>
      <w:fldChar w:fldCharType="begin" w:fldLock="false" w:dirty="false"/>
    </w:r>
    <w:r>
      <w:rPr/>
      <w:instrText xml:space="preserve"> HYPERLINK "mailto:kehtna@kehtna.ee" </w:instrText>
    </w:r>
    <w:r>
      <w:fldChar w:fldCharType="separate"/>
    </w:r>
    <w:r>
      <w:rPr>
        <w:rStyle w:val="Hperlink"/>
        <w:rFonts w:ascii="Times New Roman" w:hAnsi="Times New Roman" w:cs="Times New Roman"/>
        <w:sz w:val="20"/>
      </w:rPr>
      <w:t>kehtna@kehtna.ee</w:t>
    </w:r>
    <w:r>
      <w:fldChar w:fldCharType="end"/>
    </w:r>
    <w:r>
      <w:rPr>
        <w:rFonts w:ascii="Times New Roman" w:hAnsi="Times New Roman" w:cs="Times New Roman"/>
        <w:sz w:val="20"/>
      </w:rPr>
      <w:tab/>
    </w:r>
    <w:r>
      <w:rPr>
        <w:rFonts w:ascii="Times New Roman" w:hAnsi="Times New Roman" w:cs="Times New Roman"/>
        <w:sz w:val="20"/>
      </w:rPr>
      <w:tab/>
    </w:r>
  </w:p>
  <w:p>
    <w:pPr>
      <w:pBdr>
        <w:top w:color="auto" w:frame="false" w:shadow="false" w:sz="4" w:space="1" w:val="single"/>
      </w:pBdr>
      <w:spacing w:after="0" w:line="240" w:lineRule="auto"/>
      <w:jc w:val="both"/>
      <w:rPr>
        <w:rFonts w:ascii="Times New Roman" w:hAnsi="Times New Roman" w:cs="Times New Roman"/>
        <w:sz w:val="20"/>
      </w:rPr>
    </w:pPr>
  </w:p>
</w:ftr>
</file>

<file path=word/header1.xml><?xml version="1.0" encoding="utf-8"?>
<w:hdr xmlns:r="http://schemas.openxmlformats.org/officeDocument/2006/relationships" xmlns:w="http://schemas.openxmlformats.org/wordprocessingml/2006/main">
  <w:p>
    <w:pPr>
      <w:pStyle w:val="Default"/>
      <w:ind w:firstLine="761" w:left="5760"/>
      <w:rPr>
        <w:sz w:val="20"/>
      </w:rPr>
    </w:pPr>
  </w:p>
  <w:p>
    <w:pPr>
      <w:pStyle w:val="Default"/>
      <w:jc w:val="center"/>
      <w:rPr>
        <w:sz w:val="20"/>
      </w:rPr>
    </w:pPr>
  </w:p>
  <w:p>
    <w:pPr>
      <w:pStyle w:val="Pis"/>
      <w:rPr/>
    </w:pPr>
  </w:p>
  <w:p>
    <w:pPr>
      <w:pStyle w:val="Pis"/>
      <w:rPr/>
    </w:pPr>
  </w:p>
</w:hdr>
</file>

<file path=word/header2.xml><?xml version="1.0" encoding="utf-8"?>
<w:hdr xmlns:r="http://schemas.openxmlformats.org/officeDocument/2006/relationships" xmlns:w="http://schemas.openxmlformats.org/wordprocessingml/2006/main">
  <w:p>
    <w:pPr>
      <w:spacing w:after="0" w:line="240" w:lineRule="auto"/>
      <w:ind w:left="5664"/>
      <w:jc w:val="center"/>
      <w:rPr>
        <w:rFonts w:ascii="Times New Roman" w:hAnsi="Times New Roman" w:cs="Times New Roman"/>
        <w:sz w:val="20"/>
      </w:rPr>
    </w:pPr>
  </w:p>
  <w:p>
    <w:pPr>
      <w:spacing w:after="0" w:line="240" w:lineRule="auto"/>
      <w:ind w:left="5664"/>
      <w:jc w:val="center"/>
      <w:rPr>
        <w:rFonts w:ascii="Times New Roman" w:hAnsi="Times New Roman" w:cs="Times New Roman"/>
        <w:sz w:val="20"/>
      </w:rPr>
    </w:pPr>
  </w:p>
  <w:p>
    <w:pPr>
      <w:spacing w:after="0" w:line="240" w:lineRule="auto"/>
      <w:ind w:left="5664"/>
      <w:jc w:val="center"/>
      <w:rPr>
        <w:rFonts w:ascii="Times New Roman" w:hAnsi="Times New Roman" w:cs="Times New Roman"/>
        <w:sz w:val="20"/>
      </w:rPr>
    </w:pPr>
    <w:r>
      <w:drawing>
        <wp:anchor xmlns:wp="http://schemas.openxmlformats.org/drawingml/2006/wordprocessingDrawing" distT="0" distB="0" distL="114300" distR="114300" simplePos="false" relativeHeight="251661312" behindDoc="true" locked="false" layoutInCell="true" allowOverlap="true">
          <wp:simplePos x="0" y="0"/>
          <wp:positionH relativeFrom="margin">
            <wp:align>center</wp:align>
          </wp:positionH>
          <wp:positionV relativeFrom="paragraph">
            <wp:posOffset>9525</wp:posOffset>
          </wp:positionV>
          <wp:extent cy="695325" cx="581025"/>
          <wp:effectExtent l="0" r="0" t="0" b="0"/>
          <wp:wrapNone/>
          <wp:docPr id="0" name="Pilt 27" descr="" title=""/>
          <a:graphic xmlns:a="http://schemas.openxmlformats.org/drawingml/2006/main">
            <a:graphicData uri="http://schemas.openxmlformats.org/drawingml/2006/picture">
              <pic:pic xmlns:pic="http://schemas.openxmlformats.org/drawingml/2006/picture">
                <pic:nvPicPr>
                  <pic:cNvPr id="0" name="Pilt 27" descr="" title=""/>
                  <pic:cNvPicPr>
                    <a:picLocks noChangeAspect="1"/>
                  </pic:cNvPicPr>
                </pic:nvPicPr>
                <pic:blipFill>
                  <a:blip xmlns:r="http://schemas.openxmlformats.org/officeDocument/2006/relationships" r:embed="rId1"/>
                  <a:stretch>
                    <a:fillRect/>
                  </a:stretch>
                </pic:blipFill>
                <pic:spPr>
                  <a:xfrm>
                    <a:off x="0" y="0"/>
                    <a:ext cy="695325" cx="581025"/>
                  </a:xfrm>
                  <a:prstGeom prst="rect"/>
                  <a:noFill/>
                </pic:spPr>
              </pic:pic>
            </a:graphicData>
          </a:graphic>
        </wp:anchor>
      </w:drawing>
    </w:r>
  </w:p>
  <w:p>
    <w:pPr>
      <w:pStyle w:val="Default"/>
      <w:ind w:firstLine="761" w:left="11424"/>
      <w:jc w:val="center"/>
      <w:rPr>
        <w:sz w:val="20"/>
      </w:rPr>
    </w:pPr>
  </w:p>
  <w:p>
    <w:pPr>
      <w:pStyle w:val="Default"/>
      <w:ind w:firstLine="761" w:left="11424"/>
      <w:jc w:val="center"/>
      <w:rPr>
        <w:sz w:val="20"/>
      </w:rPr>
    </w:pPr>
  </w:p>
  <w:p>
    <w:pPr>
      <w:pStyle w:val="Default"/>
      <w:jc w:val="center"/>
      <w:rPr>
        <w:sz w:val="20"/>
      </w:rPr>
    </w:pPr>
  </w:p>
  <w:p>
    <w:pPr>
      <w:pStyle w:val="Pis"/>
      <w:rPr/>
    </w:pPr>
  </w:p>
</w:hdr>
</file>

<file path=word/numbering.xml><?xml version="1.0" encoding="utf-8"?>
<w:numbering xmlns:w="http://schemas.openxmlformats.org/wordprocessingml/2006/main">
  <w:abstractNum w:abstractNumId="0">
    <w:multiLevelType w:val="hybridMultilevel"/>
    <w:lvl w:ilvl="0">
      <w:start w:val="1"/>
      <w:numFmt w:val="custom"/>
      <w:isLgl w:val="false"/>
      <w:lvlText w:val="%1."/>
      <w:pPr>
        <w:ind w:hanging="360" w:left="720"/>
      </w:pPr>
      <w:rPr>
        <w:rFonts w:ascii="Calibri" w:hAnsi="Calibri" w:cs="Calibri" w:asciiTheme="minorHAnsi" w:hAnsiTheme="minorHAnsi"/>
        <w:sz w:val="22"/>
      </w:rPr>
    </w:lvl>
    <w:lvl w:ilvl="1">
      <w:start w:val="1"/>
      <w:numFmt w:val="lowerLetter"/>
      <w:isLgl w:val="false"/>
      <w:lvlText w:val="%2."/>
      <w:pPr>
        <w:ind w:hanging="360" w:left="1440"/>
      </w:pPr>
      <w:rPr/>
    </w:lvl>
    <w:lvl w:ilvl="2">
      <w:start w:val="1"/>
      <w:numFmt w:val="lowerRoman"/>
      <w:isLgl w:val="false"/>
      <w:lvlText w:val="%3."/>
      <w:lvlJc w:val="right"/>
      <w:pPr>
        <w:ind w:hanging="180" w:left="2160"/>
      </w:pPr>
      <w:rPr/>
    </w:lvl>
    <w:lvl w:ilvl="3">
      <w:start w:val="1"/>
      <w:numFmt w:val="custom"/>
      <w:isLgl w:val="false"/>
      <w:lvlText w:val="%4."/>
      <w:pPr>
        <w:ind w:hanging="360" w:left="2880"/>
      </w:pPr>
      <w:rPr/>
    </w:lvl>
    <w:lvl w:ilvl="4">
      <w:start w:val="1"/>
      <w:numFmt w:val="lowerLetter"/>
      <w:isLgl w:val="false"/>
      <w:lvlText w:val="%5."/>
      <w:pPr>
        <w:ind w:hanging="360" w:left="3600"/>
      </w:pPr>
      <w:rPr/>
    </w:lvl>
    <w:lvl w:ilvl="5">
      <w:start w:val="1"/>
      <w:numFmt w:val="lowerRoman"/>
      <w:isLgl w:val="false"/>
      <w:lvlText w:val="%6."/>
      <w:lvlJc w:val="right"/>
      <w:pPr>
        <w:ind w:hanging="180" w:left="4320"/>
      </w:pPr>
      <w:rPr/>
    </w:lvl>
    <w:lvl w:ilvl="6">
      <w:start w:val="1"/>
      <w:numFmt w:val="custom"/>
      <w:isLgl w:val="false"/>
      <w:lvlText w:val="%7."/>
      <w:pPr>
        <w:ind w:hanging="360" w:left="5040"/>
      </w:pPr>
      <w:rPr/>
    </w:lvl>
    <w:lvl w:ilvl="7">
      <w:start w:val="1"/>
      <w:numFmt w:val="lowerLetter"/>
      <w:isLgl w:val="false"/>
      <w:lvlText w:val="%8."/>
      <w:pPr>
        <w:ind w:hanging="360" w:left="5760"/>
      </w:pPr>
      <w:rPr/>
    </w:lvl>
    <w:lvl w:ilvl="8">
      <w:start w:val="1"/>
      <w:numFmt w:val="lowerRoman"/>
      <w:isLgl w:val="false"/>
      <w:lvlText w:val="%9."/>
      <w:lvlJc w:val="right"/>
      <w:pPr>
        <w:ind w:hanging="180" w:left="6480"/>
      </w:pPr>
      <w:rPr/>
    </w:lvl>
  </w:abstractNum>
  <w:abstractNum w:abstractNumId="1">
    <w:multiLevelType w:val="hybridMultilevel"/>
    <w:lvl w:ilvl="0">
      <w:start w:val="1"/>
      <w:numFmt w:val="custom"/>
      <w:isLgl w:val="false"/>
      <w:lvlText w:val="%1)"/>
      <w:pPr>
        <w:ind w:hanging="360" w:left="1080"/>
      </w:pPr>
      <w:rPr/>
    </w:lvl>
    <w:lvl w:ilvl="1">
      <w:start w:val="1"/>
      <w:numFmt w:val="lowerLetter"/>
      <w:isLgl w:val="false"/>
      <w:lvlText w:val="%2."/>
      <w:pPr>
        <w:ind w:hanging="360" w:left="1800"/>
      </w:pPr>
      <w:rPr/>
    </w:lvl>
    <w:lvl w:ilvl="2">
      <w:start w:val="1"/>
      <w:numFmt w:val="lowerRoman"/>
      <w:isLgl w:val="false"/>
      <w:lvlText w:val="%3."/>
      <w:lvlJc w:val="right"/>
      <w:pPr>
        <w:ind w:hanging="180" w:left="2520"/>
      </w:pPr>
      <w:rPr/>
    </w:lvl>
    <w:lvl w:ilvl="3">
      <w:start w:val="1"/>
      <w:numFmt w:val="custom"/>
      <w:isLgl w:val="false"/>
      <w:lvlText w:val="%4."/>
      <w:pPr>
        <w:ind w:hanging="360" w:left="3240"/>
      </w:pPr>
      <w:rPr/>
    </w:lvl>
    <w:lvl w:ilvl="4">
      <w:start w:val="1"/>
      <w:numFmt w:val="lowerLetter"/>
      <w:isLgl w:val="false"/>
      <w:lvlText w:val="%5."/>
      <w:pPr>
        <w:ind w:hanging="360" w:left="3960"/>
      </w:pPr>
      <w:rPr/>
    </w:lvl>
    <w:lvl w:ilvl="5">
      <w:start w:val="1"/>
      <w:numFmt w:val="lowerRoman"/>
      <w:isLgl w:val="false"/>
      <w:lvlText w:val="%6."/>
      <w:lvlJc w:val="right"/>
      <w:pPr>
        <w:ind w:hanging="180" w:left="4680"/>
      </w:pPr>
      <w:rPr/>
    </w:lvl>
    <w:lvl w:ilvl="6">
      <w:start w:val="1"/>
      <w:numFmt w:val="custom"/>
      <w:isLgl w:val="false"/>
      <w:lvlText w:val="%7."/>
      <w:pPr>
        <w:ind w:hanging="360" w:left="5400"/>
      </w:pPr>
      <w:rPr/>
    </w:lvl>
    <w:lvl w:ilvl="7">
      <w:start w:val="1"/>
      <w:numFmt w:val="lowerLetter"/>
      <w:isLgl w:val="false"/>
      <w:lvlText w:val="%8."/>
      <w:pPr>
        <w:ind w:hanging="360" w:left="6120"/>
      </w:pPr>
      <w:rPr/>
    </w:lvl>
    <w:lvl w:ilvl="8">
      <w:start w:val="1"/>
      <w:numFmt w:val="lowerRoman"/>
      <w:isLgl w:val="false"/>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efaultTabStop w:val="708"/>
  <w:compat>
    <w:compatSetting w:name="compatibilityMode" w:uri="http://schemas.microsoft.com/office/word" w:val="15"/>
  </w:compat>
  <w:docVars>
    <w:docVar w:name="Comments" w:val=" "/>
    <w:docVar w:name="CREATEDATE" w:val="14.03.2024"/>
    <w:docVar w:name="CURDATE" w:val="14.03.2024"/>
    <w:docVar w:name="CURDATETIME" w:val="14.03.2024 16:47"/>
    <w:docVar w:name="CURTIME" w:val="16:47"/>
    <w:docVar w:name="CURUSER" w:val="Kairi Schumann"/>
    <w:docVar w:name="CURUSEREMAIL" w:val="kairi.schumann@kehtna.ee"/>
    <w:docVar w:name="CURUSERORG" w:val="Kehtna Vallavalitsus (alates 01.01.2018)"/>
    <w:docVar w:name="CURUSERPHONE" w:val="5348 0602"/>
    <w:docVar w:name="EditorContent" w:val=""/>
  </w:docVars>
</w:settings>
</file>

<file path=word/styles.xml><?xml version="1.0" encoding="utf-8"?>
<w:styles xmlns:w="http://schemas.openxmlformats.org/wordprocessingml/2006/main">
  <w:docDefaults>
    <w:rPrDefault>
      <w:rPr>
        <w:rFonts w:ascii="Calibri" w:hAnsi="Calibri" w:cs="Calibri" w:asciiTheme="minorHAnsi" w:hAnsiTheme="minorHAnsi"/>
        <w:sz w:val="22"/>
      </w:rPr>
    </w:rPrDefault>
    <w:pPrDefault>
      <w:pPr>
        <w:spacing w:after="160" w:line="259" w:lineRule="auto"/>
      </w:pPr>
    </w:pPrDefault>
  </w:docDefaults>
  <w:style w:styleId="Normal" w:type="paragraph" w:default="true" w:customStyle="false">
    <w:name w:val="Normal"/>
    <w:uiPriority w:val="0"/>
    <w:qFormat w:val="true"/>
    <w:pPr/>
    <w:rPr/>
  </w:style>
  <w:style w:styleId="TableNormal" w:type="table" w:default="false" w:customStyle="true">
    <w:name w:val="Table Normal"/>
    <w:uiPriority w:val="59"/>
    <w:pPr/>
    <w:rPr/>
    <w:tblPr>
      <w:tblCellMar>
        <w:top w:w="0" w:type="dxa"/>
        <w:left w:w="108" w:type="dxa"/>
        <w:bottom w:w="0" w:type="dxa"/>
        <w:right w:w="108" w:type="dxa"/>
      </w:tblCellMar>
    </w:tblPr>
    <w:trPr/>
    <w:tcPr/>
  </w:style>
  <w:style w:styleId="Normaallaad" w:type="paragraph" w:default="true" w:customStyle="false">
    <w:name w:val="Normal"/>
    <w:qFormat w:val="true"/>
    <w:pPr/>
    <w:rPr/>
  </w:style>
  <w:style w:styleId="Liguvaikefont" w:type="character" w:default="true" w:customStyle="false">
    <w:name w:val="Default Paragraph Font"/>
    <w:uiPriority w:val="1"/>
    <w:pPr/>
    <w:rPr/>
  </w:style>
  <w:style w:styleId="Normaaltabel" w:type="table" w:default="true" w:customStyle="false">
    <w:name w:val="Normal Table"/>
    <w:uiPriority w:val="99"/>
    <w:pPr/>
    <w:rPr/>
    <w:tblPr>
      <w:tblInd w:w="0" w:type="dxa"/>
      <w:tblCellMar>
        <w:top w:w="0" w:type="dxa"/>
        <w:left w:w="108" w:type="dxa"/>
        <w:bottom w:w="0" w:type="dxa"/>
        <w:right w:w="108" w:type="dxa"/>
      </w:tblCellMar>
    </w:tblPr>
    <w:trPr/>
    <w:tcPr/>
  </w:style>
  <w:style w:styleId="Loendita" w:type="numbering" w:default="true" w:customStyle="false">
    <w:name w:val="No List"/>
    <w:uiPriority w:val="99"/>
    <w:pPr/>
    <w:rPr/>
  </w:style>
  <w:style w:styleId="Pis" w:type="paragraph" w:default="false" w:customStyle="false">
    <w:name w:val="header"/>
    <w:basedOn w:val="Normaallaad"/>
    <w:link w:val="PisMrk"/>
    <w:uiPriority w:val="99"/>
    <w:pPr>
      <w:tabs>
        <w:tab w:pos="4536" w:val="center" w:leader="none"/>
        <w:tab w:pos="9072" w:val="right" w:leader="none"/>
      </w:tabs>
      <w:spacing w:after="0" w:line="240" w:lineRule="auto"/>
    </w:pPr>
    <w:rPr/>
  </w:style>
  <w:style w:styleId="PisMrk" w:type="character" w:default="false" w:customStyle="true">
    <w:name w:val="Päis Märk"/>
    <w:basedOn w:val="Liguvaikefont"/>
    <w:link w:val="Pis"/>
    <w:uiPriority w:val="99"/>
    <w:pPr/>
    <w:rPr/>
  </w:style>
  <w:style w:styleId="Jalus" w:type="paragraph" w:default="false" w:customStyle="false">
    <w:name w:val="footer"/>
    <w:basedOn w:val="Normaallaad"/>
    <w:link w:val="JalusMrk"/>
    <w:uiPriority w:val="99"/>
    <w:pPr>
      <w:tabs>
        <w:tab w:pos="4536" w:val="center" w:leader="none"/>
        <w:tab w:pos="9072" w:val="right" w:leader="none"/>
      </w:tabs>
      <w:spacing w:after="0" w:line="240" w:lineRule="auto"/>
    </w:pPr>
    <w:rPr/>
  </w:style>
  <w:style w:styleId="JalusMrk" w:type="character" w:default="false" w:customStyle="true">
    <w:name w:val="Jalus Märk"/>
    <w:basedOn w:val="Liguvaikefont"/>
    <w:link w:val="Jalus"/>
    <w:uiPriority w:val="99"/>
    <w:pPr/>
    <w:rPr/>
  </w:style>
  <w:style w:styleId="Default" w:type="paragraph" w:default="false" w:customStyle="true">
    <w:name w:val="Default"/>
    <w:pPr>
      <w:spacing w:after="0" w:line="240" w:lineRule="auto"/>
    </w:pPr>
    <w:rPr>
      <w:rFonts w:ascii="Times New Roman" w:hAnsi="Times New Roman" w:cs="Times New Roman"/>
      <w:color w:val="000000"/>
      <w:sz w:val="24"/>
    </w:rPr>
  </w:style>
  <w:style w:styleId="Hperlink" w:type="character" w:default="false" w:customStyle="false">
    <w:name w:val="Hyperlink"/>
    <w:basedOn w:val="Liguvaikefont"/>
    <w:uiPriority w:val="99"/>
    <w:pPr/>
    <w:rPr>
      <w:color w:val="0000FF"/>
      <w:u w:val="single"/>
    </w:rPr>
  </w:style>
  <w:style w:styleId="Loendilik" w:type="paragraph" w:default="false" w:customStyle="false">
    <w:name w:val="List Paragraph"/>
    <w:basedOn w:val="Normaallaad"/>
    <w:uiPriority w:val="34"/>
    <w:qFormat w:val="true"/>
    <w:pPr>
      <w:ind w:left="720"/>
      <w:contextualSpacing w:val="true"/>
    </w:pPr>
    <w:rPr/>
  </w:style>
</w:styles>
</file>

<file path=word/_rels/document.xml.rels>&#65279;<?xml version="1.0" encoding="utf-8"?><Relationships xmlns="http://schemas.openxmlformats.org/package/2006/relationships"><Relationship Id="rId1" Type="http://schemas.openxmlformats.org/officeDocument/2006/relationships/theme" Target="theme/theme1.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settings" Target="settings.xml" /><Relationship Id="rId7" Type="http://schemas.openxmlformats.org/officeDocument/2006/relationships/styles" Target="styles.xml" /><Relationship Id="rId8" Type="http://schemas.openxmlformats.org/officeDocument/2006/relationships/numbering" Target="numbering.xml" /></Relationships>
</file>

<file path=word/_rels/header2.xml.rels>&#65279;<?xml version="1.0" encoding="utf-8"?><Relationships xmlns="http://schemas.openxmlformats.org/package/2006/relationships"><Relationship Id="rId1" Type="http://schemas.openxmlformats.org/officeDocument/2006/relationships/image" Target="media/image0.jpeg" /></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i kujundus">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core.xml><?xml version="1.0" encoding="utf-8"?>
<cp:coreProperties xmlns:dc="http://purl.org/dc/elements/1.1/" xmlns:cp="http://schemas.openxmlformats.org/package/2006/metadata/core-properties"/>
</file>