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670"/>
        </w:tabs>
        <w:spacing w:after="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highlight w:val="white"/>
          <w:rtl w:val="0"/>
        </w:rPr>
        <w:t xml:space="preserve">Siseministeerium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Teie: </w:t>
      </w:r>
      <w:r w:rsidDel="00000000" w:rsidR="00000000" w:rsidRPr="00000000">
        <w:rPr>
          <w:rFonts w:ascii="Times New Roman" w:cs="Times New Roman" w:eastAsia="Times New Roman" w:hAnsi="Times New Roman"/>
          <w:sz w:val="24"/>
          <w:szCs w:val="24"/>
          <w:rtl w:val="0"/>
        </w:rPr>
        <w:t xml:space="preserve">13.04.2020 </w:t>
      </w:r>
      <w:r w:rsidDel="00000000" w:rsidR="00000000" w:rsidRPr="00000000">
        <w:rPr>
          <w:rFonts w:ascii="Times New Roman" w:cs="Times New Roman" w:eastAsia="Times New Roman" w:hAnsi="Times New Roman"/>
          <w:sz w:val="24"/>
          <w:szCs w:val="24"/>
          <w:rtl w:val="0"/>
        </w:rPr>
        <w:t xml:space="preserve">nr </w:t>
      </w:r>
      <w:r w:rsidDel="00000000" w:rsidR="00000000" w:rsidRPr="00000000">
        <w:rPr>
          <w:rFonts w:ascii="Times New Roman" w:cs="Times New Roman" w:eastAsia="Times New Roman" w:hAnsi="Times New Roman"/>
          <w:sz w:val="24"/>
          <w:szCs w:val="24"/>
          <w:rtl w:val="0"/>
        </w:rPr>
        <w:t xml:space="preserve">20-0413/01</w:t>
      </w:r>
      <w:r w:rsidDel="00000000" w:rsidR="00000000" w:rsidRPr="00000000">
        <w:rPr>
          <w:rtl w:val="0"/>
        </w:rPr>
      </w:r>
    </w:p>
    <w:p w:rsidR="00000000" w:rsidDel="00000000" w:rsidP="00000000" w:rsidRDefault="00000000" w:rsidRPr="00000000" w14:paraId="00000002">
      <w:pPr>
        <w:tabs>
          <w:tab w:val="left" w:pos="5670"/>
        </w:tabs>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info@siseministeerium.ee</w:t>
      </w:r>
      <w:r w:rsidDel="00000000" w:rsidR="00000000" w:rsidRPr="00000000">
        <w:rPr>
          <w:rFonts w:ascii="Times New Roman" w:cs="Times New Roman" w:eastAsia="Times New Roman" w:hAnsi="Times New Roman"/>
          <w:sz w:val="24"/>
          <w:szCs w:val="24"/>
          <w:rtl w:val="0"/>
        </w:rPr>
        <w:t xml:space="preserve">                                                         Meie: </w:t>
      </w:r>
      <w:r w:rsidDel="00000000" w:rsidR="00000000" w:rsidRPr="00000000">
        <w:rPr>
          <w:rFonts w:ascii="Times New Roman" w:cs="Times New Roman" w:eastAsia="Times New Roman" w:hAnsi="Times New Roman"/>
          <w:sz w:val="24"/>
          <w:szCs w:val="24"/>
          <w:rtl w:val="0"/>
        </w:rPr>
        <w:t xml:space="preserve">27.04.2020</w:t>
      </w:r>
      <w:r w:rsidDel="00000000" w:rsidR="00000000" w:rsidRPr="00000000">
        <w:rPr>
          <w:rtl w:val="0"/>
        </w:rPr>
      </w:r>
    </w:p>
    <w:p w:rsidR="00000000" w:rsidDel="00000000" w:rsidP="00000000" w:rsidRDefault="00000000" w:rsidRPr="00000000" w14:paraId="00000003">
      <w:pPr>
        <w:tabs>
          <w:tab w:val="left" w:pos="5760"/>
        </w:tabs>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tabs>
          <w:tab w:val="left" w:pos="5760"/>
        </w:tabs>
        <w:spacing w:line="360" w:lineRule="auto"/>
        <w:jc w:val="both"/>
        <w:rPr>
          <w:rFonts w:ascii="Times New Roman" w:cs="Times New Roman" w:eastAsia="Times New Roman" w:hAnsi="Times New Roman"/>
          <w:b w:val="1"/>
          <w:color w:val="222222"/>
          <w:sz w:val="24"/>
          <w:szCs w:val="24"/>
          <w:highlight w:val="white"/>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Eesti Noorteühenduste Liidu tagasiside Siseministeeriumi Kodanikuühiskonna programmile „Tugev kodanikuühiskond“ 2021–2024. </w:t>
      </w:r>
      <w:r w:rsidDel="00000000" w:rsidR="00000000" w:rsidRPr="00000000">
        <w:rPr>
          <w:rtl w:val="0"/>
        </w:rPr>
      </w:r>
    </w:p>
    <w:p w:rsidR="00000000" w:rsidDel="00000000" w:rsidP="00000000" w:rsidRDefault="00000000" w:rsidRPr="00000000" w14:paraId="00000005">
      <w:pPr>
        <w:tabs>
          <w:tab w:val="left" w:pos="5760"/>
        </w:tabs>
        <w:spacing w:line="360" w:lineRule="auto"/>
        <w:jc w:val="both"/>
        <w:rPr>
          <w:rFonts w:ascii="Times New Roman" w:cs="Times New Roman" w:eastAsia="Times New Roman" w:hAnsi="Times New Roman"/>
          <w:sz w:val="24"/>
          <w:szCs w:val="24"/>
        </w:rPr>
      </w:pPr>
      <w:bookmarkStart w:colFirst="0" w:colLast="0" w:name="_heading=h.cn9te9o6g2ht" w:id="4"/>
      <w:bookmarkEnd w:id="4"/>
      <w:r w:rsidDel="00000000" w:rsidR="00000000" w:rsidRPr="00000000">
        <w:rPr>
          <w:rFonts w:ascii="Times New Roman" w:cs="Times New Roman" w:eastAsia="Times New Roman" w:hAnsi="Times New Roman"/>
          <w:sz w:val="24"/>
          <w:szCs w:val="24"/>
          <w:rtl w:val="0"/>
        </w:rPr>
        <w:t xml:space="preserve">Eesti Noorteühenduste Liit tänab </w:t>
      </w:r>
      <w:r w:rsidDel="00000000" w:rsidR="00000000" w:rsidRPr="00000000">
        <w:rPr>
          <w:rFonts w:ascii="Times New Roman" w:cs="Times New Roman" w:eastAsia="Times New Roman" w:hAnsi="Times New Roman"/>
          <w:sz w:val="24"/>
          <w:szCs w:val="24"/>
          <w:highlight w:val="white"/>
          <w:rtl w:val="0"/>
        </w:rPr>
        <w:t xml:space="preserve">Siseministeeriumit </w:t>
      </w:r>
      <w:r w:rsidDel="00000000" w:rsidR="00000000" w:rsidRPr="00000000">
        <w:rPr>
          <w:rFonts w:ascii="Times New Roman" w:cs="Times New Roman" w:eastAsia="Times New Roman" w:hAnsi="Times New Roman"/>
          <w:sz w:val="24"/>
          <w:szCs w:val="24"/>
          <w:rtl w:val="0"/>
        </w:rPr>
        <w:t xml:space="preserve">kirja eest, milles palute kooskõlastust ja arvamust Kodanikuühiskonna programmile „Tugev kodanikuühiskond“ 2021–2024. Avaldame tänu kaasamise eest eelnõu ettevalmistamise protsessi ning ühtlasi soovime kinnitada, et Eesti Noorteühenduste Liit soovib ka tulevikus jätkata panustamist tulemuslikku koostöösse. </w:t>
      </w:r>
    </w:p>
    <w:p w:rsidR="00000000" w:rsidDel="00000000" w:rsidP="00000000" w:rsidRDefault="00000000" w:rsidRPr="00000000" w14:paraId="00000006">
      <w:pPr>
        <w:tabs>
          <w:tab w:val="left" w:pos="5760"/>
        </w:tabs>
        <w:spacing w:line="360" w:lineRule="auto"/>
        <w:jc w:val="both"/>
        <w:rPr>
          <w:rFonts w:ascii="Times New Roman" w:cs="Times New Roman" w:eastAsia="Times New Roman" w:hAnsi="Times New Roman"/>
          <w:sz w:val="24"/>
          <w:szCs w:val="24"/>
        </w:rPr>
      </w:pPr>
      <w:bookmarkStart w:colFirst="0" w:colLast="0" w:name="_heading=h.bjqdseqge1j4" w:id="5"/>
      <w:bookmarkEnd w:id="5"/>
      <w:r w:rsidDel="00000000" w:rsidR="00000000" w:rsidRPr="00000000">
        <w:rPr>
          <w:rFonts w:ascii="Times New Roman" w:cs="Times New Roman" w:eastAsia="Times New Roman" w:hAnsi="Times New Roman"/>
          <w:sz w:val="24"/>
          <w:szCs w:val="24"/>
          <w:rtl w:val="0"/>
        </w:rPr>
        <w:t xml:space="preserve">Eesti Noorteühenduste Liit kooskõlastab eelnõu koos järgnevate kommentaaridega:</w:t>
      </w:r>
      <w:r w:rsidDel="00000000" w:rsidR="00000000" w:rsidRPr="00000000">
        <w:rPr>
          <w:rtl w:val="0"/>
        </w:rPr>
      </w:r>
    </w:p>
    <w:p w:rsidR="00000000" w:rsidDel="00000000" w:rsidP="00000000" w:rsidRDefault="00000000" w:rsidRPr="00000000" w14:paraId="00000007">
      <w:pPr>
        <w:numPr>
          <w:ilvl w:val="0"/>
          <w:numId w:val="3"/>
        </w:numPr>
        <w:spacing w:after="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Eesti Noorteühenduste Liit (edaspidi: ENL) on Eesti kodanikuühiskonna arengu kontseptsiooni (edaspidi: EKAK) ühiskomisjoni liige. 2020. aasta alguses kirjutati Siseministeeriumis Kodanikuühiskonna programmi sisse uus tegevusvaldkond pealkirjaga “Usuvabadus on kehtiva õiguskorra raames tagatud”. ENLi esindajad on osalenud EKAKi koosolekutel ja töötanud läbi ühiskomisjoni tegevusega seotud dokumente - antud tegevusvaldkonna sisseviimisest ei ole konsulteerimis-  ja kaasamisprotsessis kokku lepitud. </w:t>
      </w:r>
    </w:p>
    <w:p w:rsidR="00000000" w:rsidDel="00000000" w:rsidP="00000000" w:rsidRDefault="00000000" w:rsidRPr="00000000" w14:paraId="00000008">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Leiame, et usuühendustel on tähtis roll vabaühenduste valdkonnas, pakkudes olulisi teenuseid. Usuvabaduse tagamine on ühes mõtte- ja südametunnistusvabadusega avatud ja kaasava demokraatliku ühiskonna üks alusväärtusi. Usuvabaduse kaitsel seisab ka Eesti ühiskond silmitsi mitmete probleemidega nagu ebavõrdne kohtlemine, ühe religiooni eelistamine teistele, usuline sallimatus jne. </w:t>
      </w:r>
    </w:p>
    <w:p w:rsidR="00000000" w:rsidDel="00000000" w:rsidP="00000000" w:rsidRDefault="00000000" w:rsidRPr="00000000" w14:paraId="00000009">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ENL on seisukohal, et uue tegevusvaldkonna lisamine eeldab põhjalikku ning sisulist arutelu ja konsulteerimist kõikide dokumendi ettevalmistamisega seotud osapooltega. ENL avaldab täiendavat soovi olla edaspidi teadlik ja kaasatud sarnaste muudatuste protsessi.</w:t>
      </w:r>
    </w:p>
    <w:p w:rsidR="00000000" w:rsidDel="00000000" w:rsidP="00000000" w:rsidRDefault="00000000" w:rsidRPr="00000000" w14:paraId="0000000A">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after="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numPr>
          <w:ilvl w:val="0"/>
          <w:numId w:val="4"/>
        </w:numPr>
        <w:spacing w:after="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Leheküljel 3 on lõik: “</w:t>
      </w:r>
      <w:r w:rsidDel="00000000" w:rsidR="00000000" w:rsidRPr="00000000">
        <w:rPr>
          <w:rFonts w:ascii="Times New Roman" w:cs="Times New Roman" w:eastAsia="Times New Roman" w:hAnsi="Times New Roman"/>
          <w:i w:val="1"/>
          <w:sz w:val="24"/>
          <w:szCs w:val="24"/>
          <w:highlight w:val="white"/>
          <w:rtl w:val="0"/>
        </w:rPr>
        <w:t xml:space="preserve">Oluline teema on Eesti inimeste riigiidentiteet ja kodanikuteadmised ning neid edendav kodanikuharidus, mis aitab kaasa kodanike paremale osalemisele poliitikas ja oluliste otsuste langetamises. Väljaspool kooli ja koolidega koostöös pakutakse teatud võimalusi kodanikuhariduse omandamiseks – nii toimib näiteks Kogukonnapraktika algatus, Ettevõtlik kool ja Junior Achievementi ettevõtlusõpe. Samuti tegeleb kodanikuharidusega oma valdkonnas Kaitseministeerium koos Kaitseliiduga „Isamaalise hariduse programmis“. </w:t>
      </w:r>
    </w:p>
    <w:p w:rsidR="00000000" w:rsidDel="00000000" w:rsidP="00000000" w:rsidRDefault="00000000" w:rsidRPr="00000000" w14:paraId="0000000D">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ENL soovib teha täiendusettepaneku: “Oluline teema on Eesti inimeste riigiidentiteet ja kodanikuteadmised ning neid edendav kodanikuharidus, mis aitab kaasa kodanike paremale osalemisele poliitikas ja oluliste otsuste langetamises. Väljaspool kooli ja koolidega koostöös pakutakse teatud võimalusi kodanikuhariduse omandamiseks – nii toimib näiteks Kogukonnapraktika algatus, Ettevõtlik kool ja Junior Achievementi ettevõtlusõpe. Samuti tegeleb kodanikuharidusega oma valdkonnas Kaitseministeerium koos Kaitseliiduga „Isamaalise hariduse programmis. </w:t>
      </w:r>
      <w:r w:rsidDel="00000000" w:rsidR="00000000" w:rsidRPr="00000000">
        <w:rPr>
          <w:rFonts w:ascii="Times New Roman" w:cs="Times New Roman" w:eastAsia="Times New Roman" w:hAnsi="Times New Roman"/>
          <w:color w:val="980000"/>
          <w:sz w:val="24"/>
          <w:szCs w:val="24"/>
          <w:highlight w:val="white"/>
          <w:rtl w:val="0"/>
        </w:rPr>
        <w:t xml:space="preserve">Väljaspool kooli on võimalik kodanikuharidust omandada ka osaledes </w:t>
      </w:r>
      <w:r w:rsidDel="00000000" w:rsidR="00000000" w:rsidRPr="00000000">
        <w:rPr>
          <w:rFonts w:ascii="Times New Roman" w:cs="Times New Roman" w:eastAsia="Times New Roman" w:hAnsi="Times New Roman"/>
          <w:color w:val="980000"/>
          <w:sz w:val="24"/>
          <w:szCs w:val="24"/>
          <w:highlight w:val="white"/>
          <w:rtl w:val="0"/>
        </w:rPr>
        <w:t xml:space="preserve">noorteorganisatsioonide, -ühingute ja -volikogude töös</w:t>
      </w:r>
      <w:r w:rsidDel="00000000" w:rsidR="00000000" w:rsidRPr="00000000">
        <w:rPr>
          <w:rFonts w:ascii="Times New Roman" w:cs="Times New Roman" w:eastAsia="Times New Roman" w:hAnsi="Times New Roman"/>
          <w:color w:val="980000"/>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E">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spacing w:after="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Leheküljel 5 on lause: “</w:t>
      </w:r>
      <w:r w:rsidDel="00000000" w:rsidR="00000000" w:rsidRPr="00000000">
        <w:rPr>
          <w:rFonts w:ascii="Times New Roman" w:cs="Times New Roman" w:eastAsia="Times New Roman" w:hAnsi="Times New Roman"/>
          <w:i w:val="1"/>
          <w:sz w:val="24"/>
          <w:szCs w:val="24"/>
          <w:highlight w:val="white"/>
          <w:rtl w:val="0"/>
        </w:rPr>
        <w:t xml:space="preserve">Annetused aitavad vabaühendustel tõsta huvikaitsesuutlikkust, sest eraldi huvikaitsetegevustele on rahastust pigem keeruline leida.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1">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ENL soovib teha parandusettepaneku: “</w:t>
      </w:r>
      <w:r w:rsidDel="00000000" w:rsidR="00000000" w:rsidRPr="00000000">
        <w:rPr>
          <w:rFonts w:ascii="Times New Roman" w:cs="Times New Roman" w:eastAsia="Times New Roman" w:hAnsi="Times New Roman"/>
          <w:color w:val="980000"/>
          <w:sz w:val="24"/>
          <w:szCs w:val="24"/>
          <w:highlight w:val="white"/>
          <w:rtl w:val="0"/>
        </w:rPr>
        <w:t xml:space="preserve">Annetused aitavad vabaühendustel </w:t>
      </w:r>
      <w:r w:rsidDel="00000000" w:rsidR="00000000" w:rsidRPr="00000000">
        <w:rPr>
          <w:rFonts w:ascii="Times New Roman" w:cs="Times New Roman" w:eastAsia="Times New Roman" w:hAnsi="Times New Roman"/>
          <w:color w:val="980000"/>
          <w:sz w:val="24"/>
          <w:szCs w:val="24"/>
          <w:highlight w:val="white"/>
          <w:rtl w:val="0"/>
        </w:rPr>
        <w:t xml:space="preserve">tõsta </w:t>
      </w:r>
      <w:r w:rsidDel="00000000" w:rsidR="00000000" w:rsidRPr="00000000">
        <w:rPr>
          <w:rFonts w:ascii="Times New Roman" w:cs="Times New Roman" w:eastAsia="Times New Roman" w:hAnsi="Times New Roman"/>
          <w:color w:val="980000"/>
          <w:sz w:val="24"/>
          <w:szCs w:val="24"/>
          <w:highlight w:val="white"/>
          <w:rtl w:val="0"/>
        </w:rPr>
        <w:t xml:space="preserve">huvikaitsetegevust, sest eraldi huvikaitsesuutlikkusele on rahastust pigem keeruline leida.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2">
      <w:pPr>
        <w:spacing w:after="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spacing w:after="0"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Leheküljel 6 on lause: “</w:t>
      </w:r>
      <w:r w:rsidDel="00000000" w:rsidR="00000000" w:rsidRPr="00000000">
        <w:rPr>
          <w:rFonts w:ascii="Times New Roman" w:cs="Times New Roman" w:eastAsia="Times New Roman" w:hAnsi="Times New Roman"/>
          <w:i w:val="1"/>
          <w:sz w:val="24"/>
          <w:szCs w:val="24"/>
          <w:highlight w:val="white"/>
          <w:rtl w:val="0"/>
        </w:rPr>
        <w:t xml:space="preserve">Loodud on võimalused vabatahtliku tegevuse arvestamiseks asendusteenistuses.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6">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Asendusteenistuse võimaluste laiendamine on positiivne, kuid ENLil tekib küsimus - </w:t>
      </w:r>
      <w:r w:rsidDel="00000000" w:rsidR="00000000" w:rsidRPr="00000000">
        <w:rPr>
          <w:rFonts w:ascii="Times New Roman" w:cs="Times New Roman" w:eastAsia="Times New Roman" w:hAnsi="Times New Roman"/>
          <w:sz w:val="24"/>
          <w:szCs w:val="24"/>
          <w:highlight w:val="white"/>
          <w:rtl w:val="0"/>
        </w:rPr>
        <w:t xml:space="preserve">kas loodavate vabatahtlike tegevuste suurendamine tähendab võimalust teostada asendusteenistust rohkemates asutustes nagu näiteks noorsootöökeskused, Euroopa vabatahtlik teenistus, teised riigiasutused jne?</w:t>
      </w:r>
    </w:p>
    <w:p w:rsidR="00000000" w:rsidDel="00000000" w:rsidP="00000000" w:rsidRDefault="00000000" w:rsidRPr="00000000" w14:paraId="00000017">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after="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tabs>
          <w:tab w:val="left" w:pos="5760"/>
        </w:tabs>
        <w:spacing w:after="240" w:before="240" w:lineRule="auto"/>
        <w:jc w:val="both"/>
        <w:rPr>
          <w:rFonts w:ascii="Times New Roman" w:cs="Times New Roman" w:eastAsia="Times New Roman" w:hAnsi="Times New Roman"/>
          <w:sz w:val="24"/>
          <w:szCs w:val="24"/>
        </w:rPr>
      </w:pPr>
      <w:bookmarkStart w:colFirst="0" w:colLast="0" w:name="_heading=h.yqzc3zoeui00" w:id="6"/>
      <w:bookmarkEnd w:id="6"/>
      <w:r w:rsidDel="00000000" w:rsidR="00000000" w:rsidRPr="00000000">
        <w:rPr>
          <w:rFonts w:ascii="Times New Roman" w:cs="Times New Roman" w:eastAsia="Times New Roman" w:hAnsi="Times New Roman"/>
          <w:sz w:val="24"/>
          <w:szCs w:val="24"/>
          <w:rtl w:val="0"/>
        </w:rPr>
        <w:t xml:space="preserve">Lugupidamisega</w:t>
      </w:r>
    </w:p>
    <w:p w:rsidR="00000000" w:rsidDel="00000000" w:rsidP="00000000" w:rsidRDefault="00000000" w:rsidRPr="00000000" w14:paraId="0000001B">
      <w:pPr>
        <w:tabs>
          <w:tab w:val="left" w:pos="5760"/>
        </w:tabs>
        <w:spacing w:after="240" w:before="240" w:lineRule="auto"/>
        <w:jc w:val="both"/>
        <w:rPr>
          <w:rFonts w:ascii="Times New Roman" w:cs="Times New Roman" w:eastAsia="Times New Roman" w:hAnsi="Times New Roman"/>
          <w:sz w:val="24"/>
          <w:szCs w:val="24"/>
        </w:rPr>
      </w:pPr>
      <w:bookmarkStart w:colFirst="0" w:colLast="0" w:name="_heading=h.m6s0gkp2wapa" w:id="7"/>
      <w:bookmarkEnd w:id="7"/>
      <w:r w:rsidDel="00000000" w:rsidR="00000000" w:rsidRPr="00000000">
        <w:rPr>
          <w:rFonts w:ascii="Times New Roman" w:cs="Times New Roman" w:eastAsia="Times New Roman" w:hAnsi="Times New Roman"/>
          <w:sz w:val="24"/>
          <w:szCs w:val="24"/>
          <w:rtl w:val="0"/>
        </w:rPr>
        <w:t xml:space="preserve">Maris Neeno</w:t>
      </w:r>
    </w:p>
    <w:p w:rsidR="00000000" w:rsidDel="00000000" w:rsidP="00000000" w:rsidRDefault="00000000" w:rsidRPr="00000000" w14:paraId="0000001C">
      <w:pPr>
        <w:tabs>
          <w:tab w:val="left" w:pos="5760"/>
        </w:tabs>
        <w:spacing w:after="240" w:before="240" w:lineRule="auto"/>
        <w:jc w:val="both"/>
        <w:rPr>
          <w:rFonts w:ascii="Times New Roman" w:cs="Times New Roman" w:eastAsia="Times New Roman" w:hAnsi="Times New Roman"/>
          <w:sz w:val="24"/>
          <w:szCs w:val="24"/>
        </w:rPr>
      </w:pPr>
      <w:bookmarkStart w:colFirst="0" w:colLast="0" w:name="_heading=h.wxrivwtpe9ov" w:id="8"/>
      <w:bookmarkEnd w:id="8"/>
      <w:r w:rsidDel="00000000" w:rsidR="00000000" w:rsidRPr="00000000">
        <w:rPr>
          <w:rFonts w:ascii="Times New Roman" w:cs="Times New Roman" w:eastAsia="Times New Roman" w:hAnsi="Times New Roman"/>
          <w:sz w:val="24"/>
          <w:szCs w:val="24"/>
          <w:rtl w:val="0"/>
        </w:rPr>
        <w:t xml:space="preserve">Eesti Noorteühenduste Liit</w:t>
      </w:r>
    </w:p>
    <w:p w:rsidR="00000000" w:rsidDel="00000000" w:rsidP="00000000" w:rsidRDefault="00000000" w:rsidRPr="00000000" w14:paraId="0000001D">
      <w:pPr>
        <w:tabs>
          <w:tab w:val="left" w:pos="5760"/>
        </w:tabs>
        <w:spacing w:after="240" w:before="240" w:lineRule="auto"/>
        <w:jc w:val="both"/>
        <w:rPr>
          <w:rFonts w:ascii="Times New Roman" w:cs="Times New Roman" w:eastAsia="Times New Roman" w:hAnsi="Times New Roman"/>
          <w:sz w:val="24"/>
          <w:szCs w:val="24"/>
        </w:rPr>
      </w:pPr>
      <w:bookmarkStart w:colFirst="0" w:colLast="0" w:name="_heading=h.l1ybpo20wvwq" w:id="9"/>
      <w:bookmarkEnd w:id="9"/>
      <w:r w:rsidDel="00000000" w:rsidR="00000000" w:rsidRPr="00000000">
        <w:rPr>
          <w:rFonts w:ascii="Times New Roman" w:cs="Times New Roman" w:eastAsia="Times New Roman" w:hAnsi="Times New Roman"/>
          <w:sz w:val="24"/>
          <w:szCs w:val="24"/>
          <w:rtl w:val="0"/>
        </w:rPr>
        <w:t xml:space="preserve">avaliku poliitika spetsialist</w:t>
      </w:r>
    </w:p>
    <w:p w:rsidR="00000000" w:rsidDel="00000000" w:rsidP="00000000" w:rsidRDefault="00000000" w:rsidRPr="00000000" w14:paraId="0000001E">
      <w:pPr>
        <w:tabs>
          <w:tab w:val="left" w:pos="5760"/>
        </w:tabs>
        <w:spacing w:after="240" w:before="240" w:lineRule="auto"/>
        <w:jc w:val="both"/>
        <w:rPr>
          <w:rFonts w:ascii="Times New Roman" w:cs="Times New Roman" w:eastAsia="Times New Roman" w:hAnsi="Times New Roman"/>
          <w:sz w:val="24"/>
          <w:szCs w:val="24"/>
          <w:highlight w:val="white"/>
        </w:rPr>
      </w:pPr>
      <w:bookmarkStart w:colFirst="0" w:colLast="0" w:name="_heading=h.w2mc6tu6ua1f" w:id="10"/>
      <w:bookmarkEnd w:id="10"/>
      <w:r w:rsidDel="00000000" w:rsidR="00000000" w:rsidRPr="00000000">
        <w:rPr>
          <w:rFonts w:ascii="Times New Roman" w:cs="Times New Roman" w:eastAsia="Times New Roman" w:hAnsi="Times New Roman"/>
          <w:sz w:val="24"/>
          <w:szCs w:val="24"/>
          <w:rtl w:val="0"/>
        </w:rPr>
        <w:t xml:space="preserve">/allkirjastatud digitaalselt/</w:t>
      </w:r>
      <w:r w:rsidDel="00000000" w:rsidR="00000000" w:rsidRPr="00000000">
        <w:rPr>
          <w:rtl w:val="0"/>
        </w:rPr>
      </w:r>
    </w:p>
    <w:p w:rsidR="00000000" w:rsidDel="00000000" w:rsidP="00000000" w:rsidRDefault="00000000" w:rsidRPr="00000000" w14:paraId="0000001F">
      <w:pPr>
        <w:spacing w:after="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sectPr>
      <w:headerReference r:id="rId7" w:type="default"/>
      <w:footerReference r:id="rId8" w:type="default"/>
      <w:pgSz w:h="16838" w:w="11906"/>
      <w:pgMar w:bottom="1440" w:top="1440" w:left="1440" w:right="1440" w:header="1984.2519685039372"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Style w:val="Subtitle"/>
      <w:spacing w:after="0" w:before="0" w:lin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-5662</wp:posOffset>
          </wp:positionV>
          <wp:extent cx="7740000" cy="47282"/>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40000" cy="47282"/>
                  </a:xfrm>
                  <a:prstGeom prst="rect"/>
                  <a:ln/>
                </pic:spPr>
              </pic:pic>
            </a:graphicData>
          </a:graphic>
        </wp:anchor>
      </w:drawing>
    </w:r>
  </w:p>
  <w:tbl>
    <w:tblPr>
      <w:tblStyle w:val="Table1"/>
      <w:tblW w:w="9026.0" w:type="dxa"/>
      <w:jc w:val="left"/>
      <w:tblInd w:w="100.0" w:type="pct"/>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0" w:line="240" w:lineRule="auto"/>
            <w:rPr>
              <w:color w:val="808080"/>
              <w:sz w:val="18"/>
              <w:szCs w:val="18"/>
            </w:rPr>
          </w:pPr>
          <w:r w:rsidDel="00000000" w:rsidR="00000000" w:rsidRPr="00000000">
            <w:rPr>
              <w:color w:val="808080"/>
              <w:sz w:val="18"/>
              <w:szCs w:val="18"/>
              <w:rtl w:val="0"/>
            </w:rPr>
            <w:t xml:space="preserve">Eesti Noorte-</w:t>
          </w:r>
        </w:p>
        <w:p w:rsidR="00000000" w:rsidDel="00000000" w:rsidP="00000000" w:rsidRDefault="00000000" w:rsidRPr="00000000" w14:paraId="00000023">
          <w:pPr>
            <w:widowControl w:val="0"/>
            <w:spacing w:after="0" w:before="0" w:line="240" w:lineRule="auto"/>
            <w:rPr>
              <w:color w:val="808080"/>
              <w:sz w:val="18"/>
              <w:szCs w:val="18"/>
            </w:rPr>
          </w:pPr>
          <w:r w:rsidDel="00000000" w:rsidR="00000000" w:rsidRPr="00000000">
            <w:rPr>
              <w:color w:val="808080"/>
              <w:sz w:val="18"/>
              <w:szCs w:val="18"/>
              <w:rtl w:val="0"/>
            </w:rPr>
            <w:t xml:space="preserve">ühenduste Liit</w:t>
          </w:r>
        </w:p>
        <w:p w:rsidR="00000000" w:rsidDel="00000000" w:rsidP="00000000" w:rsidRDefault="00000000" w:rsidRPr="00000000" w14:paraId="00000024">
          <w:pPr>
            <w:widowControl w:val="0"/>
            <w:spacing w:after="0" w:before="0" w:line="240" w:lineRule="auto"/>
            <w:rPr>
              <w:color w:val="808080"/>
              <w:sz w:val="20"/>
              <w:szCs w:val="20"/>
            </w:rPr>
          </w:pPr>
          <w:r w:rsidDel="00000000" w:rsidR="00000000" w:rsidRPr="00000000">
            <w:rPr>
              <w:color w:val="808080"/>
              <w:sz w:val="18"/>
              <w:szCs w:val="18"/>
              <w:rtl w:val="0"/>
            </w:rPr>
            <w:t xml:space="preserve">Estonia pst 5a,</w:t>
            <w:br w:type="textWrapping"/>
            <w:t xml:space="preserve">Tallinn 10143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40" w:lineRule="auto"/>
            <w:rPr>
              <w:color w:val="808080"/>
              <w:sz w:val="18"/>
              <w:szCs w:val="18"/>
            </w:rPr>
          </w:pPr>
          <w:r w:rsidDel="00000000" w:rsidR="00000000" w:rsidRPr="00000000">
            <w:rPr>
              <w:color w:val="808080"/>
              <w:sz w:val="18"/>
              <w:szCs w:val="18"/>
              <w:rtl w:val="0"/>
            </w:rPr>
            <w:t xml:space="preserve">Tel. +372 661 6487 </w:t>
            <w:br w:type="textWrapping"/>
            <w:t xml:space="preserve">E-mail: enl@enl.ee</w:t>
          </w:r>
        </w:p>
        <w:p w:rsidR="00000000" w:rsidDel="00000000" w:rsidP="00000000" w:rsidRDefault="00000000" w:rsidRPr="00000000" w14:paraId="00000026">
          <w:pPr>
            <w:widowControl w:val="0"/>
            <w:spacing w:after="0" w:before="0" w:line="240" w:lineRule="auto"/>
            <w:rPr>
              <w:color w:val="808080"/>
              <w:sz w:val="20"/>
              <w:szCs w:val="20"/>
            </w:rPr>
          </w:pPr>
          <w:r w:rsidDel="00000000" w:rsidR="00000000" w:rsidRPr="00000000">
            <w:rPr>
              <w:color w:val="808080"/>
              <w:sz w:val="18"/>
              <w:szCs w:val="18"/>
              <w:rtl w:val="0"/>
            </w:rPr>
            <w:t xml:space="preserve">www.enl.ee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rPr>
              <w:color w:val="808080"/>
              <w:sz w:val="18"/>
              <w:szCs w:val="18"/>
            </w:rPr>
          </w:pPr>
          <w:r w:rsidDel="00000000" w:rsidR="00000000" w:rsidRPr="00000000">
            <w:rPr>
              <w:color w:val="808080"/>
              <w:sz w:val="18"/>
              <w:szCs w:val="18"/>
              <w:rtl w:val="0"/>
            </w:rPr>
            <w:t xml:space="preserve">IBAN: EE862200221020678903</w:t>
            <w:br w:type="textWrapping"/>
            <w:t xml:space="preserve">SWIFT/BIC CODE: HABAEE2X</w:t>
          </w:r>
        </w:p>
        <w:p w:rsidR="00000000" w:rsidDel="00000000" w:rsidP="00000000" w:rsidRDefault="00000000" w:rsidRPr="00000000" w14:paraId="00000028">
          <w:pPr>
            <w:widowControl w:val="0"/>
            <w:spacing w:after="0" w:before="0" w:line="240" w:lineRule="auto"/>
            <w:rPr>
              <w:color w:val="808080"/>
              <w:sz w:val="20"/>
              <w:szCs w:val="20"/>
            </w:rPr>
          </w:pPr>
          <w:r w:rsidDel="00000000" w:rsidR="00000000" w:rsidRPr="00000000">
            <w:rPr>
              <w:color w:val="808080"/>
              <w:sz w:val="18"/>
              <w:szCs w:val="18"/>
              <w:rtl w:val="0"/>
            </w:rPr>
            <w:t xml:space="preserve">Reg. nr. 80174062</w:t>
          </w:r>
          <w:r w:rsidDel="00000000" w:rsidR="00000000" w:rsidRPr="00000000">
            <w:rPr>
              <w:rtl w:val="0"/>
            </w:rPr>
          </w:r>
        </w:p>
      </w:tc>
    </w:tr>
  </w:tbl>
  <w:p w:rsidR="00000000" w:rsidDel="00000000" w:rsidP="00000000" w:rsidRDefault="00000000" w:rsidRPr="00000000" w14:paraId="00000029">
    <w:pPr>
      <w:pStyle w:val="Subtitle"/>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-737868</wp:posOffset>
          </wp:positionV>
          <wp:extent cx="1333500" cy="4000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400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color w:val="000000"/>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color w:val="000000"/>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line="240" w:lineRule="auto"/>
    </w:pPr>
    <w:rPr>
      <w:color w:val="808080"/>
      <w:sz w:val="20"/>
      <w:szCs w:val="2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spacing w:line="240" w:lineRule="auto"/>
    </w:pPr>
    <w:rPr>
      <w:color w:val="808080"/>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SBzzzJ+10FUcmcXpr5Hh0mLEg==">AMUW2mWf+wqfX0RJDG/s4FBpM7cK98kpguGqs75seybyZvPelL0+E+QqDve+T6COfBYgSFN47B8Iiecdpqt9RWs9le31u/K5d8G4kHH7xrk9cymjXF9bKqSJTRnKK+GGmDmlrM8GsEJHu7PmXcmeF4XdALJ//QPHc0hVQyNkMOid0FFxCZSOlX1Tx0fPGdYIqTrO38OsKJiXLfpacey+2qJcLUlo9m22EcEXCzfeQZcVVb8QVmEC6WdPvT3ZJNn+ZF0HbjevrbX3A1hCi4GsSD/QNJe/juTqDbfWwnp5osU8pgeRdNChGfYX3jBvLFyPLy6ZtEfliQ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