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470BD" w14:textId="77777777" w:rsidR="0088513E" w:rsidRPr="00427590" w:rsidRDefault="0088513E" w:rsidP="00427590">
      <w:pPr>
        <w:pStyle w:val="NoSpacing"/>
        <w:jc w:val="center"/>
        <w:rPr>
          <w:rFonts w:ascii="Times New Roman" w:hAnsi="Times New Roman" w:cs="Times New Roman"/>
          <w:b/>
          <w:bCs/>
          <w:sz w:val="28"/>
          <w:szCs w:val="28"/>
        </w:rPr>
      </w:pPr>
      <w:r w:rsidRPr="00427590">
        <w:rPr>
          <w:rFonts w:ascii="Times New Roman" w:hAnsi="Times New Roman" w:cs="Times New Roman"/>
          <w:b/>
          <w:bCs/>
          <w:sz w:val="28"/>
          <w:szCs w:val="28"/>
        </w:rPr>
        <w:t>Siseministri määruse</w:t>
      </w:r>
    </w:p>
    <w:p w14:paraId="2B43395A" w14:textId="77777777" w:rsidR="00427590" w:rsidRPr="00427590" w:rsidRDefault="0088513E" w:rsidP="00427590">
      <w:pPr>
        <w:pStyle w:val="NoSpacing"/>
        <w:jc w:val="center"/>
        <w:rPr>
          <w:rFonts w:ascii="Times New Roman" w:hAnsi="Times New Roman" w:cs="Times New Roman"/>
          <w:b/>
          <w:bCs/>
          <w:sz w:val="28"/>
          <w:szCs w:val="28"/>
        </w:rPr>
      </w:pPr>
      <w:r w:rsidRPr="00427590">
        <w:rPr>
          <w:rFonts w:ascii="Times New Roman" w:hAnsi="Times New Roman" w:cs="Times New Roman"/>
          <w:b/>
          <w:bCs/>
          <w:sz w:val="28"/>
          <w:szCs w:val="28"/>
        </w:rPr>
        <w:t>„</w:t>
      </w:r>
      <w:r w:rsidR="00427590" w:rsidRPr="00427590">
        <w:rPr>
          <w:rFonts w:ascii="Times New Roman" w:hAnsi="Times New Roman" w:cs="Times New Roman"/>
          <w:b/>
          <w:bCs/>
          <w:sz w:val="28"/>
          <w:szCs w:val="28"/>
        </w:rPr>
        <w:t>Kodanikuühiskonna suursündmuste toetuse andmise</w:t>
      </w:r>
    </w:p>
    <w:p w14:paraId="7A75C99D" w14:textId="6158EB2E" w:rsidR="0088513E" w:rsidRPr="00427590" w:rsidRDefault="00427590" w:rsidP="00427590">
      <w:pPr>
        <w:pStyle w:val="NoSpacing"/>
        <w:jc w:val="center"/>
        <w:rPr>
          <w:rFonts w:ascii="Times New Roman" w:hAnsi="Times New Roman" w:cs="Times New Roman"/>
          <w:b/>
          <w:bCs/>
          <w:sz w:val="28"/>
          <w:szCs w:val="28"/>
        </w:rPr>
      </w:pPr>
      <w:r w:rsidRPr="00427590">
        <w:rPr>
          <w:rFonts w:ascii="Times New Roman" w:hAnsi="Times New Roman" w:cs="Times New Roman"/>
          <w:b/>
          <w:bCs/>
          <w:sz w:val="28"/>
          <w:szCs w:val="28"/>
        </w:rPr>
        <w:t>tingimused ja kord</w:t>
      </w:r>
      <w:r w:rsidR="0088513E" w:rsidRPr="00427590">
        <w:rPr>
          <w:rFonts w:ascii="Times New Roman" w:hAnsi="Times New Roman" w:cs="Times New Roman"/>
          <w:b/>
          <w:bCs/>
          <w:sz w:val="28"/>
          <w:szCs w:val="28"/>
        </w:rPr>
        <w:t>“ eelnõu seletuskiri</w:t>
      </w:r>
    </w:p>
    <w:p w14:paraId="317F87DB" w14:textId="77777777" w:rsidR="0088513E" w:rsidRPr="006E6B2C" w:rsidRDefault="0088513E" w:rsidP="0088513E">
      <w:pPr>
        <w:jc w:val="center"/>
        <w:rPr>
          <w:rFonts w:ascii="Times New Roman" w:hAnsi="Times New Roman" w:cs="Times New Roman"/>
          <w:b/>
          <w:bCs/>
          <w:sz w:val="28"/>
          <w:szCs w:val="28"/>
        </w:rPr>
      </w:pPr>
    </w:p>
    <w:p w14:paraId="19A50BC2" w14:textId="77777777" w:rsidR="0088513E" w:rsidRPr="00020B79" w:rsidRDefault="0088513E" w:rsidP="0088513E">
      <w:pPr>
        <w:jc w:val="both"/>
        <w:rPr>
          <w:rFonts w:ascii="Times New Roman" w:hAnsi="Times New Roman" w:cs="Times New Roman"/>
          <w:b/>
          <w:bCs/>
          <w:sz w:val="24"/>
          <w:szCs w:val="24"/>
        </w:rPr>
      </w:pPr>
      <w:r>
        <w:rPr>
          <w:rFonts w:ascii="Times New Roman" w:hAnsi="Times New Roman" w:cs="Times New Roman"/>
          <w:b/>
          <w:bCs/>
          <w:sz w:val="24"/>
          <w:szCs w:val="24"/>
        </w:rPr>
        <w:t xml:space="preserve">1. </w:t>
      </w:r>
      <w:r w:rsidRPr="00020B79">
        <w:rPr>
          <w:rFonts w:ascii="Times New Roman" w:hAnsi="Times New Roman" w:cs="Times New Roman"/>
          <w:b/>
          <w:bCs/>
          <w:sz w:val="24"/>
          <w:szCs w:val="24"/>
        </w:rPr>
        <w:t>Sissejuhatus</w:t>
      </w:r>
    </w:p>
    <w:p w14:paraId="6BC0DFD9" w14:textId="77777777" w:rsidR="0088513E" w:rsidRDefault="0088513E" w:rsidP="0088513E">
      <w:pPr>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Pr="00020B79">
        <w:rPr>
          <w:rFonts w:ascii="Times New Roman" w:hAnsi="Times New Roman" w:cs="Times New Roman"/>
          <w:b/>
          <w:bCs/>
          <w:sz w:val="24"/>
          <w:szCs w:val="24"/>
        </w:rPr>
        <w:t>Sisukokkuvõte</w:t>
      </w:r>
    </w:p>
    <w:p w14:paraId="2451E106" w14:textId="7ADAA561" w:rsidR="00084D2D" w:rsidRDefault="00084D2D" w:rsidP="00084D2D">
      <w:pPr>
        <w:jc w:val="both"/>
        <w:rPr>
          <w:rFonts w:ascii="Times New Roman" w:hAnsi="Times New Roman" w:cs="Times New Roman"/>
          <w:sz w:val="24"/>
          <w:szCs w:val="24"/>
        </w:rPr>
      </w:pPr>
      <w:r w:rsidRPr="00084D2D">
        <w:rPr>
          <w:rFonts w:ascii="Times New Roman" w:hAnsi="Times New Roman" w:cs="Times New Roman"/>
          <w:sz w:val="24"/>
          <w:szCs w:val="24"/>
        </w:rPr>
        <w:t xml:space="preserve">Määrusega reguleeritakse kodanikuühiskonda arendavate suursündmuste toetuse andmise, taotlusvoorude läbiviimise, toetuse taotlemise, menetlemise, kasutamise </w:t>
      </w:r>
      <w:r w:rsidR="0060771A">
        <w:rPr>
          <w:rFonts w:ascii="Times New Roman" w:hAnsi="Times New Roman" w:cs="Times New Roman"/>
          <w:sz w:val="24"/>
          <w:szCs w:val="24"/>
        </w:rPr>
        <w:t xml:space="preserve">ja </w:t>
      </w:r>
      <w:r w:rsidRPr="00084D2D">
        <w:rPr>
          <w:rFonts w:ascii="Times New Roman" w:hAnsi="Times New Roman" w:cs="Times New Roman"/>
          <w:sz w:val="24"/>
          <w:szCs w:val="24"/>
        </w:rPr>
        <w:t xml:space="preserve">tagasinõudmise tingimusi </w:t>
      </w:r>
      <w:r w:rsidR="0060771A">
        <w:rPr>
          <w:rFonts w:ascii="Times New Roman" w:hAnsi="Times New Roman" w:cs="Times New Roman"/>
          <w:sz w:val="24"/>
          <w:szCs w:val="24"/>
        </w:rPr>
        <w:t>ning</w:t>
      </w:r>
      <w:r w:rsidRPr="00084D2D">
        <w:rPr>
          <w:rFonts w:ascii="Times New Roman" w:hAnsi="Times New Roman" w:cs="Times New Roman"/>
          <w:sz w:val="24"/>
          <w:szCs w:val="24"/>
        </w:rPr>
        <w:t xml:space="preserve"> korda.</w:t>
      </w:r>
    </w:p>
    <w:p w14:paraId="114D13B1" w14:textId="743273A6" w:rsidR="00084D2D" w:rsidRPr="00084D2D" w:rsidRDefault="00084D2D" w:rsidP="00084D2D">
      <w:pPr>
        <w:jc w:val="both"/>
        <w:rPr>
          <w:rFonts w:ascii="Times New Roman" w:hAnsi="Times New Roman" w:cs="Times New Roman"/>
          <w:sz w:val="24"/>
          <w:szCs w:val="24"/>
        </w:rPr>
      </w:pPr>
      <w:r w:rsidRPr="00084D2D">
        <w:rPr>
          <w:rFonts w:ascii="Times New Roman" w:hAnsi="Times New Roman" w:cs="Times New Roman"/>
          <w:sz w:val="24"/>
          <w:szCs w:val="24"/>
        </w:rPr>
        <w:t>Eelnõus määratakse kindlaks taotlejale ja taotlusele esitatavad nõuded, kulude abikõlblikkuse tingimused, toetatavad tegevused, järelevalve ning aruandluse kord. Toetust annab Sihtasutus Kodanikuühiskonna Sihtkapital, kes vastutab taotlusvooru korraldamise, taotluste hindamise ning toetuse kasutamise kontrollimise eest.</w:t>
      </w:r>
    </w:p>
    <w:p w14:paraId="54F92293" w14:textId="77777777" w:rsidR="00084D2D" w:rsidRPr="00084D2D" w:rsidRDefault="00084D2D" w:rsidP="00084D2D">
      <w:pPr>
        <w:jc w:val="both"/>
        <w:rPr>
          <w:rFonts w:ascii="Times New Roman" w:hAnsi="Times New Roman" w:cs="Times New Roman"/>
          <w:sz w:val="24"/>
          <w:szCs w:val="24"/>
        </w:rPr>
      </w:pPr>
      <w:r w:rsidRPr="00084D2D">
        <w:rPr>
          <w:rFonts w:ascii="Times New Roman" w:hAnsi="Times New Roman" w:cs="Times New Roman"/>
          <w:sz w:val="24"/>
          <w:szCs w:val="24"/>
        </w:rPr>
        <w:t>Toetuse andmise peamine eesmärk on toetada üle-eestiliste kodanikuühiskonna suursündmuste algatamist ja jätkumist, suurendada vabaühenduste koostööd ja nähtavust, edendada elanike kaasatust ühiskonnaelus ning tugevdada kodanikuühiskonna jätkusuutlikku arengut. Toetuse sihtrühmaks on Eestis tegutsevad mittetulundusühingud ja sihtasutused, kes korraldavad avalikes huvides suursündmusi ja kaasavad erinevaid vabaühendusi ning kogukondi.</w:t>
      </w:r>
    </w:p>
    <w:p w14:paraId="74B040DC" w14:textId="77777777" w:rsidR="00084D2D" w:rsidRPr="00084D2D" w:rsidRDefault="00084D2D" w:rsidP="00084D2D">
      <w:pPr>
        <w:jc w:val="both"/>
        <w:rPr>
          <w:rFonts w:ascii="Times New Roman" w:hAnsi="Times New Roman" w:cs="Times New Roman"/>
          <w:sz w:val="24"/>
          <w:szCs w:val="24"/>
        </w:rPr>
      </w:pPr>
      <w:r w:rsidRPr="00084D2D">
        <w:rPr>
          <w:rFonts w:ascii="Times New Roman" w:hAnsi="Times New Roman" w:cs="Times New Roman"/>
          <w:sz w:val="24"/>
          <w:szCs w:val="24"/>
        </w:rPr>
        <w:t>Toetatavad tegevused hõlmavad avalike ja tasuta kodanikuühiskonna suursündmuste ettevalmistamist ja korraldamist, koostöö ja võrgustikutöö edendamist, kommunikatsiooni- ja teavitustegevusi, kodanikuaktiivsust ja osalust edendavaid tegevusi, sihtrühmade kaasamist ja osalemisvõimaluste laiendamist, koolituste, seminaride ja arutelude korraldamist ning muid põhjendatud tegevusi taotlusvooru eesmärgi saavutamiseks. Sündmustel peab osalema vähemalt 1000 inimest ning need peavad olema ligipääsetavad ka erivajadustega inimestele.</w:t>
      </w:r>
    </w:p>
    <w:p w14:paraId="28B5217F" w14:textId="77777777" w:rsidR="00084D2D" w:rsidRPr="00084D2D" w:rsidRDefault="00084D2D" w:rsidP="00084D2D">
      <w:pPr>
        <w:jc w:val="both"/>
        <w:rPr>
          <w:rFonts w:ascii="Times New Roman" w:hAnsi="Times New Roman" w:cs="Times New Roman"/>
          <w:sz w:val="24"/>
          <w:szCs w:val="24"/>
        </w:rPr>
      </w:pPr>
      <w:r w:rsidRPr="00084D2D">
        <w:rPr>
          <w:rFonts w:ascii="Times New Roman" w:hAnsi="Times New Roman" w:cs="Times New Roman"/>
          <w:sz w:val="24"/>
          <w:szCs w:val="24"/>
        </w:rPr>
        <w:t>Abikõlblikud kulud on otseselt seotud projekti eesmärkide elluviimisega, sealhulgas tööjõukulud, eksperditasud, koolituste ja ürituste korraldamise kulud, trüki- ja digimaterjalide väljaandmine ning muud põhjendatud tegevustega seotud kulud. Mitteabikõlblikud kulud on muu hulgas inventari ja põhivara soetused, kinnisvarainvesteeringud, finantskulud ja trahvid.</w:t>
      </w:r>
    </w:p>
    <w:p w14:paraId="47D2DC6E" w14:textId="77777777" w:rsidR="00084D2D" w:rsidRPr="00084D2D" w:rsidRDefault="00084D2D" w:rsidP="00084D2D">
      <w:pPr>
        <w:jc w:val="both"/>
        <w:rPr>
          <w:rFonts w:ascii="Times New Roman" w:hAnsi="Times New Roman" w:cs="Times New Roman"/>
          <w:sz w:val="24"/>
          <w:szCs w:val="24"/>
        </w:rPr>
      </w:pPr>
      <w:r w:rsidRPr="00084D2D">
        <w:rPr>
          <w:rFonts w:ascii="Times New Roman" w:hAnsi="Times New Roman" w:cs="Times New Roman"/>
          <w:sz w:val="24"/>
          <w:szCs w:val="24"/>
        </w:rPr>
        <w:t>Toetuse maksimaalne suurus ühe taotluse kohta on 25 000 eurot, kuid mitte rohkem kui 50% sündmuse kogumaksumusest. Toetust antakse nii varasemalt vähemalt kahel korral toimunud suursündmuste korraldamiseks kui ka uute algatuste elluviimiseks. Projekti abikõlblikkuse periood määratakse taotluse rahuldamise otsuses ning seda võib erandkorras põhjendatult pikendada.</w:t>
      </w:r>
    </w:p>
    <w:p w14:paraId="7F5F32E3" w14:textId="77777777" w:rsidR="00084D2D" w:rsidRPr="00084D2D" w:rsidRDefault="00084D2D" w:rsidP="00084D2D">
      <w:pPr>
        <w:jc w:val="both"/>
        <w:rPr>
          <w:rFonts w:ascii="Times New Roman" w:hAnsi="Times New Roman" w:cs="Times New Roman"/>
          <w:sz w:val="24"/>
          <w:szCs w:val="24"/>
        </w:rPr>
      </w:pPr>
      <w:r w:rsidRPr="00084D2D">
        <w:rPr>
          <w:rFonts w:ascii="Times New Roman" w:hAnsi="Times New Roman" w:cs="Times New Roman"/>
          <w:sz w:val="24"/>
          <w:szCs w:val="24"/>
        </w:rPr>
        <w:t>Taotlejateks võivad olla vähemalt ühe aasta registrisse kantud mittetulundusühingud ja sihtasutused, kes tegutsevad avalikes huvides, kelle tegevus on avalik ning kes täidavad seadusest ja varasematest lepingutest tulenevaid kohustusi. Taotlejatel ei tohi olla maksuvõlgu ega muid nõuetekohaselt täitmata kohustusi toetuse andja ees.</w:t>
      </w:r>
    </w:p>
    <w:p w14:paraId="023020E2" w14:textId="77777777" w:rsidR="00084D2D" w:rsidRPr="00084D2D" w:rsidRDefault="00084D2D" w:rsidP="00084D2D">
      <w:pPr>
        <w:jc w:val="both"/>
        <w:rPr>
          <w:rFonts w:ascii="Times New Roman" w:hAnsi="Times New Roman" w:cs="Times New Roman"/>
          <w:sz w:val="24"/>
          <w:szCs w:val="24"/>
        </w:rPr>
      </w:pPr>
      <w:r w:rsidRPr="00084D2D">
        <w:rPr>
          <w:rFonts w:ascii="Times New Roman" w:hAnsi="Times New Roman" w:cs="Times New Roman"/>
          <w:sz w:val="24"/>
          <w:szCs w:val="24"/>
        </w:rPr>
        <w:t>Toetuse tulemusena tugevnevad Eesti kodanikuühiskonna üle-eestilised suursündmused, suureneb elanike kaasatus ja teadlikkus kodanikuühiskonna väärtustest, paraneb vabaühenduste nähtavus ja koostöövõrgustike toimimine ning kujuneb avatum, aktiivsem ja kaasavam ühiskond.</w:t>
      </w:r>
    </w:p>
    <w:p w14:paraId="54C6FC1C" w14:textId="77777777" w:rsidR="0088513E" w:rsidRPr="00FA1E4A" w:rsidRDefault="0088513E" w:rsidP="0088513E">
      <w:pPr>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1.2. </w:t>
      </w:r>
      <w:r w:rsidRPr="00FA1E4A">
        <w:rPr>
          <w:rFonts w:ascii="Times New Roman" w:hAnsi="Times New Roman" w:cs="Times New Roman"/>
          <w:b/>
          <w:bCs/>
          <w:sz w:val="24"/>
          <w:szCs w:val="24"/>
        </w:rPr>
        <w:t>Eelnõu ettevalmistajad</w:t>
      </w:r>
    </w:p>
    <w:p w14:paraId="70C292EA" w14:textId="5C09F8F9" w:rsidR="0088513E" w:rsidRDefault="0088513E" w:rsidP="0088513E">
      <w:pPr>
        <w:pStyle w:val="Default"/>
        <w:spacing w:line="276" w:lineRule="auto"/>
        <w:jc w:val="both"/>
        <w:rPr>
          <w:color w:val="auto"/>
        </w:rPr>
      </w:pPr>
      <w:r w:rsidRPr="00AD2D5A">
        <w:rPr>
          <w:rFonts w:eastAsia="Times New Roman"/>
        </w:rPr>
        <w:t xml:space="preserve">Eelnõu ja seletuskirja on koostanud Siseministeeriumi </w:t>
      </w:r>
      <w:r>
        <w:rPr>
          <w:rFonts w:eastAsia="Times New Roman"/>
        </w:rPr>
        <w:t>usuasjade ja kodanikuühiskonna</w:t>
      </w:r>
      <w:r w:rsidRPr="00AD2D5A">
        <w:rPr>
          <w:rFonts w:eastAsia="Times New Roman"/>
        </w:rPr>
        <w:t xml:space="preserve"> osakonna juhataja </w:t>
      </w:r>
      <w:r>
        <w:rPr>
          <w:rFonts w:eastAsia="Times New Roman"/>
        </w:rPr>
        <w:t>Martin Tulit</w:t>
      </w:r>
      <w:r w:rsidRPr="00AD2D5A">
        <w:rPr>
          <w:rFonts w:eastAsia="Times New Roman"/>
        </w:rPr>
        <w:t xml:space="preserve"> (</w:t>
      </w:r>
      <w:hyperlink r:id="rId8" w:history="1">
        <w:r w:rsidRPr="0041349B">
          <w:rPr>
            <w:rStyle w:val="Hyperlink"/>
            <w:rFonts w:eastAsia="Times New Roman"/>
          </w:rPr>
          <w:t>martin.tulit@siseministeerium.ee</w:t>
        </w:r>
      </w:hyperlink>
      <w:r w:rsidRPr="00AD2D5A">
        <w:rPr>
          <w:rFonts w:eastAsia="Times New Roman"/>
        </w:rPr>
        <w:t>)</w:t>
      </w:r>
      <w:r>
        <w:rPr>
          <w:rFonts w:eastAsia="Times New Roman"/>
        </w:rPr>
        <w:t xml:space="preserve">. </w:t>
      </w:r>
      <w:r w:rsidRPr="00AD2D5A">
        <w:rPr>
          <w:color w:val="auto"/>
        </w:rPr>
        <w:t xml:space="preserve">Eelnõu ja seletuskirja juriidilist kvaliteeti on kontrollinud Siseministeeriumi </w:t>
      </w:r>
      <w:r>
        <w:rPr>
          <w:color w:val="auto"/>
        </w:rPr>
        <w:t xml:space="preserve">nõunik </w:t>
      </w:r>
      <w:r w:rsidR="00084D2D">
        <w:rPr>
          <w:color w:val="auto"/>
        </w:rPr>
        <w:t>Erik Salumäe</w:t>
      </w:r>
      <w:r>
        <w:t>.</w:t>
      </w:r>
    </w:p>
    <w:p w14:paraId="738B058E" w14:textId="77777777" w:rsidR="0088513E" w:rsidRPr="00AD2D5A" w:rsidRDefault="0088513E" w:rsidP="0088513E">
      <w:pPr>
        <w:pStyle w:val="Default"/>
        <w:jc w:val="both"/>
        <w:rPr>
          <w:color w:val="auto"/>
        </w:rPr>
      </w:pPr>
    </w:p>
    <w:p w14:paraId="3760FDD1" w14:textId="59C47010" w:rsidR="0088513E" w:rsidRPr="00AD2D5A" w:rsidRDefault="0088513E" w:rsidP="0088513E">
      <w:pPr>
        <w:pStyle w:val="Default"/>
        <w:jc w:val="both"/>
        <w:rPr>
          <w:color w:val="auto"/>
        </w:rPr>
      </w:pPr>
      <w:r w:rsidRPr="0058038A">
        <w:rPr>
          <w:color w:val="auto"/>
        </w:rPr>
        <w:t>Eelnõu ja seletuski</w:t>
      </w:r>
      <w:r>
        <w:rPr>
          <w:color w:val="auto"/>
        </w:rPr>
        <w:t>ri</w:t>
      </w:r>
      <w:r w:rsidRPr="0058038A">
        <w:rPr>
          <w:color w:val="auto"/>
        </w:rPr>
        <w:t xml:space="preserve"> on keeleliselt </w:t>
      </w:r>
      <w:r>
        <w:rPr>
          <w:color w:val="auto"/>
        </w:rPr>
        <w:t>toimetamata.</w:t>
      </w:r>
    </w:p>
    <w:p w14:paraId="20337239" w14:textId="77777777" w:rsidR="002031FB" w:rsidRDefault="002031FB"/>
    <w:p w14:paraId="72E2FA8E" w14:textId="77777777" w:rsidR="0088513E" w:rsidRPr="00FA1E4A" w:rsidRDefault="0088513E" w:rsidP="0088513E">
      <w:pPr>
        <w:tabs>
          <w:tab w:val="left" w:pos="541"/>
          <w:tab w:val="left" w:pos="2799"/>
        </w:tabs>
        <w:jc w:val="both"/>
        <w:rPr>
          <w:rFonts w:ascii="Times New Roman" w:hAnsi="Times New Roman" w:cs="Times New Roman"/>
          <w:b/>
          <w:bCs/>
          <w:sz w:val="24"/>
          <w:szCs w:val="24"/>
        </w:rPr>
      </w:pPr>
      <w:r>
        <w:rPr>
          <w:rFonts w:ascii="Times New Roman" w:hAnsi="Times New Roman" w:cs="Times New Roman"/>
          <w:b/>
          <w:bCs/>
          <w:sz w:val="24"/>
          <w:szCs w:val="24"/>
        </w:rPr>
        <w:t xml:space="preserve">1.3. </w:t>
      </w:r>
      <w:r w:rsidRPr="00FA1E4A">
        <w:rPr>
          <w:rFonts w:ascii="Times New Roman" w:hAnsi="Times New Roman" w:cs="Times New Roman"/>
          <w:b/>
          <w:bCs/>
          <w:sz w:val="24"/>
          <w:szCs w:val="24"/>
        </w:rPr>
        <w:t>Märkused</w:t>
      </w:r>
    </w:p>
    <w:p w14:paraId="69319F11" w14:textId="77777777" w:rsidR="00084D2D" w:rsidRDefault="00084D2D" w:rsidP="00084D2D">
      <w:pPr>
        <w:pStyle w:val="Default"/>
        <w:spacing w:line="276" w:lineRule="auto"/>
        <w:jc w:val="both"/>
        <w:rPr>
          <w:color w:val="auto"/>
        </w:rPr>
      </w:pPr>
      <w:r w:rsidRPr="00AD2D5A">
        <w:rPr>
          <w:color w:val="auto"/>
        </w:rPr>
        <w:t>Eelnõu ei ole seotud muu menetluses oleva eelnõuga, Vabariigi Valitsuse tegevusprogrammi ega Euroopa Liidu õiguse rakendamisega.</w:t>
      </w:r>
    </w:p>
    <w:p w14:paraId="57C6652A" w14:textId="77777777" w:rsidR="0088513E" w:rsidRDefault="0088513E" w:rsidP="0088513E">
      <w:pPr>
        <w:pStyle w:val="Default"/>
        <w:jc w:val="both"/>
        <w:rPr>
          <w:color w:val="auto"/>
        </w:rPr>
      </w:pPr>
    </w:p>
    <w:p w14:paraId="4A2119AE" w14:textId="00269F2E" w:rsidR="0088513E" w:rsidRPr="00AE563C" w:rsidRDefault="0088513E" w:rsidP="00AE563C">
      <w:pPr>
        <w:pStyle w:val="Default"/>
        <w:spacing w:after="240"/>
        <w:jc w:val="both"/>
        <w:rPr>
          <w:b/>
          <w:bCs/>
          <w:color w:val="auto"/>
        </w:rPr>
      </w:pPr>
      <w:r>
        <w:rPr>
          <w:b/>
          <w:bCs/>
          <w:color w:val="auto"/>
        </w:rPr>
        <w:t xml:space="preserve">2. </w:t>
      </w:r>
      <w:r w:rsidRPr="00F55603">
        <w:rPr>
          <w:b/>
          <w:bCs/>
          <w:color w:val="auto"/>
        </w:rPr>
        <w:t>Eelnõu eesmärk</w:t>
      </w:r>
    </w:p>
    <w:p w14:paraId="4C00811F" w14:textId="77777777" w:rsidR="00084D2D" w:rsidRDefault="00084D2D" w:rsidP="00084D2D">
      <w:pPr>
        <w:pStyle w:val="Default"/>
        <w:spacing w:line="276" w:lineRule="auto"/>
        <w:jc w:val="both"/>
      </w:pPr>
      <w:r w:rsidRPr="00084D2D">
        <w:t>Eelnõu eesmärk on toetada kodanikuühiskonna üle-eestiliste suursündmuste algatamist ja jätkumist, et tugevdada vabaühenduste koostööd, nähtavust ja mõju ühiskonnas ning suurendada elanike osalust ühiskonnaelus. Toetus on mõeldud mittetulundusühingutele ja sihtasutustele, kes korraldavad avalikes huvides sündmusi, mis kaasavad eri valdkondade organisatsioone ja kogukondi ning edendavad kodanikuteadlikkust ja -aktiivsust.</w:t>
      </w:r>
    </w:p>
    <w:p w14:paraId="69265FB8" w14:textId="77777777" w:rsidR="00084D2D" w:rsidRPr="00084D2D" w:rsidRDefault="00084D2D" w:rsidP="00084D2D">
      <w:pPr>
        <w:pStyle w:val="Default"/>
        <w:spacing w:line="276" w:lineRule="auto"/>
        <w:jc w:val="both"/>
      </w:pPr>
    </w:p>
    <w:p w14:paraId="4A665BA7" w14:textId="53A742C9" w:rsidR="00084D2D" w:rsidRDefault="00084D2D" w:rsidP="00084D2D">
      <w:pPr>
        <w:pStyle w:val="Default"/>
        <w:spacing w:after="240" w:line="276" w:lineRule="auto"/>
        <w:jc w:val="both"/>
      </w:pPr>
      <w:r w:rsidRPr="00084D2D">
        <w:t>Suursündmuste toetus on unikaalne meede, mis loob eeldused kodanikuühiskonna jätkusuutlikuks arenguks, võrgustike tugevdamiseks ning avalikkuse teadlikkuse ja kaasatuse kasvuks. Toetus on ühtaegu tunnustus vabaühenduste panusele ühiskonda ning investeering avatuma, aktiivsema ja kaasavama ühiskonna kujundamisse.</w:t>
      </w:r>
      <w:r w:rsidR="008A072E">
        <w:t xml:space="preserve"> Suursündmuste </w:t>
      </w:r>
      <w:r w:rsidR="00655F2E">
        <w:t>toetust on KÜSK andnud alates 2009. aastast.</w:t>
      </w:r>
    </w:p>
    <w:p w14:paraId="4EC180E8" w14:textId="77777777" w:rsidR="00084D2D" w:rsidRPr="00084D2D" w:rsidRDefault="00084D2D" w:rsidP="00084D2D">
      <w:pPr>
        <w:pStyle w:val="Default"/>
        <w:spacing w:after="240" w:line="276" w:lineRule="auto"/>
        <w:jc w:val="both"/>
      </w:pPr>
      <w:r w:rsidRPr="00084D2D">
        <w:t>Suursündmuste toetusvoor on vajalik, kuna Eesti kodanikuühiskonna areng ja kestlikkus sõltuvad ühtaegu nii tugevate vabaühenduste igapäevasest tööst kui ka laiemat ühiskonda kõnetavatest algatustest. Üle-eestilised suursündmused on erilise mõjuga tegevused, mis koondavad suure hulga osalejaid, pakuvad võimalust erinevate organisatsioonide ja kogukondade koostööks ning toovad kodanikuühiskonna teemad avalikkuse tähelepanu alla. Ilma riikliku toetuseta on selliste sündmuste algatamine ja jätkusuutlik korraldamine keeruline, sest nende ettevalmistamine nõuab ulatuslikke ressursse ja professionaalset korraldusvõimekust, mida kõigil vabaühendustel ei ole.</w:t>
      </w:r>
    </w:p>
    <w:p w14:paraId="707B2F93" w14:textId="77777777" w:rsidR="00084D2D" w:rsidRPr="00084D2D" w:rsidRDefault="00084D2D" w:rsidP="00084D2D">
      <w:pPr>
        <w:pStyle w:val="Default"/>
        <w:spacing w:after="240" w:line="276" w:lineRule="auto"/>
        <w:jc w:val="both"/>
      </w:pPr>
      <w:r w:rsidRPr="00084D2D">
        <w:t xml:space="preserve">Toetusvoor täidab olulist lünka, pakkudes stabiilset ja läbipaistvat raamistikku, mille kaudu vabaühendused saavad planeerida ja ellu viia sündmusi, mis kasvatavad elanike teadlikkust, suurendavad osalust ja loovad kogemusi, mis tugevdavad ühist identiteeti ning demokraatlikke väärtusi. Suursündmused toimivad ka platvormina teadmussiirdeks, kogemuste vahetuseks ja </w:t>
      </w:r>
      <w:proofErr w:type="spellStart"/>
      <w:r w:rsidRPr="00084D2D">
        <w:t>valdkondadeüleseks</w:t>
      </w:r>
      <w:proofErr w:type="spellEnd"/>
      <w:r w:rsidRPr="00084D2D">
        <w:t xml:space="preserve"> koostööks, aidates kaasa kodanikuühiskonna innovatsioonile ja uute partnerlussuhete tekkimisele.</w:t>
      </w:r>
    </w:p>
    <w:p w14:paraId="3FA5C147" w14:textId="55ECBA86" w:rsidR="00084D2D" w:rsidRPr="00084D2D" w:rsidRDefault="00084D2D" w:rsidP="00084D2D">
      <w:pPr>
        <w:pStyle w:val="Default"/>
        <w:spacing w:line="276" w:lineRule="auto"/>
        <w:jc w:val="both"/>
      </w:pPr>
      <w:r w:rsidRPr="00084D2D">
        <w:t xml:space="preserve">Lisaks on suursündmuste toetusvoor vajalik selleks, et tagada kodanikuühiskonna teemade nähtavus ühiskonnas laiemalt. Laia osalusega ja avalikult kättesaadavad sündmused jõuavad meediasse, kasvatavad usaldust vabaühenduste vastu ning aitavad kaasa avatud, kaasava ja </w:t>
      </w:r>
      <w:r w:rsidRPr="00084D2D">
        <w:lastRenderedPageBreak/>
        <w:t>ühtehoidva ühiskonna kujunemisele. Riigi panus annab ka selge signaali, et kodanikuühiskonna areng ja kodanike aktiivne osalemine on riiklikult väärtustatud ja strateegiliselt tähtis.</w:t>
      </w:r>
    </w:p>
    <w:p w14:paraId="64FAA8AD" w14:textId="77777777" w:rsidR="00084D2D" w:rsidRPr="00084D2D" w:rsidRDefault="00084D2D" w:rsidP="00084D2D">
      <w:pPr>
        <w:pStyle w:val="Default"/>
        <w:spacing w:line="276" w:lineRule="auto"/>
        <w:jc w:val="both"/>
      </w:pPr>
    </w:p>
    <w:p w14:paraId="53D6E3E4" w14:textId="77777777" w:rsidR="00084D2D" w:rsidRPr="00084D2D" w:rsidRDefault="00084D2D" w:rsidP="00084D2D">
      <w:pPr>
        <w:pStyle w:val="Default"/>
        <w:spacing w:line="276" w:lineRule="auto"/>
        <w:jc w:val="both"/>
      </w:pPr>
      <w:r w:rsidRPr="00084D2D">
        <w:t>Määrusega kehtestatakse toetuse andmise tingimused ja kord, et tagada vahendite eesmärgipärane, sihipärane ja läbipaistev kasutamine. Määruses sätestatakse taotlemise ja hindamise põhimõtted, taotlejale ja taotlusele esitatavad nõuded, abikõlblike kulude tingimused, aruandlusnõuded ning toetuse kasutamise üle tehtav järelevalve.</w:t>
      </w:r>
    </w:p>
    <w:p w14:paraId="0C757BA9" w14:textId="77777777" w:rsidR="00084D2D" w:rsidRDefault="00084D2D" w:rsidP="00AE563C">
      <w:pPr>
        <w:pStyle w:val="Default"/>
        <w:spacing w:line="276" w:lineRule="auto"/>
        <w:jc w:val="both"/>
      </w:pPr>
    </w:p>
    <w:p w14:paraId="2E4441C6" w14:textId="2473E06D" w:rsidR="00AE563C" w:rsidRDefault="00AE563C" w:rsidP="00AE563C">
      <w:pPr>
        <w:pStyle w:val="Default"/>
        <w:spacing w:line="276" w:lineRule="auto"/>
        <w:jc w:val="both"/>
        <w:rPr>
          <w:lang w:eastAsia="et-EE"/>
        </w:rPr>
      </w:pPr>
      <w:r w:rsidRPr="006D1ED9">
        <w:rPr>
          <w:lang w:eastAsia="et-EE"/>
        </w:rPr>
        <w:t>Kuna riigieelarve seaduse § 53</w:t>
      </w:r>
      <w:r w:rsidRPr="006D1ED9">
        <w:rPr>
          <w:vertAlign w:val="superscript"/>
          <w:lang w:eastAsia="et-EE"/>
        </w:rPr>
        <w:t xml:space="preserve">1 </w:t>
      </w:r>
      <w:r w:rsidRPr="006D1ED9">
        <w:rPr>
          <w:lang w:eastAsia="et-EE"/>
        </w:rPr>
        <w:t>lõike 1 kohaselt kehtestab minister määrusega tingimused ja korra ministeeriumi valitsemisala vahendite arvelt riigisisese toetusprogrammi elluviimiseks, toetusprogrammist vahendite saamiseks ning saadud vahendite kasutamiseks, kui nimetatud tingimused ja kord ei tulene muust õigusaktist, kehtestatakse siseministri määrus.</w:t>
      </w:r>
    </w:p>
    <w:p w14:paraId="0B9C0B78" w14:textId="77777777" w:rsidR="00AE563C" w:rsidRPr="00E1035C" w:rsidRDefault="00AE563C" w:rsidP="00AE563C">
      <w:pPr>
        <w:pStyle w:val="Default"/>
        <w:spacing w:line="276" w:lineRule="auto"/>
        <w:jc w:val="both"/>
        <w:rPr>
          <w:lang w:eastAsia="et-EE"/>
        </w:rPr>
      </w:pPr>
    </w:p>
    <w:p w14:paraId="0AEBD475" w14:textId="2D465F6E" w:rsidR="00AE563C" w:rsidRDefault="00AE563C" w:rsidP="00B74924">
      <w:pPr>
        <w:pStyle w:val="Default"/>
        <w:spacing w:after="240" w:line="276" w:lineRule="auto"/>
        <w:jc w:val="both"/>
        <w:rPr>
          <w:lang w:eastAsia="et-EE"/>
        </w:rPr>
      </w:pPr>
      <w:r>
        <w:rPr>
          <w:lang w:eastAsia="et-EE"/>
        </w:rPr>
        <w:t>Toetuse andmine on seotud arengukava</w:t>
      </w:r>
      <w:r w:rsidRPr="00E1035C">
        <w:rPr>
          <w:lang w:eastAsia="et-EE"/>
        </w:rPr>
        <w:t xml:space="preserve"> </w:t>
      </w:r>
      <w:r>
        <w:rPr>
          <w:lang w:eastAsia="et-EE"/>
        </w:rPr>
        <w:t>„S</w:t>
      </w:r>
      <w:r w:rsidRPr="00E1035C">
        <w:rPr>
          <w:lang w:eastAsia="et-EE"/>
        </w:rPr>
        <w:t xml:space="preserve">idus Eesti </w:t>
      </w:r>
      <w:r>
        <w:rPr>
          <w:lang w:eastAsia="et-EE"/>
        </w:rPr>
        <w:t>2021–</w:t>
      </w:r>
      <w:r w:rsidRPr="00E1035C">
        <w:rPr>
          <w:lang w:eastAsia="et-EE"/>
        </w:rPr>
        <w:t>2030</w:t>
      </w:r>
      <w:r>
        <w:rPr>
          <w:lang w:eastAsia="et-EE"/>
        </w:rPr>
        <w:t xml:space="preserve">“ </w:t>
      </w:r>
      <w:r w:rsidRPr="00E1035C">
        <w:rPr>
          <w:lang w:eastAsia="et-EE"/>
        </w:rPr>
        <w:t>ja selle programmi „Kogukondlik Eesti</w:t>
      </w:r>
      <w:r>
        <w:rPr>
          <w:lang w:eastAsia="et-EE"/>
        </w:rPr>
        <w:t xml:space="preserve"> 2025–2028</w:t>
      </w:r>
      <w:r w:rsidRPr="00E1035C">
        <w:rPr>
          <w:lang w:eastAsia="et-EE"/>
        </w:rPr>
        <w:t xml:space="preserve">“ </w:t>
      </w:r>
      <w:r>
        <w:rPr>
          <w:lang w:eastAsia="et-EE"/>
        </w:rPr>
        <w:t>eesmärkide täitmisega.</w:t>
      </w:r>
    </w:p>
    <w:p w14:paraId="018181E0" w14:textId="77777777" w:rsidR="00B74924" w:rsidRPr="00AD2D5A" w:rsidRDefault="00B74924" w:rsidP="00B74924">
      <w:pPr>
        <w:pStyle w:val="Default"/>
        <w:jc w:val="both"/>
        <w:rPr>
          <w:color w:val="auto"/>
        </w:rPr>
      </w:pPr>
      <w:r>
        <w:rPr>
          <w:b/>
          <w:bCs/>
          <w:color w:val="auto"/>
        </w:rPr>
        <w:t xml:space="preserve">3. </w:t>
      </w:r>
      <w:r w:rsidRPr="00AD2D5A">
        <w:rPr>
          <w:b/>
          <w:bCs/>
          <w:color w:val="auto"/>
        </w:rPr>
        <w:t>Eelnõu sisu ja võrdlev analüüs</w:t>
      </w:r>
    </w:p>
    <w:p w14:paraId="60600DB2" w14:textId="77777777" w:rsidR="00B74924" w:rsidRPr="00AD2D5A" w:rsidRDefault="00B74924" w:rsidP="00B74924">
      <w:pPr>
        <w:pStyle w:val="Default"/>
        <w:jc w:val="both"/>
        <w:rPr>
          <w:color w:val="auto"/>
        </w:rPr>
      </w:pPr>
    </w:p>
    <w:p w14:paraId="5FFA3CA8" w14:textId="531B04E3" w:rsidR="00B74924" w:rsidRDefault="00B74924" w:rsidP="00B74924">
      <w:pPr>
        <w:tabs>
          <w:tab w:val="left" w:pos="541"/>
          <w:tab w:val="left" w:pos="2799"/>
        </w:tabs>
        <w:spacing w:line="276" w:lineRule="auto"/>
        <w:jc w:val="both"/>
        <w:rPr>
          <w:rFonts w:ascii="Times New Roman" w:hAnsi="Times New Roman" w:cs="Times New Roman"/>
          <w:b/>
          <w:bCs/>
          <w:sz w:val="24"/>
          <w:szCs w:val="24"/>
        </w:rPr>
      </w:pPr>
      <w:r w:rsidRPr="008D3D21">
        <w:rPr>
          <w:rFonts w:ascii="Times New Roman" w:hAnsi="Times New Roman" w:cs="Times New Roman"/>
          <w:sz w:val="24"/>
          <w:szCs w:val="24"/>
        </w:rPr>
        <w:t xml:space="preserve">Eelnõu koosneb </w:t>
      </w:r>
      <w:r>
        <w:rPr>
          <w:rFonts w:ascii="Times New Roman" w:hAnsi="Times New Roman" w:cs="Times New Roman"/>
          <w:b/>
          <w:bCs/>
          <w:sz w:val="24"/>
          <w:szCs w:val="24"/>
        </w:rPr>
        <w:t>7</w:t>
      </w:r>
      <w:r w:rsidRPr="009870C6">
        <w:rPr>
          <w:rFonts w:ascii="Times New Roman" w:hAnsi="Times New Roman" w:cs="Times New Roman"/>
          <w:b/>
          <w:bCs/>
          <w:sz w:val="24"/>
          <w:szCs w:val="24"/>
        </w:rPr>
        <w:t xml:space="preserve"> </w:t>
      </w:r>
      <w:r w:rsidRPr="008D3D21">
        <w:rPr>
          <w:rFonts w:ascii="Times New Roman" w:hAnsi="Times New Roman" w:cs="Times New Roman"/>
          <w:b/>
          <w:bCs/>
          <w:sz w:val="24"/>
          <w:szCs w:val="24"/>
        </w:rPr>
        <w:t>peatüki</w:t>
      </w:r>
      <w:r>
        <w:rPr>
          <w:rFonts w:ascii="Times New Roman" w:hAnsi="Times New Roman" w:cs="Times New Roman"/>
          <w:b/>
          <w:bCs/>
          <w:sz w:val="24"/>
          <w:szCs w:val="24"/>
        </w:rPr>
        <w:t xml:space="preserve">st ja </w:t>
      </w:r>
      <w:r w:rsidRPr="002D4AB1">
        <w:rPr>
          <w:rFonts w:ascii="Times New Roman" w:hAnsi="Times New Roman" w:cs="Times New Roman"/>
          <w:b/>
          <w:bCs/>
          <w:sz w:val="24"/>
          <w:szCs w:val="24"/>
        </w:rPr>
        <w:t>2</w:t>
      </w:r>
      <w:r>
        <w:rPr>
          <w:rFonts w:ascii="Times New Roman" w:hAnsi="Times New Roman" w:cs="Times New Roman"/>
          <w:b/>
          <w:bCs/>
          <w:sz w:val="24"/>
          <w:szCs w:val="24"/>
        </w:rPr>
        <w:t>4</w:t>
      </w:r>
      <w:r w:rsidRPr="008D3D21">
        <w:rPr>
          <w:rFonts w:ascii="Times New Roman" w:hAnsi="Times New Roman" w:cs="Times New Roman"/>
          <w:b/>
          <w:bCs/>
          <w:sz w:val="24"/>
          <w:szCs w:val="24"/>
        </w:rPr>
        <w:t xml:space="preserve"> paragrahvist</w:t>
      </w:r>
      <w:r>
        <w:rPr>
          <w:rFonts w:ascii="Times New Roman" w:hAnsi="Times New Roman" w:cs="Times New Roman"/>
          <w:sz w:val="24"/>
          <w:szCs w:val="24"/>
        </w:rPr>
        <w:t xml:space="preserve">. </w:t>
      </w:r>
      <w:r w:rsidRPr="008672F6">
        <w:rPr>
          <w:rFonts w:ascii="Times New Roman" w:hAnsi="Times New Roman" w:cs="Times New Roman"/>
          <w:sz w:val="24"/>
          <w:szCs w:val="24"/>
        </w:rPr>
        <w:t>Eelnõu ülesehitus on järgmine:</w:t>
      </w:r>
    </w:p>
    <w:p w14:paraId="1DF5D9EA" w14:textId="77777777" w:rsidR="00B74924" w:rsidRPr="00AD2D5A" w:rsidRDefault="00B74924" w:rsidP="00B74924">
      <w:pPr>
        <w:pStyle w:val="Default"/>
        <w:numPr>
          <w:ilvl w:val="0"/>
          <w:numId w:val="4"/>
        </w:numPr>
        <w:spacing w:line="276" w:lineRule="auto"/>
        <w:jc w:val="both"/>
        <w:rPr>
          <w:color w:val="auto"/>
        </w:rPr>
      </w:pPr>
      <w:r w:rsidRPr="00AD2D5A">
        <w:rPr>
          <w:color w:val="auto"/>
        </w:rPr>
        <w:t>1. peatükk „Üldsätted“ (§-d 1</w:t>
      </w:r>
      <w:r>
        <w:rPr>
          <w:color w:val="auto"/>
        </w:rPr>
        <w:t>–4</w:t>
      </w:r>
      <w:r w:rsidRPr="00AD2D5A">
        <w:rPr>
          <w:color w:val="auto"/>
        </w:rPr>
        <w:t>);</w:t>
      </w:r>
    </w:p>
    <w:p w14:paraId="7BB5BA86" w14:textId="547B0A1C" w:rsidR="00B74924" w:rsidRPr="00AD2D5A" w:rsidRDefault="00B74924" w:rsidP="00B74924">
      <w:pPr>
        <w:pStyle w:val="Default"/>
        <w:numPr>
          <w:ilvl w:val="0"/>
          <w:numId w:val="4"/>
        </w:numPr>
        <w:spacing w:line="276" w:lineRule="auto"/>
        <w:jc w:val="both"/>
      </w:pPr>
      <w:r w:rsidRPr="00AD2D5A">
        <w:rPr>
          <w:color w:val="auto"/>
        </w:rPr>
        <w:t>2. peatükk „</w:t>
      </w:r>
      <w:r>
        <w:rPr>
          <w:color w:val="auto"/>
        </w:rPr>
        <w:t>Toetuse andmise alused</w:t>
      </w:r>
      <w:r w:rsidRPr="00AD2D5A">
        <w:rPr>
          <w:color w:val="auto"/>
        </w:rPr>
        <w:t>“ (§-d 5–</w:t>
      </w:r>
      <w:r>
        <w:rPr>
          <w:color w:val="auto"/>
        </w:rPr>
        <w:t>8</w:t>
      </w:r>
      <w:r w:rsidRPr="00AD2D5A">
        <w:rPr>
          <w:color w:val="auto"/>
        </w:rPr>
        <w:t>);</w:t>
      </w:r>
    </w:p>
    <w:p w14:paraId="05C1A2B1" w14:textId="2FC38AC5" w:rsidR="00B74924" w:rsidRPr="00AD2D5A" w:rsidRDefault="00B74924" w:rsidP="00B74924">
      <w:pPr>
        <w:pStyle w:val="Default"/>
        <w:numPr>
          <w:ilvl w:val="0"/>
          <w:numId w:val="4"/>
        </w:numPr>
        <w:spacing w:line="276" w:lineRule="auto"/>
        <w:jc w:val="both"/>
      </w:pPr>
      <w:r w:rsidRPr="00AD2D5A">
        <w:rPr>
          <w:color w:val="auto"/>
        </w:rPr>
        <w:t>3. peatükk „</w:t>
      </w:r>
      <w:r>
        <w:t>Nõuded taotlejale ja taotlusele</w:t>
      </w:r>
      <w:r w:rsidRPr="00AD2D5A">
        <w:rPr>
          <w:color w:val="auto"/>
        </w:rPr>
        <w:t>“ (§</w:t>
      </w:r>
      <w:r w:rsidRPr="00AD2D5A">
        <w:rPr>
          <w:color w:val="auto"/>
        </w:rPr>
        <w:noBreakHyphen/>
        <w:t>d</w:t>
      </w:r>
      <w:bookmarkStart w:id="0" w:name="_Hlk153367593"/>
      <w:r>
        <w:rPr>
          <w:color w:val="auto"/>
        </w:rPr>
        <w:t xml:space="preserve"> 9</w:t>
      </w:r>
      <w:r w:rsidRPr="00AD2D5A">
        <w:rPr>
          <w:color w:val="auto"/>
        </w:rPr>
        <w:t>–</w:t>
      </w:r>
      <w:bookmarkEnd w:id="0"/>
      <w:r w:rsidRPr="00AD2D5A">
        <w:rPr>
          <w:color w:val="auto"/>
        </w:rPr>
        <w:t>1</w:t>
      </w:r>
      <w:r>
        <w:rPr>
          <w:color w:val="auto"/>
        </w:rPr>
        <w:t>1</w:t>
      </w:r>
      <w:r w:rsidRPr="00AD2D5A">
        <w:rPr>
          <w:color w:val="auto"/>
        </w:rPr>
        <w:t>);</w:t>
      </w:r>
    </w:p>
    <w:p w14:paraId="708B0517" w14:textId="65F9E341" w:rsidR="00B74924" w:rsidRPr="00AD2D5A" w:rsidRDefault="00B74924" w:rsidP="00B74924">
      <w:pPr>
        <w:pStyle w:val="Default"/>
        <w:numPr>
          <w:ilvl w:val="0"/>
          <w:numId w:val="4"/>
        </w:numPr>
        <w:spacing w:line="276" w:lineRule="auto"/>
        <w:jc w:val="both"/>
      </w:pPr>
      <w:r w:rsidRPr="00AD2D5A">
        <w:rPr>
          <w:color w:val="auto"/>
        </w:rPr>
        <w:t>4. peatükk „</w:t>
      </w:r>
      <w:r>
        <w:t>Taotlusvooru avamine, taotluse esitamine ja menetlemine ning taotluse kohta otsuse tegemine</w:t>
      </w:r>
      <w:r w:rsidRPr="00AD2D5A">
        <w:rPr>
          <w:color w:val="auto"/>
        </w:rPr>
        <w:t>“ (§</w:t>
      </w:r>
      <w:r w:rsidRPr="00AD2D5A">
        <w:rPr>
          <w:color w:val="auto"/>
        </w:rPr>
        <w:noBreakHyphen/>
        <w:t>d</w:t>
      </w:r>
      <w:r>
        <w:rPr>
          <w:color w:val="auto"/>
        </w:rPr>
        <w:t xml:space="preserve"> </w:t>
      </w:r>
      <w:r w:rsidRPr="00AD2D5A">
        <w:rPr>
          <w:color w:val="auto"/>
        </w:rPr>
        <w:t>1</w:t>
      </w:r>
      <w:r>
        <w:rPr>
          <w:color w:val="auto"/>
        </w:rPr>
        <w:t>2–16</w:t>
      </w:r>
      <w:r w:rsidRPr="00AD2D5A">
        <w:rPr>
          <w:color w:val="auto"/>
        </w:rPr>
        <w:t>);</w:t>
      </w:r>
    </w:p>
    <w:p w14:paraId="204F2451" w14:textId="6525B2D3" w:rsidR="00B74924" w:rsidRPr="00042C4A" w:rsidRDefault="00B74924" w:rsidP="00B74924">
      <w:pPr>
        <w:pStyle w:val="Default"/>
        <w:numPr>
          <w:ilvl w:val="0"/>
          <w:numId w:val="4"/>
        </w:numPr>
        <w:spacing w:line="276" w:lineRule="auto"/>
        <w:jc w:val="both"/>
      </w:pPr>
      <w:r w:rsidRPr="00AD2D5A">
        <w:rPr>
          <w:color w:val="auto"/>
        </w:rPr>
        <w:t xml:space="preserve">5. </w:t>
      </w:r>
      <w:r w:rsidRPr="00042C4A">
        <w:rPr>
          <w:color w:val="auto"/>
        </w:rPr>
        <w:t xml:space="preserve">peatükk </w:t>
      </w:r>
      <w:r>
        <w:rPr>
          <w:color w:val="auto"/>
        </w:rPr>
        <w:t xml:space="preserve">„Toetuse maksmise tingimused, aruandlus ja tagasinõudmine“ </w:t>
      </w:r>
      <w:r w:rsidRPr="00AD2D5A">
        <w:rPr>
          <w:color w:val="auto"/>
        </w:rPr>
        <w:t>(§</w:t>
      </w:r>
      <w:r w:rsidRPr="00AD2D5A">
        <w:rPr>
          <w:color w:val="auto"/>
        </w:rPr>
        <w:noBreakHyphen/>
        <w:t>d</w:t>
      </w:r>
      <w:r>
        <w:rPr>
          <w:color w:val="auto"/>
        </w:rPr>
        <w:t xml:space="preserve"> 17–21</w:t>
      </w:r>
      <w:r w:rsidRPr="00AD2D5A">
        <w:rPr>
          <w:color w:val="auto"/>
        </w:rPr>
        <w:t>);</w:t>
      </w:r>
    </w:p>
    <w:p w14:paraId="1730ECB4" w14:textId="65715BC4" w:rsidR="00B74924" w:rsidRPr="001348E2" w:rsidRDefault="00B74924" w:rsidP="00B74924">
      <w:pPr>
        <w:pStyle w:val="Default"/>
        <w:numPr>
          <w:ilvl w:val="0"/>
          <w:numId w:val="4"/>
        </w:numPr>
        <w:spacing w:line="276" w:lineRule="auto"/>
        <w:jc w:val="both"/>
      </w:pPr>
      <w:r>
        <w:rPr>
          <w:color w:val="auto"/>
        </w:rPr>
        <w:t xml:space="preserve">6. peatükk </w:t>
      </w:r>
      <w:r w:rsidRPr="00042C4A">
        <w:rPr>
          <w:color w:val="auto"/>
        </w:rPr>
        <w:t>„</w:t>
      </w:r>
      <w:r w:rsidRPr="00AD2D5A">
        <w:t>Poolte õigused ja kohustused</w:t>
      </w:r>
      <w:r w:rsidRPr="00042C4A">
        <w:rPr>
          <w:color w:val="auto"/>
        </w:rPr>
        <w:t xml:space="preserve">“ (§-d </w:t>
      </w:r>
      <w:r>
        <w:rPr>
          <w:color w:val="auto"/>
        </w:rPr>
        <w:t>22–23</w:t>
      </w:r>
      <w:r w:rsidRPr="00042C4A">
        <w:rPr>
          <w:color w:val="auto"/>
        </w:rPr>
        <w:t>)</w:t>
      </w:r>
      <w:r>
        <w:rPr>
          <w:color w:val="auto"/>
        </w:rPr>
        <w:t>;</w:t>
      </w:r>
    </w:p>
    <w:p w14:paraId="4AF56E7C" w14:textId="7D15711B" w:rsidR="00B74924" w:rsidRPr="00AD2D5A" w:rsidRDefault="00B74924" w:rsidP="00B74924">
      <w:pPr>
        <w:pStyle w:val="Default"/>
        <w:numPr>
          <w:ilvl w:val="0"/>
          <w:numId w:val="4"/>
        </w:numPr>
        <w:spacing w:line="276" w:lineRule="auto"/>
        <w:jc w:val="both"/>
      </w:pPr>
      <w:r>
        <w:rPr>
          <w:color w:val="auto"/>
        </w:rPr>
        <w:t xml:space="preserve">7. peatükk „Vaidemenetlus“ </w:t>
      </w:r>
      <w:r w:rsidRPr="00042C4A">
        <w:rPr>
          <w:color w:val="auto"/>
        </w:rPr>
        <w:t xml:space="preserve">(§ </w:t>
      </w:r>
      <w:r>
        <w:rPr>
          <w:color w:val="auto"/>
        </w:rPr>
        <w:t>24)</w:t>
      </w:r>
      <w:r w:rsidRPr="00042C4A">
        <w:rPr>
          <w:color w:val="auto"/>
        </w:rPr>
        <w:t>.</w:t>
      </w:r>
    </w:p>
    <w:p w14:paraId="449C749F" w14:textId="77777777" w:rsidR="00B74924" w:rsidRDefault="00B74924" w:rsidP="00B74924">
      <w:pPr>
        <w:tabs>
          <w:tab w:val="left" w:pos="541"/>
          <w:tab w:val="left" w:pos="2799"/>
        </w:tabs>
        <w:spacing w:line="276" w:lineRule="auto"/>
        <w:jc w:val="both"/>
        <w:rPr>
          <w:rFonts w:ascii="Times New Roman" w:hAnsi="Times New Roman" w:cs="Times New Roman"/>
          <w:b/>
          <w:bCs/>
          <w:sz w:val="24"/>
          <w:szCs w:val="24"/>
        </w:rPr>
      </w:pPr>
    </w:p>
    <w:p w14:paraId="4132CEFA" w14:textId="77777777" w:rsidR="00B74924" w:rsidRDefault="00B74924" w:rsidP="009F42C2">
      <w:pPr>
        <w:pStyle w:val="Default"/>
        <w:spacing w:after="240" w:line="276" w:lineRule="auto"/>
        <w:jc w:val="both"/>
        <w:rPr>
          <w:b/>
          <w:bCs/>
          <w:color w:val="auto"/>
        </w:rPr>
      </w:pPr>
      <w:r w:rsidRPr="00AD2D5A">
        <w:rPr>
          <w:b/>
          <w:bCs/>
          <w:color w:val="auto"/>
        </w:rPr>
        <w:t>1. peatük</w:t>
      </w:r>
      <w:r>
        <w:rPr>
          <w:b/>
          <w:bCs/>
          <w:color w:val="auto"/>
        </w:rPr>
        <w:t>k. Üldsätted</w:t>
      </w:r>
    </w:p>
    <w:p w14:paraId="47F0027A" w14:textId="77777777" w:rsidR="009A7AC9" w:rsidRDefault="009A7AC9" w:rsidP="009A7AC9">
      <w:pPr>
        <w:shd w:val="clear" w:color="auto" w:fill="FFFFFF"/>
        <w:spacing w:after="0" w:line="276" w:lineRule="auto"/>
        <w:jc w:val="both"/>
        <w:rPr>
          <w:rFonts w:ascii="Times New Roman" w:hAnsi="Times New Roman" w:cs="Times New Roman"/>
          <w:sz w:val="24"/>
          <w:szCs w:val="24"/>
        </w:rPr>
      </w:pPr>
      <w:r w:rsidRPr="009A7AC9">
        <w:rPr>
          <w:rFonts w:ascii="Times New Roman" w:hAnsi="Times New Roman" w:cs="Times New Roman"/>
          <w:sz w:val="24"/>
          <w:szCs w:val="24"/>
        </w:rPr>
        <w:t>Selles peatükis sätestatakse määruse reguleerimis- ja kohaldamisala, toetuse andja, toetuse andmise eesmärk ja tulemus ning vähese tähtsusega abi sätted.</w:t>
      </w:r>
    </w:p>
    <w:p w14:paraId="09C34BA2" w14:textId="77777777" w:rsidR="009A7AC9" w:rsidRPr="009A7AC9" w:rsidRDefault="009A7AC9" w:rsidP="009A7AC9">
      <w:pPr>
        <w:shd w:val="clear" w:color="auto" w:fill="FFFFFF"/>
        <w:spacing w:after="0" w:line="276" w:lineRule="auto"/>
        <w:jc w:val="both"/>
        <w:rPr>
          <w:rFonts w:ascii="Times New Roman" w:hAnsi="Times New Roman" w:cs="Times New Roman"/>
          <w:sz w:val="24"/>
          <w:szCs w:val="24"/>
        </w:rPr>
      </w:pPr>
    </w:p>
    <w:p w14:paraId="5D9BD437" w14:textId="77777777" w:rsidR="009A7AC9" w:rsidRPr="009A7AC9" w:rsidRDefault="009A7AC9" w:rsidP="009A7AC9">
      <w:pPr>
        <w:shd w:val="clear" w:color="auto" w:fill="FFFFFF"/>
        <w:spacing w:after="0" w:line="276" w:lineRule="auto"/>
        <w:jc w:val="both"/>
        <w:rPr>
          <w:rFonts w:ascii="Times New Roman" w:hAnsi="Times New Roman" w:cs="Times New Roman"/>
          <w:sz w:val="24"/>
          <w:szCs w:val="24"/>
        </w:rPr>
      </w:pPr>
      <w:r w:rsidRPr="009A7AC9">
        <w:rPr>
          <w:rFonts w:ascii="Times New Roman" w:hAnsi="Times New Roman" w:cs="Times New Roman"/>
          <w:b/>
          <w:bCs/>
          <w:sz w:val="24"/>
          <w:szCs w:val="24"/>
        </w:rPr>
        <w:t>Paragrahviga 1</w:t>
      </w:r>
      <w:r w:rsidRPr="009A7AC9">
        <w:rPr>
          <w:rFonts w:ascii="Times New Roman" w:hAnsi="Times New Roman" w:cs="Times New Roman"/>
          <w:sz w:val="24"/>
          <w:szCs w:val="24"/>
        </w:rPr>
        <w:t xml:space="preserve"> kehtestatakse määruse reguleerimisala. Määrusega kehtestatakse kodanikuühiskonda arendavate suursündmuste toetuse andmise taotlusvooru läbiviimise, toetuse taotlemise, taotluste menetlemise, toetuse kasutamise ning toetuse tagasinõudmise tingimused ja kord. Määrust kohaldatakse mittetulundusühingutele ja sihtasutustele antava toetuse puhul, mille eesmärk on toetada üle-eestiliste kodanikuühiskonna suursündmuste algatamist ja jätkumist. Toetuse kaudu soodustatakse vabaühenduste koostööd ja võrgustikutööd, elanike osalust ühiskonnaelus ning kodanikuühiskonna väärtuste ja nähtavuse kasvu, aidates seeläbi kaasa kodanikuühiskonna jätkusuutlikule arengule ja sidusama ühiskonna kujunemisele.</w:t>
      </w:r>
    </w:p>
    <w:p w14:paraId="7B38BC63" w14:textId="1B743979" w:rsidR="009F42C2" w:rsidRPr="00AD2D5A" w:rsidRDefault="009F42C2" w:rsidP="009F42C2">
      <w:pPr>
        <w:shd w:val="clear" w:color="auto" w:fill="FFFFFF"/>
        <w:spacing w:after="0" w:line="276" w:lineRule="auto"/>
        <w:jc w:val="both"/>
        <w:rPr>
          <w:rFonts w:ascii="Times New Roman" w:hAnsi="Times New Roman" w:cs="Times New Roman"/>
          <w:sz w:val="24"/>
          <w:szCs w:val="24"/>
        </w:rPr>
      </w:pPr>
      <w:r w:rsidRPr="003F2343">
        <w:rPr>
          <w:rFonts w:ascii="Times New Roman" w:eastAsia="Times New Roman" w:hAnsi="Times New Roman" w:cs="Times New Roman"/>
          <w:sz w:val="24"/>
          <w:szCs w:val="24"/>
          <w:lang w:eastAsia="et-EE"/>
        </w:rPr>
        <w:lastRenderedPageBreak/>
        <w:t>Paragrahvi</w:t>
      </w:r>
      <w:r>
        <w:rPr>
          <w:rFonts w:ascii="Times New Roman" w:eastAsia="Times New Roman" w:hAnsi="Times New Roman" w:cs="Times New Roman"/>
          <w:sz w:val="24"/>
          <w:szCs w:val="24"/>
          <w:lang w:eastAsia="et-EE"/>
        </w:rPr>
        <w:t xml:space="preserve"> 1</w:t>
      </w:r>
      <w:r w:rsidRPr="003F2343">
        <w:rPr>
          <w:rFonts w:ascii="Times New Roman" w:eastAsia="Times New Roman" w:hAnsi="Times New Roman" w:cs="Times New Roman"/>
          <w:sz w:val="24"/>
          <w:szCs w:val="24"/>
          <w:lang w:eastAsia="et-EE"/>
        </w:rPr>
        <w:t xml:space="preserve"> </w:t>
      </w:r>
      <w:r w:rsidRPr="003F2343">
        <w:rPr>
          <w:rFonts w:ascii="Times New Roman" w:hAnsi="Times New Roman" w:cs="Times New Roman"/>
          <w:sz w:val="24"/>
          <w:szCs w:val="24"/>
        </w:rPr>
        <w:t>lõikes 2</w:t>
      </w:r>
      <w:r w:rsidRPr="00800F57">
        <w:rPr>
          <w:rFonts w:ascii="Times New Roman" w:hAnsi="Times New Roman" w:cs="Times New Roman"/>
          <w:sz w:val="24"/>
          <w:szCs w:val="24"/>
        </w:rPr>
        <w:t xml:space="preserve"> sätestatakse</w:t>
      </w:r>
      <w:r w:rsidRPr="00AD2D5A">
        <w:rPr>
          <w:rFonts w:ascii="Times New Roman" w:hAnsi="Times New Roman" w:cs="Times New Roman"/>
          <w:sz w:val="24"/>
          <w:szCs w:val="24"/>
        </w:rPr>
        <w:t>, et määrust ei kohaldata Euroopa Komisjoni määruse</w:t>
      </w:r>
      <w:r w:rsidR="009E7396">
        <w:rPr>
          <w:rFonts w:ascii="Times New Roman" w:hAnsi="Times New Roman" w:cs="Times New Roman"/>
          <w:sz w:val="24"/>
          <w:szCs w:val="24"/>
        </w:rPr>
        <w:t xml:space="preserve"> </w:t>
      </w:r>
      <w:r w:rsidRPr="00AD2D5A">
        <w:rPr>
          <w:rFonts w:ascii="Times New Roman" w:hAnsi="Times New Roman" w:cs="Times New Roman"/>
          <w:sz w:val="24"/>
          <w:szCs w:val="24"/>
        </w:rPr>
        <w:t>(EL)</w:t>
      </w:r>
      <w:r w:rsidR="009E7396">
        <w:rPr>
          <w:rFonts w:ascii="Times New Roman" w:hAnsi="Times New Roman" w:cs="Times New Roman"/>
          <w:sz w:val="24"/>
          <w:szCs w:val="24"/>
        </w:rPr>
        <w:t xml:space="preserve"> </w:t>
      </w:r>
      <w:r w:rsidRPr="00AD2D5A">
        <w:rPr>
          <w:rFonts w:ascii="Times New Roman" w:hAnsi="Times New Roman" w:cs="Times New Roman"/>
          <w:sz w:val="24"/>
          <w:szCs w:val="24"/>
        </w:rPr>
        <w:t>2023/2831</w:t>
      </w:r>
      <w:r>
        <w:rPr>
          <w:rFonts w:ascii="Times New Roman" w:hAnsi="Times New Roman" w:cs="Times New Roman"/>
          <w:sz w:val="24"/>
          <w:szCs w:val="24"/>
        </w:rPr>
        <w:t xml:space="preserve"> (</w:t>
      </w:r>
      <w:r w:rsidRPr="00AD2D5A">
        <w:rPr>
          <w:rFonts w:ascii="Times New Roman" w:hAnsi="Times New Roman" w:cs="Times New Roman"/>
          <w:sz w:val="24"/>
          <w:szCs w:val="24"/>
        </w:rPr>
        <w:t>milles käsitletakse Euroopa Liidu toimimise lepingu artiklite</w:t>
      </w:r>
      <w:r w:rsidR="009E7396">
        <w:rPr>
          <w:rFonts w:ascii="Times New Roman" w:hAnsi="Times New Roman" w:cs="Times New Roman"/>
          <w:sz w:val="24"/>
          <w:szCs w:val="24"/>
        </w:rPr>
        <w:t xml:space="preserve"> </w:t>
      </w:r>
      <w:r w:rsidRPr="00AD2D5A">
        <w:rPr>
          <w:rFonts w:ascii="Times New Roman" w:hAnsi="Times New Roman" w:cs="Times New Roman"/>
          <w:sz w:val="24"/>
          <w:szCs w:val="24"/>
        </w:rPr>
        <w:t>107 ja</w:t>
      </w:r>
      <w:r w:rsidR="009E7396">
        <w:rPr>
          <w:rFonts w:ascii="Times New Roman" w:hAnsi="Times New Roman" w:cs="Times New Roman"/>
          <w:sz w:val="24"/>
          <w:szCs w:val="24"/>
        </w:rPr>
        <w:t xml:space="preserve"> </w:t>
      </w:r>
      <w:r w:rsidRPr="00AD2D5A">
        <w:rPr>
          <w:rFonts w:ascii="Times New Roman" w:hAnsi="Times New Roman" w:cs="Times New Roman"/>
          <w:sz w:val="24"/>
          <w:szCs w:val="24"/>
        </w:rPr>
        <w:t>108 kohaldamist vähese tähtsusega abi suhtes</w:t>
      </w:r>
      <w:r>
        <w:rPr>
          <w:rFonts w:ascii="Times New Roman" w:hAnsi="Times New Roman" w:cs="Times New Roman"/>
          <w:sz w:val="24"/>
          <w:szCs w:val="24"/>
        </w:rPr>
        <w:t>)</w:t>
      </w:r>
      <w:r w:rsidRPr="00AD2D5A">
        <w:rPr>
          <w:rFonts w:ascii="Times New Roman" w:hAnsi="Times New Roman" w:cs="Times New Roman"/>
          <w:sz w:val="24"/>
          <w:szCs w:val="24"/>
        </w:rPr>
        <w:t xml:space="preserve"> (ELT L, 2023/2831, 15.12.2023) (edaspidi </w:t>
      </w:r>
      <w:r w:rsidRPr="00AD2D5A">
        <w:rPr>
          <w:rFonts w:ascii="Times New Roman" w:hAnsi="Times New Roman" w:cs="Times New Roman"/>
          <w:i/>
          <w:sz w:val="24"/>
          <w:szCs w:val="24"/>
        </w:rPr>
        <w:t>VTA määrus</w:t>
      </w:r>
      <w:r w:rsidRPr="00AD2D5A">
        <w:rPr>
          <w:rFonts w:ascii="Times New Roman" w:hAnsi="Times New Roman" w:cs="Times New Roman"/>
          <w:sz w:val="24"/>
          <w:szCs w:val="24"/>
        </w:rPr>
        <w:t>) artikli 1 lõike 1</w:t>
      </w:r>
      <w:r>
        <w:rPr>
          <w:rFonts w:ascii="Times New Roman" w:hAnsi="Times New Roman" w:cs="Times New Roman"/>
          <w:sz w:val="24"/>
          <w:szCs w:val="24"/>
        </w:rPr>
        <w:t xml:space="preserve"> punktides a–f</w:t>
      </w:r>
      <w:r w:rsidRPr="00AD2D5A">
        <w:rPr>
          <w:rFonts w:ascii="Times New Roman" w:hAnsi="Times New Roman" w:cs="Times New Roman"/>
          <w:sz w:val="24"/>
          <w:szCs w:val="24"/>
        </w:rPr>
        <w:t xml:space="preserve"> sätestatud juhtudel. See on vajalik, et oleks üheselt selged välistused.</w:t>
      </w:r>
    </w:p>
    <w:p w14:paraId="4AA0102F" w14:textId="77777777" w:rsidR="009F42C2" w:rsidRPr="00AD2D5A" w:rsidRDefault="009F42C2" w:rsidP="009F42C2">
      <w:pPr>
        <w:shd w:val="clear" w:color="auto" w:fill="FFFFFF"/>
        <w:spacing w:after="0" w:line="276" w:lineRule="auto"/>
        <w:jc w:val="both"/>
        <w:rPr>
          <w:rFonts w:ascii="Times New Roman" w:hAnsi="Times New Roman" w:cs="Times New Roman"/>
          <w:sz w:val="24"/>
          <w:szCs w:val="24"/>
        </w:rPr>
      </w:pPr>
      <w:r w:rsidRPr="00AD2D5A">
        <w:rPr>
          <w:rFonts w:ascii="Times New Roman" w:hAnsi="Times New Roman" w:cs="Times New Roman"/>
          <w:sz w:val="24"/>
          <w:szCs w:val="24"/>
        </w:rPr>
        <w:t>VTA määruse artikli 1 lõike 1</w:t>
      </w:r>
      <w:r>
        <w:rPr>
          <w:rFonts w:ascii="Times New Roman" w:hAnsi="Times New Roman" w:cs="Times New Roman"/>
          <w:sz w:val="24"/>
          <w:szCs w:val="24"/>
        </w:rPr>
        <w:t xml:space="preserve"> punktides a–f</w:t>
      </w:r>
      <w:r w:rsidRPr="00AD2D5A">
        <w:rPr>
          <w:rFonts w:ascii="Times New Roman" w:hAnsi="Times New Roman" w:cs="Times New Roman"/>
          <w:sz w:val="24"/>
          <w:szCs w:val="24"/>
        </w:rPr>
        <w:t xml:space="preserve"> sätestatud juhud on:</w:t>
      </w:r>
    </w:p>
    <w:p w14:paraId="7999BC67" w14:textId="77777777" w:rsidR="009F42C2" w:rsidRDefault="009F42C2" w:rsidP="009F42C2">
      <w:pPr>
        <w:pStyle w:val="ListParagraph"/>
        <w:numPr>
          <w:ilvl w:val="0"/>
          <w:numId w:val="5"/>
        </w:numPr>
        <w:shd w:val="clear" w:color="auto" w:fill="FFFFFF"/>
        <w:spacing w:after="0" w:line="276" w:lineRule="auto"/>
        <w:jc w:val="both"/>
        <w:rPr>
          <w:rFonts w:ascii="Times New Roman" w:hAnsi="Times New Roman" w:cs="Times New Roman"/>
          <w:sz w:val="24"/>
          <w:szCs w:val="24"/>
        </w:rPr>
      </w:pPr>
      <w:r w:rsidRPr="00AD2D5A">
        <w:rPr>
          <w:rFonts w:ascii="Times New Roman" w:hAnsi="Times New Roman" w:cs="Times New Roman"/>
          <w:sz w:val="24"/>
          <w:szCs w:val="24"/>
        </w:rPr>
        <w:t>kalandus- ja vesiviljelusvaldkonnas tegutsevad ettevõtjad;</w:t>
      </w:r>
    </w:p>
    <w:p w14:paraId="19DDB9C0" w14:textId="77777777" w:rsidR="009F42C2" w:rsidRDefault="009F42C2" w:rsidP="009F42C2">
      <w:pPr>
        <w:pStyle w:val="ListParagraph"/>
        <w:numPr>
          <w:ilvl w:val="0"/>
          <w:numId w:val="5"/>
        </w:numPr>
        <w:shd w:val="clear" w:color="auto" w:fill="FFFFFF"/>
        <w:spacing w:after="0" w:line="276" w:lineRule="auto"/>
        <w:jc w:val="both"/>
        <w:rPr>
          <w:rFonts w:ascii="Times New Roman" w:hAnsi="Times New Roman" w:cs="Times New Roman"/>
          <w:sz w:val="24"/>
          <w:szCs w:val="24"/>
        </w:rPr>
      </w:pPr>
      <w:r w:rsidRPr="00AD2D5A">
        <w:rPr>
          <w:rFonts w:ascii="Times New Roman" w:hAnsi="Times New Roman" w:cs="Times New Roman"/>
          <w:sz w:val="24"/>
          <w:szCs w:val="24"/>
        </w:rPr>
        <w:t>ettevõtjad, kes tegutsevad põllumajandustoodete</w:t>
      </w:r>
      <w:r>
        <w:rPr>
          <w:rFonts w:ascii="Times New Roman" w:hAnsi="Times New Roman" w:cs="Times New Roman"/>
          <w:sz w:val="24"/>
          <w:szCs w:val="24"/>
        </w:rPr>
        <w:t xml:space="preserve"> esmatootmise ning</w:t>
      </w:r>
      <w:r w:rsidRPr="00AD2D5A">
        <w:rPr>
          <w:rFonts w:ascii="Times New Roman" w:hAnsi="Times New Roman" w:cs="Times New Roman"/>
          <w:sz w:val="24"/>
          <w:szCs w:val="24"/>
        </w:rPr>
        <w:t xml:space="preserve"> töötlemise ja turustamisega</w:t>
      </w:r>
      <w:r>
        <w:rPr>
          <w:rFonts w:ascii="Times New Roman" w:hAnsi="Times New Roman" w:cs="Times New Roman"/>
          <w:sz w:val="24"/>
          <w:szCs w:val="24"/>
        </w:rPr>
        <w:t>;</w:t>
      </w:r>
    </w:p>
    <w:p w14:paraId="6A2BB7D0" w14:textId="77777777" w:rsidR="009F42C2" w:rsidRDefault="009F42C2" w:rsidP="009F42C2">
      <w:pPr>
        <w:pStyle w:val="ListParagraph"/>
        <w:numPr>
          <w:ilvl w:val="0"/>
          <w:numId w:val="5"/>
        </w:numPr>
        <w:shd w:val="clear" w:color="auto" w:fill="FFFFFF"/>
        <w:spacing w:after="0" w:line="276" w:lineRule="auto"/>
        <w:jc w:val="both"/>
        <w:rPr>
          <w:rFonts w:ascii="Times New Roman" w:hAnsi="Times New Roman" w:cs="Times New Roman"/>
          <w:sz w:val="24"/>
          <w:szCs w:val="24"/>
        </w:rPr>
      </w:pPr>
      <w:r>
        <w:rPr>
          <w:rFonts w:ascii="Times New Roman" w:hAnsi="Times New Roman" w:cs="Times New Roman"/>
          <w:sz w:val="24"/>
          <w:szCs w:val="24"/>
        </w:rPr>
        <w:t>eksport kolmandatesse riikidesse või Euroopa Liidu liikmesriikidesse;</w:t>
      </w:r>
    </w:p>
    <w:p w14:paraId="2A37A831" w14:textId="77777777" w:rsidR="009F42C2" w:rsidRDefault="009F42C2" w:rsidP="009F42C2">
      <w:pPr>
        <w:pStyle w:val="ListParagraph"/>
        <w:numPr>
          <w:ilvl w:val="0"/>
          <w:numId w:val="5"/>
        </w:numPr>
        <w:shd w:val="clear" w:color="auto" w:fill="FFFFFF"/>
        <w:spacing w:after="0" w:line="276" w:lineRule="auto"/>
        <w:jc w:val="both"/>
        <w:rPr>
          <w:rFonts w:ascii="Times New Roman" w:hAnsi="Times New Roman" w:cs="Times New Roman"/>
          <w:sz w:val="24"/>
          <w:szCs w:val="24"/>
        </w:rPr>
      </w:pPr>
      <w:r>
        <w:rPr>
          <w:rFonts w:ascii="Times New Roman" w:hAnsi="Times New Roman" w:cs="Times New Roman"/>
          <w:sz w:val="24"/>
          <w:szCs w:val="24"/>
        </w:rPr>
        <w:t>kodumaiste kaupade ja teenuste kasutamine importkaupade ja -teenuste asemel.</w:t>
      </w:r>
    </w:p>
    <w:p w14:paraId="343C1C6B" w14:textId="77777777" w:rsidR="009F42C2" w:rsidRPr="004A49FE" w:rsidRDefault="009F42C2" w:rsidP="009F42C2">
      <w:pPr>
        <w:pStyle w:val="ListParagraph"/>
        <w:shd w:val="clear" w:color="auto" w:fill="FFFFFF"/>
        <w:spacing w:after="0" w:line="276" w:lineRule="auto"/>
        <w:jc w:val="both"/>
        <w:rPr>
          <w:rFonts w:ascii="Times New Roman" w:hAnsi="Times New Roman" w:cs="Times New Roman"/>
          <w:sz w:val="24"/>
          <w:szCs w:val="24"/>
        </w:rPr>
      </w:pPr>
    </w:p>
    <w:p w14:paraId="011B0CB1" w14:textId="77777777" w:rsidR="009F42C2" w:rsidRDefault="009F42C2" w:rsidP="00E9607B">
      <w:pPr>
        <w:pStyle w:val="Default"/>
        <w:spacing w:after="240" w:line="276" w:lineRule="auto"/>
        <w:jc w:val="both"/>
        <w:rPr>
          <w:color w:val="auto"/>
        </w:rPr>
      </w:pPr>
      <w:r>
        <w:rPr>
          <w:b/>
          <w:bCs/>
          <w:color w:val="auto"/>
        </w:rPr>
        <w:t>Paragrahviga</w:t>
      </w:r>
      <w:r w:rsidRPr="00AD2D5A">
        <w:rPr>
          <w:b/>
          <w:bCs/>
          <w:color w:val="auto"/>
        </w:rPr>
        <w:t xml:space="preserve"> 2</w:t>
      </w:r>
      <w:r w:rsidRPr="00AD2D5A">
        <w:rPr>
          <w:color w:val="auto"/>
        </w:rPr>
        <w:t xml:space="preserve"> </w:t>
      </w:r>
      <w:r>
        <w:rPr>
          <w:color w:val="auto"/>
        </w:rPr>
        <w:t>sätestatakse toetuse andmise eesmärk ja tulemus.</w:t>
      </w:r>
    </w:p>
    <w:p w14:paraId="10A74E72" w14:textId="77777777" w:rsidR="00FF4B05" w:rsidRPr="00FF4B05" w:rsidRDefault="00FF4B05" w:rsidP="00FF4B05">
      <w:pPr>
        <w:tabs>
          <w:tab w:val="left" w:pos="541"/>
          <w:tab w:val="left" w:pos="2799"/>
        </w:tabs>
        <w:spacing w:line="276" w:lineRule="auto"/>
        <w:jc w:val="both"/>
        <w:rPr>
          <w:rFonts w:ascii="Times New Roman" w:hAnsi="Times New Roman" w:cs="Times New Roman"/>
          <w:sz w:val="24"/>
          <w:szCs w:val="24"/>
        </w:rPr>
      </w:pPr>
      <w:r w:rsidRPr="00FF4B05">
        <w:rPr>
          <w:rFonts w:ascii="Times New Roman" w:hAnsi="Times New Roman" w:cs="Times New Roman"/>
          <w:sz w:val="24"/>
          <w:szCs w:val="24"/>
        </w:rPr>
        <w:t>Toetuse andmise eesmärk on toetada üle-eestiliste kodanikuühiskonna suursündmuste algatamist ja jätkumist ning soodustada valdkonnaüleselt erinevaid vabaühendusi kaasavaid ja nende tegevust edendavaid algatusi. Toetuse kaudu tugevdatakse kodanikuühiskonna võimekust, suurendatakse elanike osalust ühiskonnaelus ning tõstetakse vabaühenduste nähtavust ja mõju ühiskonnas.</w:t>
      </w:r>
    </w:p>
    <w:p w14:paraId="7D792ED9" w14:textId="77777777" w:rsidR="00FF4B05" w:rsidRPr="00FF4B05" w:rsidRDefault="00FF4B05" w:rsidP="00FF4B05">
      <w:pPr>
        <w:tabs>
          <w:tab w:val="left" w:pos="541"/>
          <w:tab w:val="left" w:pos="2799"/>
        </w:tabs>
        <w:spacing w:line="276" w:lineRule="auto"/>
        <w:jc w:val="both"/>
        <w:rPr>
          <w:rFonts w:ascii="Times New Roman" w:hAnsi="Times New Roman" w:cs="Times New Roman"/>
          <w:sz w:val="24"/>
          <w:szCs w:val="24"/>
        </w:rPr>
      </w:pPr>
      <w:r w:rsidRPr="00FF4B05">
        <w:rPr>
          <w:rFonts w:ascii="Times New Roman" w:hAnsi="Times New Roman" w:cs="Times New Roman"/>
          <w:sz w:val="24"/>
          <w:szCs w:val="24"/>
        </w:rPr>
        <w:t>Toetuse sihtrühmaks on Eestis tegutsevad mittetulundusühingud ja sihtasutused, kes korraldavad avalikes huvides suursündmusi, kaasates erinevaid vabaühendusi ja kogukondi. Suursündmuste kaudu toetatakse kodanikuteadlikkuse ja -aktiivsuse kasvu ning luuakse uusi võimalusi osalemiseks ja koostööks.</w:t>
      </w:r>
    </w:p>
    <w:p w14:paraId="2D0726F4" w14:textId="77777777" w:rsidR="00FF4B05" w:rsidRPr="00FF4B05" w:rsidRDefault="00FF4B05" w:rsidP="00FF4B05">
      <w:pPr>
        <w:tabs>
          <w:tab w:val="left" w:pos="541"/>
          <w:tab w:val="left" w:pos="2799"/>
        </w:tabs>
        <w:spacing w:line="276" w:lineRule="auto"/>
        <w:jc w:val="both"/>
        <w:rPr>
          <w:rFonts w:ascii="Times New Roman" w:hAnsi="Times New Roman" w:cs="Times New Roman"/>
          <w:sz w:val="24"/>
          <w:szCs w:val="24"/>
        </w:rPr>
      </w:pPr>
      <w:r w:rsidRPr="00FF4B05">
        <w:rPr>
          <w:rFonts w:ascii="Times New Roman" w:hAnsi="Times New Roman" w:cs="Times New Roman"/>
          <w:sz w:val="24"/>
          <w:szCs w:val="24"/>
        </w:rPr>
        <w:t>Toetuse tulemusena tugevnevad Eesti kodanikuühiskonna üle-eestilised suursündmused ning tekivad täiendavad võimalused laiapõhjaliste ja koostööpõhiste algatuste elluviimiseks. Suureneb elanike kaasatus ja teadlikkus kodanikuühiskonna tegevustest ja väärtustest, vabaühenduste koostöö ja võrgustikutöö tihenevad ning paraneb kodanikuühiskonna nähtavus ja mõju ühiskonnas. Toetus aitab kaasa avatuma, aktiivsema ja kaasavama ühiskonna kujunemisele ning kodanikuühiskonna jätkusuutlikule arengule.</w:t>
      </w:r>
    </w:p>
    <w:p w14:paraId="570BD7B8" w14:textId="42126545" w:rsidR="00E9607B" w:rsidRDefault="00E9607B" w:rsidP="00E9607B">
      <w:pPr>
        <w:tabs>
          <w:tab w:val="left" w:pos="541"/>
          <w:tab w:val="left" w:pos="2799"/>
        </w:tabs>
        <w:spacing w:line="276" w:lineRule="auto"/>
        <w:jc w:val="both"/>
        <w:rPr>
          <w:rFonts w:ascii="Times New Roman" w:hAnsi="Times New Roman" w:cs="Times New Roman"/>
          <w:sz w:val="24"/>
          <w:szCs w:val="24"/>
        </w:rPr>
      </w:pPr>
      <w:r>
        <w:rPr>
          <w:rFonts w:ascii="Times New Roman" w:hAnsi="Times New Roman" w:cs="Times New Roman"/>
          <w:b/>
          <w:bCs/>
          <w:sz w:val="24"/>
          <w:szCs w:val="24"/>
        </w:rPr>
        <w:t>Paragrahviga</w:t>
      </w:r>
      <w:r w:rsidRPr="00C81A4A">
        <w:rPr>
          <w:rFonts w:ascii="Times New Roman" w:hAnsi="Times New Roman" w:cs="Times New Roman"/>
          <w:b/>
          <w:bCs/>
          <w:sz w:val="24"/>
          <w:szCs w:val="24"/>
        </w:rPr>
        <w:t xml:space="preserve"> 3</w:t>
      </w:r>
      <w:r>
        <w:rPr>
          <w:rFonts w:ascii="Times New Roman" w:hAnsi="Times New Roman" w:cs="Times New Roman"/>
          <w:b/>
          <w:bCs/>
          <w:sz w:val="24"/>
          <w:szCs w:val="24"/>
        </w:rPr>
        <w:t xml:space="preserve"> </w:t>
      </w:r>
      <w:r w:rsidRPr="008852C3">
        <w:rPr>
          <w:rFonts w:ascii="Times New Roman" w:hAnsi="Times New Roman" w:cs="Times New Roman"/>
          <w:sz w:val="24"/>
          <w:szCs w:val="24"/>
        </w:rPr>
        <w:t xml:space="preserve">nimetatakse toetuse andjaks </w:t>
      </w:r>
      <w:r>
        <w:rPr>
          <w:rFonts w:ascii="Times New Roman" w:hAnsi="Times New Roman" w:cs="Times New Roman"/>
          <w:sz w:val="24"/>
          <w:szCs w:val="24"/>
        </w:rPr>
        <w:t>Sihtasutus Kodanikuühiskonna Sihtkapital</w:t>
      </w:r>
      <w:r w:rsidRPr="008852C3">
        <w:rPr>
          <w:rFonts w:ascii="Times New Roman" w:hAnsi="Times New Roman" w:cs="Times New Roman"/>
          <w:sz w:val="24"/>
          <w:szCs w:val="24"/>
        </w:rPr>
        <w:t xml:space="preserve"> (edaspidi</w:t>
      </w:r>
      <w:r>
        <w:rPr>
          <w:rFonts w:ascii="Times New Roman" w:hAnsi="Times New Roman" w:cs="Times New Roman"/>
          <w:sz w:val="24"/>
          <w:szCs w:val="24"/>
        </w:rPr>
        <w:t xml:space="preserve"> </w:t>
      </w:r>
      <w:r w:rsidRPr="008852C3">
        <w:rPr>
          <w:rFonts w:ascii="Times New Roman" w:hAnsi="Times New Roman" w:cs="Times New Roman"/>
          <w:i/>
          <w:iCs/>
          <w:sz w:val="24"/>
          <w:szCs w:val="24"/>
        </w:rPr>
        <w:t>KÜSK</w:t>
      </w:r>
      <w:r>
        <w:rPr>
          <w:rFonts w:ascii="Times New Roman" w:hAnsi="Times New Roman" w:cs="Times New Roman"/>
          <w:sz w:val="24"/>
          <w:szCs w:val="24"/>
        </w:rPr>
        <w:t xml:space="preserve"> või</w:t>
      </w:r>
      <w:r w:rsidRPr="008852C3">
        <w:rPr>
          <w:rFonts w:ascii="Times New Roman" w:hAnsi="Times New Roman" w:cs="Times New Roman"/>
          <w:sz w:val="24"/>
          <w:szCs w:val="24"/>
        </w:rPr>
        <w:t xml:space="preserve"> </w:t>
      </w:r>
      <w:r w:rsidRPr="008852C3">
        <w:rPr>
          <w:rFonts w:ascii="Times New Roman" w:hAnsi="Times New Roman" w:cs="Times New Roman"/>
          <w:i/>
          <w:iCs/>
          <w:sz w:val="24"/>
          <w:szCs w:val="24"/>
        </w:rPr>
        <w:t>toetuse andja</w:t>
      </w:r>
      <w:r w:rsidRPr="008852C3">
        <w:rPr>
          <w:rFonts w:ascii="Times New Roman" w:hAnsi="Times New Roman" w:cs="Times New Roman"/>
          <w:sz w:val="24"/>
          <w:szCs w:val="24"/>
        </w:rPr>
        <w:t xml:space="preserve">), kes menetleb toetuse taotlusi (edaspidi </w:t>
      </w:r>
      <w:r w:rsidRPr="008852C3">
        <w:rPr>
          <w:rFonts w:ascii="Times New Roman" w:hAnsi="Times New Roman" w:cs="Times New Roman"/>
          <w:i/>
          <w:iCs/>
          <w:sz w:val="24"/>
          <w:szCs w:val="24"/>
        </w:rPr>
        <w:t>taotlus</w:t>
      </w:r>
      <w:r w:rsidRPr="008852C3">
        <w:rPr>
          <w:rFonts w:ascii="Times New Roman" w:hAnsi="Times New Roman" w:cs="Times New Roman"/>
          <w:sz w:val="24"/>
          <w:szCs w:val="24"/>
        </w:rPr>
        <w:t xml:space="preserve">), teeb toetuse väljamakseid ja järelevalvet toetuse kasutamise üle. Toetuse andja vastutab taotlusvooru väljakuulutamise ja koordineerimise eest, teavitab toetuse saamise võimalusest, menetleb esitatud taotlust </w:t>
      </w:r>
      <w:r>
        <w:rPr>
          <w:rFonts w:ascii="Times New Roman" w:hAnsi="Times New Roman" w:cs="Times New Roman"/>
          <w:sz w:val="24"/>
          <w:szCs w:val="24"/>
        </w:rPr>
        <w:t>ning</w:t>
      </w:r>
      <w:r w:rsidRPr="008852C3">
        <w:rPr>
          <w:rFonts w:ascii="Times New Roman" w:hAnsi="Times New Roman" w:cs="Times New Roman"/>
          <w:sz w:val="24"/>
          <w:szCs w:val="24"/>
        </w:rPr>
        <w:t xml:space="preserve"> otsustab, kas taotlus rahuldada või mitte jne. Toetuse andja täpsem õiguste ja kohustuste loend on </w:t>
      </w:r>
      <w:r>
        <w:rPr>
          <w:rFonts w:ascii="Times New Roman" w:hAnsi="Times New Roman" w:cs="Times New Roman"/>
          <w:sz w:val="24"/>
          <w:szCs w:val="24"/>
        </w:rPr>
        <w:t>esitatud</w:t>
      </w:r>
      <w:r w:rsidRPr="008852C3">
        <w:rPr>
          <w:rFonts w:ascii="Times New Roman" w:hAnsi="Times New Roman" w:cs="Times New Roman"/>
          <w:sz w:val="24"/>
          <w:szCs w:val="24"/>
        </w:rPr>
        <w:t xml:space="preserve"> </w:t>
      </w:r>
      <w:r w:rsidRPr="00BF46AB">
        <w:rPr>
          <w:rFonts w:ascii="Times New Roman" w:hAnsi="Times New Roman" w:cs="Times New Roman"/>
          <w:sz w:val="24"/>
          <w:szCs w:val="24"/>
        </w:rPr>
        <w:t xml:space="preserve">§-s </w:t>
      </w:r>
      <w:r w:rsidRPr="002D4AB1">
        <w:rPr>
          <w:rFonts w:ascii="Times New Roman" w:hAnsi="Times New Roman" w:cs="Times New Roman"/>
          <w:sz w:val="24"/>
          <w:szCs w:val="24"/>
        </w:rPr>
        <w:t>2</w:t>
      </w:r>
      <w:r>
        <w:rPr>
          <w:rFonts w:ascii="Times New Roman" w:hAnsi="Times New Roman" w:cs="Times New Roman"/>
          <w:sz w:val="24"/>
          <w:szCs w:val="24"/>
        </w:rPr>
        <w:t>3</w:t>
      </w:r>
      <w:r w:rsidRPr="00BF46AB">
        <w:rPr>
          <w:rFonts w:ascii="Times New Roman" w:hAnsi="Times New Roman" w:cs="Times New Roman"/>
          <w:sz w:val="24"/>
          <w:szCs w:val="24"/>
        </w:rPr>
        <w:t>.</w:t>
      </w:r>
    </w:p>
    <w:p w14:paraId="7C5FA294" w14:textId="77777777" w:rsidR="00E9607B" w:rsidRDefault="00E9607B" w:rsidP="00E9607B">
      <w:pPr>
        <w:pStyle w:val="Default"/>
        <w:spacing w:line="276" w:lineRule="auto"/>
        <w:jc w:val="both"/>
        <w:rPr>
          <w:color w:val="auto"/>
        </w:rPr>
      </w:pPr>
      <w:r>
        <w:rPr>
          <w:b/>
          <w:bCs/>
          <w:color w:val="auto"/>
        </w:rPr>
        <w:t>Paragrahviga</w:t>
      </w:r>
      <w:r w:rsidRPr="00AD2D5A">
        <w:rPr>
          <w:b/>
          <w:bCs/>
          <w:color w:val="auto"/>
        </w:rPr>
        <w:t xml:space="preserve"> 4</w:t>
      </w:r>
      <w:r w:rsidRPr="00AD2D5A">
        <w:rPr>
          <w:color w:val="auto"/>
        </w:rPr>
        <w:t xml:space="preserve"> sätestatakse täpsemalt vähese tähtsusega abi andmisega seonduv.</w:t>
      </w:r>
    </w:p>
    <w:p w14:paraId="7BED07D1" w14:textId="77777777" w:rsidR="00E9607B" w:rsidRDefault="00E9607B" w:rsidP="00E9607B">
      <w:pPr>
        <w:pStyle w:val="Default"/>
        <w:spacing w:line="276" w:lineRule="auto"/>
        <w:jc w:val="both"/>
        <w:rPr>
          <w:color w:val="auto"/>
        </w:rPr>
      </w:pPr>
    </w:p>
    <w:p w14:paraId="4F51C719" w14:textId="5BA9CBD5" w:rsidR="00E9607B" w:rsidRDefault="00E9607B" w:rsidP="00E9607B">
      <w:pPr>
        <w:pStyle w:val="Default"/>
        <w:spacing w:line="276" w:lineRule="auto"/>
        <w:jc w:val="both"/>
        <w:rPr>
          <w:color w:val="auto"/>
        </w:rPr>
      </w:pPr>
      <w:r w:rsidRPr="00AD2D5A">
        <w:rPr>
          <w:color w:val="auto"/>
        </w:rPr>
        <w:t>Kui määruse alusel antav toetus</w:t>
      </w:r>
      <w:r>
        <w:rPr>
          <w:color w:val="auto"/>
        </w:rPr>
        <w:t xml:space="preserve"> liigitub</w:t>
      </w:r>
      <w:r w:rsidRPr="00AD2D5A">
        <w:rPr>
          <w:color w:val="auto"/>
        </w:rPr>
        <w:t xml:space="preserve"> vähese tähtsusega abi</w:t>
      </w:r>
      <w:r>
        <w:rPr>
          <w:color w:val="auto"/>
        </w:rPr>
        <w:t>ks</w:t>
      </w:r>
      <w:r w:rsidRPr="00AD2D5A">
        <w:rPr>
          <w:color w:val="auto"/>
        </w:rPr>
        <w:t>, siis järgitakse toetuse andmisel kohustusi ja nõudeid</w:t>
      </w:r>
      <w:r>
        <w:rPr>
          <w:color w:val="auto"/>
        </w:rPr>
        <w:t>, mis tulenevad</w:t>
      </w:r>
      <w:r w:rsidRPr="00996F85">
        <w:rPr>
          <w:color w:val="auto"/>
        </w:rPr>
        <w:t xml:space="preserve"> konkurentsiseaduse 6. peatükist </w:t>
      </w:r>
      <w:r>
        <w:rPr>
          <w:color w:val="auto"/>
        </w:rPr>
        <w:t>ning</w:t>
      </w:r>
      <w:r w:rsidRPr="00AD2D5A">
        <w:rPr>
          <w:color w:val="auto"/>
        </w:rPr>
        <w:t xml:space="preserve"> </w:t>
      </w:r>
      <w:bookmarkStart w:id="1" w:name="_Hlk158375432"/>
      <w:r w:rsidRPr="00AD2D5A">
        <w:rPr>
          <w:color w:val="auto"/>
        </w:rPr>
        <w:t>VTA määrus</w:t>
      </w:r>
      <w:bookmarkEnd w:id="1"/>
      <w:r w:rsidRPr="00AD2D5A">
        <w:rPr>
          <w:color w:val="auto"/>
        </w:rPr>
        <w:t>est. Toetuse andja peab</w:t>
      </w:r>
      <w:r>
        <w:rPr>
          <w:color w:val="auto"/>
        </w:rPr>
        <w:t xml:space="preserve"> iga taotluse puhul</w:t>
      </w:r>
      <w:r w:rsidRPr="00AD2D5A">
        <w:rPr>
          <w:color w:val="auto"/>
        </w:rPr>
        <w:t xml:space="preserve"> kontrollima, kas toetus on vähese tähtsusega abi</w:t>
      </w:r>
      <w:r>
        <w:rPr>
          <w:color w:val="auto"/>
        </w:rPr>
        <w:t>. Toetuse andja analüüsib</w:t>
      </w:r>
      <w:r w:rsidRPr="008A01C4">
        <w:rPr>
          <w:color w:val="auto"/>
        </w:rPr>
        <w:t>, kas tegemist on majandusliku eelise ja konkurentsi moonutamisega.</w:t>
      </w:r>
      <w:r w:rsidRPr="00AD2D5A">
        <w:rPr>
          <w:color w:val="auto"/>
          <w:kern w:val="2"/>
          <w14:ligatures w14:val="standardContextual"/>
        </w:rPr>
        <w:t xml:space="preserve"> </w:t>
      </w:r>
      <w:r w:rsidRPr="00AD2D5A">
        <w:rPr>
          <w:color w:val="auto"/>
        </w:rPr>
        <w:t>Vähese tähtsusega abi andmisel tuleb muu</w:t>
      </w:r>
      <w:r>
        <w:rPr>
          <w:color w:val="auto"/>
        </w:rPr>
        <w:t xml:space="preserve"> </w:t>
      </w:r>
      <w:r w:rsidRPr="00AD2D5A">
        <w:rPr>
          <w:color w:val="auto"/>
        </w:rPr>
        <w:t xml:space="preserve">hulgas jälgida, et ühele taotlejale antava vähese tähtsusega </w:t>
      </w:r>
      <w:r w:rsidRPr="00AD2D5A">
        <w:rPr>
          <w:color w:val="auto"/>
        </w:rPr>
        <w:lastRenderedPageBreak/>
        <w:t>abi kogusumma ei ületaks mis tahes kolme aasta pikkuse ajavahemiku jooksul 300</w:t>
      </w:r>
      <w:r w:rsidR="009E7396">
        <w:rPr>
          <w:color w:val="auto"/>
        </w:rPr>
        <w:t> </w:t>
      </w:r>
      <w:r w:rsidRPr="00AD2D5A">
        <w:rPr>
          <w:color w:val="auto"/>
        </w:rPr>
        <w:t>000</w:t>
      </w:r>
      <w:r w:rsidR="009E7396">
        <w:rPr>
          <w:color w:val="auto"/>
        </w:rPr>
        <w:t xml:space="preserve"> </w:t>
      </w:r>
      <w:r w:rsidRPr="00AD2D5A">
        <w:rPr>
          <w:color w:val="auto"/>
        </w:rPr>
        <w:t>eurot. Alates 1. jaanuarist 2024 tõusis vähese tähtsusega abi ülemmäär 300 000 euroni taotleja kohta kolme aasta jooksul</w:t>
      </w:r>
      <w:r>
        <w:rPr>
          <w:color w:val="auto"/>
        </w:rPr>
        <w:t>.</w:t>
      </w:r>
      <w:r w:rsidRPr="00AD2D5A">
        <w:rPr>
          <w:color w:val="auto"/>
        </w:rPr>
        <w:t xml:space="preserve"> </w:t>
      </w:r>
      <w:r>
        <w:rPr>
          <w:color w:val="auto"/>
        </w:rPr>
        <w:t>See</w:t>
      </w:r>
      <w:r w:rsidRPr="00AD2D5A">
        <w:rPr>
          <w:color w:val="auto"/>
        </w:rPr>
        <w:t xml:space="preserve"> tähendab, et ülemmäära arvestatakse jooksvalt abi andmise kuupäevast kolm aastat tagasi</w:t>
      </w:r>
      <w:r>
        <w:rPr>
          <w:color w:val="auto"/>
        </w:rPr>
        <w:t>.</w:t>
      </w:r>
      <w:r w:rsidRPr="00AD2D5A">
        <w:rPr>
          <w:rStyle w:val="FootnoteReference"/>
          <w:color w:val="auto"/>
        </w:rPr>
        <w:footnoteReference w:id="1"/>
      </w:r>
    </w:p>
    <w:p w14:paraId="0F4FF2C3" w14:textId="77777777" w:rsidR="00E9607B" w:rsidRPr="00AD2D5A" w:rsidRDefault="00E9607B" w:rsidP="00E9607B">
      <w:pPr>
        <w:pStyle w:val="Default"/>
        <w:spacing w:line="276" w:lineRule="auto"/>
        <w:jc w:val="both"/>
        <w:rPr>
          <w:color w:val="auto"/>
        </w:rPr>
      </w:pPr>
    </w:p>
    <w:p w14:paraId="0920CCCE" w14:textId="77777777" w:rsidR="00E9607B" w:rsidRDefault="00E9607B" w:rsidP="00E9607B">
      <w:pPr>
        <w:pStyle w:val="Default"/>
        <w:spacing w:line="276" w:lineRule="auto"/>
        <w:jc w:val="both"/>
        <w:rPr>
          <w:color w:val="auto"/>
        </w:rPr>
      </w:pPr>
      <w:r w:rsidRPr="00AD2D5A">
        <w:rPr>
          <w:color w:val="auto"/>
        </w:rPr>
        <w:t>Lisaks on oluline tähele panna, et vähese tähtsusega abi andmisel peab toetuse andja säilitama toetuse andmisega seotud dokumente kümme aastat.</w:t>
      </w:r>
    </w:p>
    <w:p w14:paraId="4A5DA386" w14:textId="77777777" w:rsidR="00E9607B" w:rsidRDefault="00E9607B" w:rsidP="00E9607B">
      <w:pPr>
        <w:pStyle w:val="Default"/>
        <w:spacing w:line="276" w:lineRule="auto"/>
        <w:jc w:val="both"/>
        <w:rPr>
          <w:color w:val="auto"/>
        </w:rPr>
      </w:pPr>
    </w:p>
    <w:p w14:paraId="0557175C" w14:textId="77777777" w:rsidR="00E9607B" w:rsidRDefault="00E9607B" w:rsidP="00E9607B">
      <w:pPr>
        <w:pStyle w:val="Default"/>
        <w:spacing w:line="276" w:lineRule="auto"/>
        <w:jc w:val="both"/>
        <w:rPr>
          <w:b/>
          <w:bCs/>
          <w:color w:val="auto"/>
        </w:rPr>
      </w:pPr>
      <w:r>
        <w:rPr>
          <w:b/>
          <w:bCs/>
          <w:color w:val="auto"/>
        </w:rPr>
        <w:t>2. peatükk. Toetuse andmise alused</w:t>
      </w:r>
    </w:p>
    <w:p w14:paraId="7927E96D" w14:textId="77777777" w:rsidR="00E9607B" w:rsidRPr="00706641" w:rsidRDefault="00E9607B" w:rsidP="00E9607B">
      <w:pPr>
        <w:pStyle w:val="Default"/>
        <w:spacing w:line="276" w:lineRule="auto"/>
        <w:jc w:val="both"/>
        <w:rPr>
          <w:b/>
          <w:bCs/>
          <w:color w:val="auto"/>
        </w:rPr>
      </w:pPr>
    </w:p>
    <w:p w14:paraId="2A835BBD" w14:textId="77777777" w:rsidR="00D61C05" w:rsidRDefault="00E9607B" w:rsidP="00D61C05">
      <w:pPr>
        <w:tabs>
          <w:tab w:val="left" w:pos="541"/>
          <w:tab w:val="left" w:pos="2799"/>
        </w:tabs>
        <w:spacing w:line="276" w:lineRule="auto"/>
        <w:jc w:val="both"/>
        <w:rPr>
          <w:rFonts w:ascii="Times New Roman" w:hAnsi="Times New Roman" w:cs="Times New Roman"/>
          <w:bCs/>
          <w:sz w:val="24"/>
          <w:szCs w:val="24"/>
        </w:rPr>
      </w:pPr>
      <w:r>
        <w:rPr>
          <w:rFonts w:ascii="Times New Roman" w:hAnsi="Times New Roman" w:cs="Times New Roman"/>
          <w:b/>
          <w:sz w:val="24"/>
          <w:szCs w:val="24"/>
        </w:rPr>
        <w:t xml:space="preserve">Paragrahviga 5 </w:t>
      </w:r>
      <w:r w:rsidRPr="00B03E7C">
        <w:rPr>
          <w:rFonts w:ascii="Times New Roman" w:hAnsi="Times New Roman" w:cs="Times New Roman"/>
          <w:bCs/>
          <w:sz w:val="24"/>
          <w:szCs w:val="24"/>
        </w:rPr>
        <w:t>sätestatakse toetatavad tegevused.</w:t>
      </w:r>
    </w:p>
    <w:p w14:paraId="6F7D8B4D" w14:textId="77777777" w:rsidR="00A75D84" w:rsidRPr="00A75D84" w:rsidRDefault="00A75D84" w:rsidP="00A75D84">
      <w:pPr>
        <w:tabs>
          <w:tab w:val="left" w:pos="541"/>
          <w:tab w:val="left" w:pos="2799"/>
        </w:tabs>
        <w:spacing w:line="276" w:lineRule="auto"/>
        <w:jc w:val="both"/>
        <w:rPr>
          <w:rFonts w:ascii="Times New Roman" w:hAnsi="Times New Roman" w:cs="Times New Roman"/>
          <w:bCs/>
          <w:sz w:val="24"/>
          <w:szCs w:val="24"/>
        </w:rPr>
      </w:pPr>
      <w:r w:rsidRPr="00A75D84">
        <w:rPr>
          <w:rFonts w:ascii="Times New Roman" w:hAnsi="Times New Roman" w:cs="Times New Roman"/>
          <w:bCs/>
          <w:sz w:val="24"/>
          <w:szCs w:val="24"/>
        </w:rPr>
        <w:t>Lõige 1 sätestab, et toetust antakse tegevustele, mis otseselt aitavad saavutada toetuse andmise eesmärki ja tulemusi. See tagab, et vahendeid kasutatakse sihipäraselt ning projekti mõju on mõõdetav ja kontrollitav.</w:t>
      </w:r>
    </w:p>
    <w:p w14:paraId="3E55FAB7" w14:textId="77777777" w:rsidR="00A75D84" w:rsidRPr="00A75D84" w:rsidRDefault="00A75D84" w:rsidP="00A75D84">
      <w:pPr>
        <w:tabs>
          <w:tab w:val="left" w:pos="541"/>
          <w:tab w:val="left" w:pos="2799"/>
        </w:tabs>
        <w:spacing w:line="276" w:lineRule="auto"/>
        <w:jc w:val="both"/>
        <w:rPr>
          <w:rFonts w:ascii="Times New Roman" w:hAnsi="Times New Roman" w:cs="Times New Roman"/>
          <w:bCs/>
          <w:sz w:val="24"/>
          <w:szCs w:val="24"/>
        </w:rPr>
      </w:pPr>
      <w:r w:rsidRPr="00A75D84">
        <w:rPr>
          <w:rFonts w:ascii="Times New Roman" w:hAnsi="Times New Roman" w:cs="Times New Roman"/>
          <w:bCs/>
          <w:sz w:val="24"/>
          <w:szCs w:val="24"/>
        </w:rPr>
        <w:t>Lõike 2 nõuded – sündmus toimub Eestis, on eestikeelne või eestikeelse tõlkega, põhineb taotleja põhikirjalisel tegevusel, toimub ühtse programmi alusel, edendab kodanikuühiskonna elavdamist ja tuntuse suurenemist, järgib kestlikkuse, ligipääsetavuse, soolise võrdõiguslikkuse ja võrdse kohtlemise põhimõtteid ning toob kokku vähemalt 1000 osalejat – on vajalikud selleks, et tagada sündmuse laiapõhjaline mõju, kohalike kogukondade kaasatus, kaasav ja võrdne ligipääs ning kodanikuühiskonna arengut toetav iseloom. Samuti aitab see vältida rahaliste vahendite kasutamist kitsale sihtrühmale või tegevustele, mis ei too laiemat kasu.</w:t>
      </w:r>
    </w:p>
    <w:p w14:paraId="03800E22" w14:textId="77777777" w:rsidR="00A75D84" w:rsidRPr="00A75D84" w:rsidRDefault="00A75D84" w:rsidP="00A75D84">
      <w:pPr>
        <w:tabs>
          <w:tab w:val="left" w:pos="541"/>
          <w:tab w:val="left" w:pos="2799"/>
        </w:tabs>
        <w:spacing w:line="276" w:lineRule="auto"/>
        <w:jc w:val="both"/>
        <w:rPr>
          <w:rFonts w:ascii="Times New Roman" w:hAnsi="Times New Roman" w:cs="Times New Roman"/>
          <w:bCs/>
          <w:sz w:val="24"/>
          <w:szCs w:val="24"/>
        </w:rPr>
      </w:pPr>
      <w:r w:rsidRPr="00A75D84">
        <w:rPr>
          <w:rFonts w:ascii="Times New Roman" w:hAnsi="Times New Roman" w:cs="Times New Roman"/>
          <w:bCs/>
          <w:sz w:val="24"/>
          <w:szCs w:val="24"/>
        </w:rPr>
        <w:t xml:space="preserve">Lõike 3 loetelu toetatavatest tegevustest täpsustab, millised tegevused annavad otsest panust kodanikuühiskonna arendamisse: ettevalmistus ja korraldus, turundus ja teavitustöö, koostöö vabaühenduste vahel, kodanikuaktiivsuse ja -osaluse suurendamine, sihtrühmade kaasamine, </w:t>
      </w:r>
      <w:proofErr w:type="spellStart"/>
      <w:r w:rsidRPr="00A75D84">
        <w:rPr>
          <w:rFonts w:ascii="Times New Roman" w:hAnsi="Times New Roman" w:cs="Times New Roman"/>
          <w:bCs/>
          <w:sz w:val="24"/>
          <w:szCs w:val="24"/>
        </w:rPr>
        <w:t>valdkondadevaheline</w:t>
      </w:r>
      <w:proofErr w:type="spellEnd"/>
      <w:r w:rsidRPr="00A75D84">
        <w:rPr>
          <w:rFonts w:ascii="Times New Roman" w:hAnsi="Times New Roman" w:cs="Times New Roman"/>
          <w:bCs/>
          <w:sz w:val="24"/>
          <w:szCs w:val="24"/>
        </w:rPr>
        <w:t xml:space="preserve"> koostöö ja teadmussiire, koolitused, seminarid ja arutelud, osalejate statistika ning muu põhjendatud tegevus. Selle täpsustuse eesmärk on tagada, et rahastust kasutatakse läbimõeldult, kaasa arvatud tegevustele, mis suurendavad projekti mõju ja jätkusuutlikkust.</w:t>
      </w:r>
    </w:p>
    <w:p w14:paraId="62AAE50C" w14:textId="7194A4A4" w:rsidR="00A75D84" w:rsidRPr="00A75D84" w:rsidRDefault="00A75D84" w:rsidP="00A75D84">
      <w:pPr>
        <w:tabs>
          <w:tab w:val="left" w:pos="541"/>
          <w:tab w:val="left" w:pos="2799"/>
        </w:tabs>
        <w:spacing w:line="276" w:lineRule="auto"/>
        <w:jc w:val="both"/>
        <w:rPr>
          <w:rFonts w:ascii="Times New Roman" w:hAnsi="Times New Roman" w:cs="Times New Roman"/>
          <w:bCs/>
          <w:sz w:val="24"/>
          <w:szCs w:val="24"/>
        </w:rPr>
      </w:pPr>
      <w:r w:rsidRPr="00A75D84">
        <w:rPr>
          <w:rFonts w:ascii="Times New Roman" w:hAnsi="Times New Roman" w:cs="Times New Roman"/>
          <w:bCs/>
          <w:sz w:val="24"/>
          <w:szCs w:val="24"/>
        </w:rPr>
        <w:t>Lõige 4 kehtestab piirangu, et toetust ei anta laulu- ja tantsupidudele, spordivõistlustele ega ühe ühingu tegevusele keskenduvatele sündmustele. Sellised piirangud on vajalikud, et vältida rahastuse suunatust tegevustele, mille mõju kodanikuühiskonna üldisele arengule on piiratud või mis teenivad kitsalt ühe organisatsiooni huve, tagades seega toetuse laiapõhjalise ja ühiskondlikku kasu loova kasutamise.</w:t>
      </w:r>
      <w:r>
        <w:rPr>
          <w:rFonts w:ascii="Times New Roman" w:hAnsi="Times New Roman" w:cs="Times New Roman"/>
          <w:bCs/>
          <w:sz w:val="24"/>
          <w:szCs w:val="24"/>
        </w:rPr>
        <w:t xml:space="preserve"> Kultuurisündmuste ja suurte spordiürituste </w:t>
      </w:r>
      <w:r w:rsidRPr="00A75D84">
        <w:rPr>
          <w:rFonts w:ascii="Times New Roman" w:hAnsi="Times New Roman" w:cs="Times New Roman"/>
          <w:bCs/>
          <w:sz w:val="24"/>
          <w:szCs w:val="24"/>
        </w:rPr>
        <w:t xml:space="preserve">korraldamiseks olemas teised riiklikud toetusmeetmed, näiteks </w:t>
      </w:r>
      <w:r>
        <w:rPr>
          <w:rFonts w:ascii="Times New Roman" w:hAnsi="Times New Roman" w:cs="Times New Roman"/>
          <w:bCs/>
          <w:sz w:val="24"/>
          <w:szCs w:val="24"/>
        </w:rPr>
        <w:t>Ettevõtluse ja Innovatsiooni Sihtasutuse</w:t>
      </w:r>
      <w:r w:rsidRPr="00A75D84">
        <w:rPr>
          <w:rFonts w:ascii="Times New Roman" w:hAnsi="Times New Roman" w:cs="Times New Roman"/>
          <w:bCs/>
          <w:sz w:val="24"/>
          <w:szCs w:val="24"/>
        </w:rPr>
        <w:t xml:space="preserve"> toetatavad suursündmused</w:t>
      </w:r>
      <w:r>
        <w:rPr>
          <w:rStyle w:val="FootnoteReference"/>
          <w:rFonts w:ascii="Times New Roman" w:hAnsi="Times New Roman"/>
          <w:bCs/>
          <w:sz w:val="24"/>
          <w:szCs w:val="24"/>
        </w:rPr>
        <w:footnoteReference w:id="2"/>
      </w:r>
      <w:r w:rsidRPr="00A75D84">
        <w:rPr>
          <w:rFonts w:ascii="Times New Roman" w:hAnsi="Times New Roman" w:cs="Times New Roman"/>
          <w:bCs/>
          <w:sz w:val="24"/>
          <w:szCs w:val="24"/>
        </w:rPr>
        <w:t xml:space="preserve"> ning Kultuuriministeeriumi </w:t>
      </w:r>
      <w:r>
        <w:rPr>
          <w:rFonts w:ascii="Times New Roman" w:hAnsi="Times New Roman" w:cs="Times New Roman"/>
          <w:bCs/>
          <w:sz w:val="24"/>
          <w:szCs w:val="24"/>
        </w:rPr>
        <w:t>l</w:t>
      </w:r>
      <w:r w:rsidRPr="00A75D84">
        <w:rPr>
          <w:rFonts w:ascii="Times New Roman" w:hAnsi="Times New Roman" w:cs="Times New Roman"/>
          <w:bCs/>
          <w:sz w:val="24"/>
          <w:szCs w:val="24"/>
        </w:rPr>
        <w:t xml:space="preserve">õimumist edendavate kultuuri- ja sporditegevuste </w:t>
      </w:r>
      <w:r>
        <w:rPr>
          <w:rFonts w:ascii="Times New Roman" w:hAnsi="Times New Roman" w:cs="Times New Roman"/>
          <w:bCs/>
          <w:sz w:val="24"/>
          <w:szCs w:val="24"/>
        </w:rPr>
        <w:t>toetus</w:t>
      </w:r>
      <w:r>
        <w:rPr>
          <w:rStyle w:val="FootnoteReference"/>
          <w:rFonts w:ascii="Times New Roman" w:hAnsi="Times New Roman"/>
          <w:bCs/>
          <w:sz w:val="24"/>
          <w:szCs w:val="24"/>
        </w:rPr>
        <w:footnoteReference w:id="3"/>
      </w:r>
      <w:r>
        <w:rPr>
          <w:rFonts w:ascii="Times New Roman" w:hAnsi="Times New Roman" w:cs="Times New Roman"/>
          <w:bCs/>
          <w:sz w:val="24"/>
          <w:szCs w:val="24"/>
        </w:rPr>
        <w:t>.</w:t>
      </w:r>
    </w:p>
    <w:p w14:paraId="42EBC5F1" w14:textId="77777777" w:rsidR="003E620E" w:rsidRDefault="003E620E" w:rsidP="003E620E">
      <w:pPr>
        <w:tabs>
          <w:tab w:val="left" w:pos="541"/>
          <w:tab w:val="left" w:pos="2799"/>
        </w:tabs>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Paragrahviga 6 </w:t>
      </w:r>
      <w:r w:rsidRPr="00E86A13">
        <w:rPr>
          <w:rFonts w:ascii="Times New Roman" w:hAnsi="Times New Roman" w:cs="Times New Roman"/>
          <w:bCs/>
          <w:sz w:val="24"/>
          <w:szCs w:val="24"/>
        </w:rPr>
        <w:t>reguleeri</w:t>
      </w:r>
      <w:r>
        <w:rPr>
          <w:rFonts w:ascii="Times New Roman" w:hAnsi="Times New Roman" w:cs="Times New Roman"/>
          <w:bCs/>
          <w:sz w:val="24"/>
          <w:szCs w:val="24"/>
        </w:rPr>
        <w:t>takse</w:t>
      </w:r>
      <w:r w:rsidRPr="00E86A13">
        <w:rPr>
          <w:rFonts w:ascii="Times New Roman" w:hAnsi="Times New Roman" w:cs="Times New Roman"/>
          <w:bCs/>
          <w:sz w:val="24"/>
          <w:szCs w:val="24"/>
        </w:rPr>
        <w:t xml:space="preserve"> kulu abikõlblikkust.</w:t>
      </w:r>
    </w:p>
    <w:p w14:paraId="6A158384" w14:textId="77777777" w:rsidR="003E620E" w:rsidRPr="008F29D4" w:rsidRDefault="003E620E" w:rsidP="003E620E">
      <w:pPr>
        <w:tabs>
          <w:tab w:val="left" w:pos="541"/>
          <w:tab w:val="left" w:pos="2799"/>
        </w:tabs>
        <w:spacing w:line="276" w:lineRule="auto"/>
        <w:jc w:val="both"/>
        <w:rPr>
          <w:rFonts w:ascii="Times New Roman" w:hAnsi="Times New Roman" w:cs="Times New Roman"/>
          <w:bCs/>
          <w:sz w:val="24"/>
          <w:szCs w:val="24"/>
        </w:rPr>
      </w:pPr>
      <w:r w:rsidRPr="00517024">
        <w:rPr>
          <w:rFonts w:ascii="Times New Roman" w:hAnsi="Times New Roman" w:cs="Times New Roman"/>
          <w:sz w:val="24"/>
          <w:szCs w:val="24"/>
          <w:u w:val="single"/>
        </w:rPr>
        <w:lastRenderedPageBreak/>
        <w:t>Lõige 1.</w:t>
      </w:r>
      <w:r w:rsidRPr="00517024">
        <w:rPr>
          <w:rFonts w:ascii="Times New Roman" w:hAnsi="Times New Roman" w:cs="Times New Roman"/>
          <w:sz w:val="24"/>
          <w:szCs w:val="24"/>
        </w:rPr>
        <w:t xml:space="preserve"> Käesoleva</w:t>
      </w:r>
      <w:r w:rsidRPr="00850B27">
        <w:rPr>
          <w:rFonts w:ascii="Times New Roman" w:hAnsi="Times New Roman" w:cs="Times New Roman"/>
          <w:sz w:val="24"/>
          <w:szCs w:val="24"/>
        </w:rPr>
        <w:t xml:space="preserve"> määruse raames on abikõlblikud kulud selgelt määratletud, et tagada toetuse sihipärane ja tõhus kasutamine.</w:t>
      </w:r>
      <w:r w:rsidRPr="003151D5">
        <w:t xml:space="preserve"> </w:t>
      </w:r>
      <w:r>
        <w:rPr>
          <w:rFonts w:ascii="Times New Roman" w:hAnsi="Times New Roman" w:cs="Times New Roman"/>
          <w:bCs/>
          <w:sz w:val="24"/>
          <w:szCs w:val="24"/>
        </w:rPr>
        <w:t>A</w:t>
      </w:r>
      <w:r w:rsidRPr="008F29D4">
        <w:rPr>
          <w:rFonts w:ascii="Times New Roman" w:hAnsi="Times New Roman" w:cs="Times New Roman"/>
          <w:bCs/>
          <w:sz w:val="24"/>
          <w:szCs w:val="24"/>
        </w:rPr>
        <w:t>bikõlblik</w:t>
      </w:r>
      <w:r>
        <w:rPr>
          <w:rFonts w:ascii="Times New Roman" w:hAnsi="Times New Roman" w:cs="Times New Roman"/>
          <w:bCs/>
          <w:sz w:val="24"/>
          <w:szCs w:val="24"/>
        </w:rPr>
        <w:t xml:space="preserve"> on</w:t>
      </w:r>
      <w:r w:rsidRPr="008F29D4">
        <w:rPr>
          <w:rFonts w:ascii="Times New Roman" w:hAnsi="Times New Roman" w:cs="Times New Roman"/>
          <w:bCs/>
          <w:sz w:val="24"/>
          <w:szCs w:val="24"/>
        </w:rPr>
        <w:t xml:space="preserve"> kulu, mi</w:t>
      </w:r>
      <w:r>
        <w:rPr>
          <w:rFonts w:ascii="Times New Roman" w:hAnsi="Times New Roman" w:cs="Times New Roman"/>
          <w:bCs/>
          <w:sz w:val="24"/>
          <w:szCs w:val="24"/>
        </w:rPr>
        <w:t>lle</w:t>
      </w:r>
      <w:r w:rsidRPr="008F29D4">
        <w:rPr>
          <w:rFonts w:ascii="Times New Roman" w:hAnsi="Times New Roman" w:cs="Times New Roman"/>
          <w:bCs/>
          <w:sz w:val="24"/>
          <w:szCs w:val="24"/>
        </w:rPr>
        <w:t xml:space="preserve"> on te</w:t>
      </w:r>
      <w:r>
        <w:rPr>
          <w:rFonts w:ascii="Times New Roman" w:hAnsi="Times New Roman" w:cs="Times New Roman"/>
          <w:bCs/>
          <w:sz w:val="24"/>
          <w:szCs w:val="24"/>
        </w:rPr>
        <w:t>inud</w:t>
      </w:r>
      <w:r w:rsidRPr="008F29D4">
        <w:rPr>
          <w:rFonts w:ascii="Times New Roman" w:hAnsi="Times New Roman" w:cs="Times New Roman"/>
          <w:bCs/>
          <w:sz w:val="24"/>
          <w:szCs w:val="24"/>
        </w:rPr>
        <w:t xml:space="preserve"> toetuse saaja projekti abikõlblikkuse perioodil</w:t>
      </w:r>
      <w:r>
        <w:rPr>
          <w:rFonts w:ascii="Times New Roman" w:hAnsi="Times New Roman" w:cs="Times New Roman"/>
          <w:bCs/>
          <w:sz w:val="24"/>
          <w:szCs w:val="24"/>
        </w:rPr>
        <w:t xml:space="preserve"> ja mis</w:t>
      </w:r>
      <w:r w:rsidRPr="008F29D4">
        <w:rPr>
          <w:rFonts w:ascii="Times New Roman" w:hAnsi="Times New Roman" w:cs="Times New Roman"/>
          <w:bCs/>
          <w:sz w:val="24"/>
          <w:szCs w:val="24"/>
        </w:rPr>
        <w:t xml:space="preserve"> vastab projekti eesmärkidele </w:t>
      </w:r>
      <w:r>
        <w:rPr>
          <w:rFonts w:ascii="Times New Roman" w:hAnsi="Times New Roman" w:cs="Times New Roman"/>
          <w:bCs/>
          <w:sz w:val="24"/>
          <w:szCs w:val="24"/>
        </w:rPr>
        <w:t>ning</w:t>
      </w:r>
      <w:r w:rsidRPr="008F29D4">
        <w:rPr>
          <w:rFonts w:ascii="Times New Roman" w:hAnsi="Times New Roman" w:cs="Times New Roman"/>
          <w:bCs/>
          <w:sz w:val="24"/>
          <w:szCs w:val="24"/>
        </w:rPr>
        <w:t xml:space="preserve"> on vajalik, põhjendatud </w:t>
      </w:r>
      <w:r>
        <w:rPr>
          <w:rFonts w:ascii="Times New Roman" w:hAnsi="Times New Roman" w:cs="Times New Roman"/>
          <w:bCs/>
          <w:sz w:val="24"/>
          <w:szCs w:val="24"/>
        </w:rPr>
        <w:t xml:space="preserve">ja </w:t>
      </w:r>
      <w:r w:rsidRPr="008F29D4">
        <w:rPr>
          <w:rFonts w:ascii="Times New Roman" w:hAnsi="Times New Roman" w:cs="Times New Roman"/>
          <w:bCs/>
          <w:sz w:val="24"/>
          <w:szCs w:val="24"/>
        </w:rPr>
        <w:t>otseselt seotud projekti elluviimisega. Tegemist on kulu abikõlblikuks lugemise üldpõhimõttega.</w:t>
      </w:r>
    </w:p>
    <w:p w14:paraId="1B9998F1" w14:textId="5ECF7513" w:rsidR="003E620E" w:rsidRPr="005C73AD" w:rsidRDefault="005C73AD" w:rsidP="005C73AD">
      <w:pPr>
        <w:pStyle w:val="Default"/>
        <w:spacing w:after="240" w:line="276" w:lineRule="auto"/>
        <w:jc w:val="both"/>
      </w:pPr>
      <w:r w:rsidRPr="006721B7">
        <w:rPr>
          <w:u w:val="single"/>
        </w:rPr>
        <w:t>Lõige 2</w:t>
      </w:r>
      <w:r w:rsidRPr="005C73AD">
        <w:t xml:space="preserve"> sätestab, millised kulud on abikõlblikud, et tagada toetuse sihipärane ja läbipaistev kasutamine. Abikõlblikeks kuludeks on kavandatud tegevuste elluviimisega otseselt seotud kulud, tööjõukulud, mis on tööandja kohustuseks, ning ekspertide tasud konkreetsete mõõdetavate tööülesannete täitmiseks kindlaksmääratud ajal. Samuti loetakse abikõlblikeks tegevustega seotud ürituste ja koolituste korraldamise kulud, trüki- ja digimaterjalide ning teavitustegevuse kulud, sh veebilehtede ja rakenduste loomine ja täiendus ning kampaaniate korraldamine. Lisaks hõlmavad need vajalikud </w:t>
      </w:r>
      <w:proofErr w:type="spellStart"/>
      <w:r w:rsidRPr="005C73AD">
        <w:t>sisseostetavad</w:t>
      </w:r>
      <w:proofErr w:type="spellEnd"/>
      <w:r w:rsidRPr="005C73AD">
        <w:t xml:space="preserve"> teenused nagu õigusabi, notaritasud, tehniline ja finantsekspertiis</w:t>
      </w:r>
      <w:r w:rsidR="002D6591">
        <w:t xml:space="preserve"> ja</w:t>
      </w:r>
      <w:r w:rsidRPr="005C73AD">
        <w:t xml:space="preserve"> raamatupidamiskulud ning osalejate statistika, tagasiside ja mõju kogumisega seotud kulud. Abikõlblikuks loetakse ka riiklikud maksud ja lõivud, mida Eesti riik ei tagasta, ning muud põhjendatud kulud, mis on ette nähtud tegevustega seotud eelarves. Selline täpsustus tagab, et toetust kasutatakse ainult otseselt projekti eesmärkide saavutamiseks vajalikeks kuludeks ning võimaldab hinnata eelarve realistlikkust ja kulude põhjendatust.</w:t>
      </w:r>
    </w:p>
    <w:p w14:paraId="72927022" w14:textId="77777777" w:rsidR="003E620E" w:rsidRPr="003E620E" w:rsidRDefault="003E620E" w:rsidP="003E620E">
      <w:pPr>
        <w:pStyle w:val="Default"/>
        <w:spacing w:line="276" w:lineRule="auto"/>
        <w:jc w:val="both"/>
      </w:pPr>
      <w:r w:rsidRPr="003E620E">
        <w:rPr>
          <w:u w:val="single"/>
        </w:rPr>
        <w:t>Lõige 3.</w:t>
      </w:r>
      <w:r w:rsidRPr="003E620E">
        <w:t xml:space="preserve"> Mitteabikõlblikud kulud on selgelt välistatud, et tagada toetuse sihipärane kasutamine ja vältida väärkasutust. Näiteks ei ole lubatud investeeringud maa ja kinnisvara soetamiseks, samuti seotud isikutega tehtud tasulised tehingud, mis võivad ohustada läbipaistvust ja tekitada huvide konflikti. Finantskulud, nagu intressid, valuutavahetustasud ja viivised, ei ole seotud projekti eesmärkide elluviimisega ning seetõttu ei kuulu abikõlblike kulude hulka. Samuti on välistatud vaide- ja kohtumenetluse kulud, reserv ootamatute kulude katmiseks ning sotsiaaltoetused. Toetusest ei saa katta kulusid, mis on juba rahastatud teistest projektidest või avaliku sektori vahenditest, vältimaks </w:t>
      </w:r>
      <w:proofErr w:type="spellStart"/>
      <w:r w:rsidRPr="003E620E">
        <w:t>topeltrahastamist</w:t>
      </w:r>
      <w:proofErr w:type="spellEnd"/>
      <w:r w:rsidRPr="003E620E">
        <w:t xml:space="preserve">. Lisaks ei ole lubatud projektijuhtimise </w:t>
      </w:r>
      <w:proofErr w:type="spellStart"/>
      <w:r w:rsidRPr="003E620E">
        <w:t>sisseostmine</w:t>
      </w:r>
      <w:proofErr w:type="spellEnd"/>
      <w:r w:rsidRPr="003E620E">
        <w:t xml:space="preserve"> teiselt juriidiliselt isikult, liikmemaksude, esinduskulude ja kingituste katmine. Kõik põhjendamatud ja ebaolulised kulud on samuti mitteabikõlblikud, et tagada toetuse eesmärgipärane ja tõhus kasutamine.</w:t>
      </w:r>
    </w:p>
    <w:p w14:paraId="2E7032DD" w14:textId="77777777" w:rsidR="003E620E" w:rsidRDefault="003E620E" w:rsidP="003E620E">
      <w:pPr>
        <w:pStyle w:val="Default"/>
        <w:spacing w:line="276" w:lineRule="auto"/>
        <w:jc w:val="both"/>
        <w:rPr>
          <w:color w:val="auto"/>
        </w:rPr>
      </w:pPr>
    </w:p>
    <w:p w14:paraId="215C1158" w14:textId="0E8EC35A" w:rsidR="003E620E" w:rsidRDefault="003E620E" w:rsidP="003E620E">
      <w:pPr>
        <w:pStyle w:val="Default"/>
        <w:spacing w:line="276" w:lineRule="auto"/>
        <w:jc w:val="both"/>
        <w:rPr>
          <w:color w:val="auto"/>
        </w:rPr>
      </w:pPr>
      <w:r>
        <w:rPr>
          <w:color w:val="auto"/>
          <w:u w:val="single"/>
        </w:rPr>
        <w:t>Lõike 4</w:t>
      </w:r>
      <w:r>
        <w:rPr>
          <w:color w:val="auto"/>
        </w:rPr>
        <w:t xml:space="preserve"> järgi peavad k</w:t>
      </w:r>
      <w:r w:rsidRPr="009D65EF">
        <w:rPr>
          <w:color w:val="auto"/>
        </w:rPr>
        <w:t>õik</w:t>
      </w:r>
      <w:r w:rsidRPr="00E95392">
        <w:rPr>
          <w:color w:val="auto"/>
        </w:rPr>
        <w:t xml:space="preserve"> kulud olema tõendatud asjakohaste raamatupidamisdokumentidega</w:t>
      </w:r>
      <w:r w:rsidR="002D6591">
        <w:rPr>
          <w:color w:val="auto"/>
        </w:rPr>
        <w:t xml:space="preserve"> </w:t>
      </w:r>
      <w:r w:rsidRPr="00E95392">
        <w:rPr>
          <w:color w:val="auto"/>
        </w:rPr>
        <w:t>nagu arved või samaväärse tõendusväärtusega dokumendid, et kulutus</w:t>
      </w:r>
      <w:r>
        <w:rPr>
          <w:color w:val="auto"/>
        </w:rPr>
        <w:t>ed oleksid</w:t>
      </w:r>
      <w:r w:rsidRPr="00E95392">
        <w:rPr>
          <w:color w:val="auto"/>
        </w:rPr>
        <w:t xml:space="preserve"> läbipaistv</w:t>
      </w:r>
      <w:r>
        <w:rPr>
          <w:color w:val="auto"/>
        </w:rPr>
        <w:t>ad</w:t>
      </w:r>
      <w:r w:rsidRPr="00E95392">
        <w:rPr>
          <w:color w:val="auto"/>
        </w:rPr>
        <w:t xml:space="preserve"> ja kontrollitav</w:t>
      </w:r>
      <w:r>
        <w:rPr>
          <w:color w:val="auto"/>
        </w:rPr>
        <w:t>ad</w:t>
      </w:r>
      <w:r w:rsidRPr="00E95392">
        <w:rPr>
          <w:color w:val="auto"/>
        </w:rPr>
        <w:t>.</w:t>
      </w:r>
    </w:p>
    <w:p w14:paraId="566169FF" w14:textId="6ECDCFB1" w:rsidR="00D61C05" w:rsidRDefault="00D61C05" w:rsidP="00D61C05">
      <w:pPr>
        <w:tabs>
          <w:tab w:val="left" w:pos="541"/>
          <w:tab w:val="left" w:pos="2799"/>
        </w:tabs>
        <w:spacing w:line="276" w:lineRule="auto"/>
        <w:jc w:val="both"/>
        <w:rPr>
          <w:rFonts w:ascii="Times New Roman" w:hAnsi="Times New Roman" w:cs="Times New Roman"/>
          <w:bCs/>
          <w:sz w:val="24"/>
          <w:szCs w:val="24"/>
        </w:rPr>
      </w:pPr>
      <w:r w:rsidRPr="00D61C05">
        <w:rPr>
          <w:rFonts w:ascii="Times New Roman" w:hAnsi="Times New Roman" w:cs="Times New Roman"/>
          <w:bCs/>
          <w:sz w:val="24"/>
          <w:szCs w:val="24"/>
        </w:rPr>
        <w:br/>
      </w:r>
      <w:r w:rsidRPr="00D61C05">
        <w:rPr>
          <w:rFonts w:ascii="Times New Roman" w:hAnsi="Times New Roman" w:cs="Times New Roman"/>
          <w:b/>
          <w:sz w:val="24"/>
          <w:szCs w:val="24"/>
        </w:rPr>
        <w:t>Paragrahviga 7</w:t>
      </w:r>
      <w:r w:rsidRPr="00D61C05">
        <w:rPr>
          <w:rFonts w:ascii="Times New Roman" w:hAnsi="Times New Roman" w:cs="Times New Roman"/>
          <w:bCs/>
          <w:sz w:val="24"/>
          <w:szCs w:val="24"/>
        </w:rPr>
        <w:t xml:space="preserve"> sätestatakse</w:t>
      </w:r>
      <w:r w:rsidR="0060121A">
        <w:rPr>
          <w:rFonts w:ascii="Times New Roman" w:hAnsi="Times New Roman" w:cs="Times New Roman"/>
          <w:bCs/>
          <w:sz w:val="24"/>
          <w:szCs w:val="24"/>
        </w:rPr>
        <w:t xml:space="preserve"> toetuse andmise ja</w:t>
      </w:r>
      <w:r w:rsidRPr="00D61C05">
        <w:rPr>
          <w:rFonts w:ascii="Times New Roman" w:hAnsi="Times New Roman" w:cs="Times New Roman"/>
          <w:bCs/>
          <w:sz w:val="24"/>
          <w:szCs w:val="24"/>
        </w:rPr>
        <w:t xml:space="preserve"> projekti abikõlblikkuse periood. </w:t>
      </w:r>
    </w:p>
    <w:p w14:paraId="547DC74B" w14:textId="28AAF90F" w:rsidR="0060121A" w:rsidRPr="0060121A" w:rsidRDefault="0060121A" w:rsidP="00D61C05">
      <w:pPr>
        <w:tabs>
          <w:tab w:val="left" w:pos="541"/>
          <w:tab w:val="left" w:pos="2799"/>
        </w:tabs>
        <w:spacing w:line="276" w:lineRule="auto"/>
        <w:jc w:val="both"/>
        <w:rPr>
          <w:rFonts w:ascii="Times New Roman" w:hAnsi="Times New Roman" w:cs="Times New Roman"/>
          <w:bCs/>
          <w:sz w:val="24"/>
          <w:szCs w:val="24"/>
        </w:rPr>
      </w:pPr>
      <w:r>
        <w:rPr>
          <w:rFonts w:ascii="Times New Roman" w:hAnsi="Times New Roman" w:cs="Times New Roman"/>
          <w:bCs/>
          <w:sz w:val="24"/>
          <w:szCs w:val="24"/>
          <w:u w:val="single"/>
        </w:rPr>
        <w:t xml:space="preserve">Lõige </w:t>
      </w:r>
      <w:r w:rsidRPr="0060121A">
        <w:rPr>
          <w:rFonts w:ascii="Times New Roman" w:hAnsi="Times New Roman" w:cs="Times New Roman"/>
          <w:bCs/>
          <w:sz w:val="24"/>
          <w:szCs w:val="24"/>
          <w:u w:val="single"/>
        </w:rPr>
        <w:t>1</w:t>
      </w:r>
      <w:r>
        <w:rPr>
          <w:rFonts w:ascii="Times New Roman" w:hAnsi="Times New Roman" w:cs="Times New Roman"/>
          <w:bCs/>
          <w:sz w:val="24"/>
          <w:szCs w:val="24"/>
        </w:rPr>
        <w:t xml:space="preserve"> sisaldab t</w:t>
      </w:r>
      <w:r w:rsidRPr="0060121A">
        <w:rPr>
          <w:rFonts w:ascii="Times New Roman" w:hAnsi="Times New Roman" w:cs="Times New Roman"/>
          <w:bCs/>
          <w:sz w:val="24"/>
          <w:szCs w:val="24"/>
        </w:rPr>
        <w:t>oetuse andmise periood</w:t>
      </w:r>
      <w:r>
        <w:rPr>
          <w:rFonts w:ascii="Times New Roman" w:hAnsi="Times New Roman" w:cs="Times New Roman"/>
          <w:bCs/>
          <w:sz w:val="24"/>
          <w:szCs w:val="24"/>
        </w:rPr>
        <w:t>i üldise määratluse, mille kohaselt</w:t>
      </w:r>
      <w:r w:rsidRPr="0060121A">
        <w:rPr>
          <w:rFonts w:ascii="Times New Roman" w:hAnsi="Times New Roman" w:cs="Times New Roman"/>
          <w:bCs/>
          <w:sz w:val="24"/>
          <w:szCs w:val="24"/>
        </w:rPr>
        <w:t xml:space="preserve"> </w:t>
      </w:r>
      <w:r>
        <w:rPr>
          <w:rFonts w:ascii="Times New Roman" w:hAnsi="Times New Roman" w:cs="Times New Roman"/>
          <w:bCs/>
          <w:sz w:val="24"/>
          <w:szCs w:val="24"/>
        </w:rPr>
        <w:t xml:space="preserve">see </w:t>
      </w:r>
      <w:r w:rsidRPr="0060121A">
        <w:rPr>
          <w:rFonts w:ascii="Times New Roman" w:hAnsi="Times New Roman" w:cs="Times New Roman"/>
          <w:bCs/>
          <w:sz w:val="24"/>
          <w:szCs w:val="24"/>
        </w:rPr>
        <w:t>on ajavahemik, mille jooksul võib taotlusvooru välja kuulutada, esitada taotlusi, teha taotluse rahuldamise või rahuldamata jätmise otsuseid ning ellu viia ja rahastada toetatavaid tegevusi.</w:t>
      </w:r>
      <w:r>
        <w:rPr>
          <w:rFonts w:ascii="Times New Roman" w:hAnsi="Times New Roman" w:cs="Times New Roman"/>
          <w:bCs/>
          <w:sz w:val="24"/>
          <w:szCs w:val="24"/>
        </w:rPr>
        <w:t xml:space="preserve"> Lõike teiseks lauseks on aga eriregulatsioon, mille järgi</w:t>
      </w:r>
      <w:r w:rsidRPr="0060121A">
        <w:rPr>
          <w:rFonts w:ascii="Times New Roman" w:hAnsi="Times New Roman" w:cs="Times New Roman"/>
          <w:bCs/>
          <w:sz w:val="24"/>
          <w:szCs w:val="24"/>
        </w:rPr>
        <w:t xml:space="preserve"> 2025.-2026. aasta</w:t>
      </w:r>
      <w:r>
        <w:rPr>
          <w:rFonts w:ascii="Times New Roman" w:hAnsi="Times New Roman" w:cs="Times New Roman"/>
          <w:bCs/>
          <w:sz w:val="24"/>
          <w:szCs w:val="24"/>
        </w:rPr>
        <w:t>l</w:t>
      </w:r>
      <w:r w:rsidRPr="0060121A">
        <w:rPr>
          <w:rFonts w:ascii="Times New Roman" w:hAnsi="Times New Roman" w:cs="Times New Roman"/>
          <w:bCs/>
          <w:sz w:val="24"/>
          <w:szCs w:val="24"/>
        </w:rPr>
        <w:t xml:space="preserve"> algab</w:t>
      </w:r>
      <w:r>
        <w:rPr>
          <w:rFonts w:ascii="Times New Roman" w:hAnsi="Times New Roman" w:cs="Times New Roman"/>
          <w:bCs/>
          <w:sz w:val="24"/>
          <w:szCs w:val="24"/>
        </w:rPr>
        <w:t xml:space="preserve"> toetuse andmise periood</w:t>
      </w:r>
      <w:r w:rsidRPr="0060121A">
        <w:rPr>
          <w:rFonts w:ascii="Times New Roman" w:hAnsi="Times New Roman" w:cs="Times New Roman"/>
          <w:bCs/>
          <w:sz w:val="24"/>
          <w:szCs w:val="24"/>
        </w:rPr>
        <w:t xml:space="preserve"> käesoleva määruse jõustumisega ja lõpeb hiljemalt 31. oktoobril 2026.</w:t>
      </w:r>
      <w:r>
        <w:rPr>
          <w:rFonts w:ascii="Times New Roman" w:hAnsi="Times New Roman" w:cs="Times New Roman"/>
          <w:bCs/>
          <w:sz w:val="24"/>
          <w:szCs w:val="24"/>
        </w:rPr>
        <w:t xml:space="preserve"> Eriregulatsioon on vajalik seetõttu, et määruse eelduslik jõustumine jääb kalendriaasta lõppu ning pakutud </w:t>
      </w:r>
      <w:r>
        <w:rPr>
          <w:rFonts w:ascii="Times New Roman" w:hAnsi="Times New Roman" w:cs="Times New Roman"/>
          <w:bCs/>
          <w:sz w:val="24"/>
          <w:szCs w:val="24"/>
        </w:rPr>
        <w:lastRenderedPageBreak/>
        <w:t>sõnastuses annab see võimaluse teha vajalikke toiminguid ja rahastada toetatavaid tegevusi nii 2025. kui 2026. aastal.</w:t>
      </w:r>
    </w:p>
    <w:p w14:paraId="2905ED36" w14:textId="1AAA7216" w:rsidR="00D61C05" w:rsidRDefault="00D61C05" w:rsidP="00D61C05">
      <w:pPr>
        <w:tabs>
          <w:tab w:val="left" w:pos="541"/>
          <w:tab w:val="left" w:pos="2799"/>
        </w:tabs>
        <w:spacing w:line="276" w:lineRule="auto"/>
        <w:jc w:val="both"/>
        <w:rPr>
          <w:rFonts w:ascii="Times New Roman" w:hAnsi="Times New Roman" w:cs="Times New Roman"/>
          <w:bCs/>
          <w:sz w:val="24"/>
          <w:szCs w:val="24"/>
        </w:rPr>
      </w:pPr>
      <w:r w:rsidRPr="00D61C05">
        <w:rPr>
          <w:rFonts w:ascii="Times New Roman" w:hAnsi="Times New Roman" w:cs="Times New Roman"/>
          <w:bCs/>
          <w:sz w:val="24"/>
          <w:szCs w:val="24"/>
          <w:u w:val="single"/>
        </w:rPr>
        <w:t xml:space="preserve">Lõike </w:t>
      </w:r>
      <w:r w:rsidR="0060121A">
        <w:rPr>
          <w:rFonts w:ascii="Times New Roman" w:hAnsi="Times New Roman" w:cs="Times New Roman"/>
          <w:bCs/>
          <w:sz w:val="24"/>
          <w:szCs w:val="24"/>
          <w:u w:val="single"/>
        </w:rPr>
        <w:t>2</w:t>
      </w:r>
      <w:r w:rsidRPr="00D61C05">
        <w:rPr>
          <w:rFonts w:ascii="Times New Roman" w:hAnsi="Times New Roman" w:cs="Times New Roman"/>
          <w:bCs/>
          <w:sz w:val="24"/>
          <w:szCs w:val="24"/>
        </w:rPr>
        <w:t xml:space="preserve"> kohaselt on abikõlblikkuse periood ajavahemik, mille kestel viiakse ellu projekti tegevusi ja tekivad projekti kulud. </w:t>
      </w:r>
    </w:p>
    <w:p w14:paraId="3FF68ED9" w14:textId="6C37E5F3" w:rsidR="00235BC6" w:rsidRDefault="00D61C05" w:rsidP="00D61C05">
      <w:pPr>
        <w:tabs>
          <w:tab w:val="left" w:pos="541"/>
          <w:tab w:val="left" w:pos="2799"/>
        </w:tabs>
        <w:spacing w:line="276" w:lineRule="auto"/>
        <w:jc w:val="both"/>
        <w:rPr>
          <w:rFonts w:ascii="Times New Roman" w:hAnsi="Times New Roman" w:cs="Times New Roman"/>
          <w:bCs/>
          <w:sz w:val="24"/>
          <w:szCs w:val="24"/>
        </w:rPr>
      </w:pPr>
      <w:r w:rsidRPr="00D61C05">
        <w:rPr>
          <w:rFonts w:ascii="Times New Roman" w:hAnsi="Times New Roman" w:cs="Times New Roman"/>
          <w:bCs/>
          <w:sz w:val="24"/>
          <w:szCs w:val="24"/>
          <w:u w:val="single"/>
        </w:rPr>
        <w:t xml:space="preserve">Lõike </w:t>
      </w:r>
      <w:r w:rsidR="0060121A">
        <w:rPr>
          <w:rFonts w:ascii="Times New Roman" w:hAnsi="Times New Roman" w:cs="Times New Roman"/>
          <w:bCs/>
          <w:sz w:val="24"/>
          <w:szCs w:val="24"/>
          <w:u w:val="single"/>
        </w:rPr>
        <w:t>3</w:t>
      </w:r>
      <w:r w:rsidRPr="00D61C05">
        <w:rPr>
          <w:rFonts w:ascii="Times New Roman" w:hAnsi="Times New Roman" w:cs="Times New Roman"/>
          <w:bCs/>
          <w:sz w:val="24"/>
          <w:szCs w:val="24"/>
        </w:rPr>
        <w:t xml:space="preserve"> kohaselt </w:t>
      </w:r>
      <w:r w:rsidR="00CA509F">
        <w:rPr>
          <w:rFonts w:ascii="Times New Roman" w:hAnsi="Times New Roman" w:cs="Times New Roman"/>
          <w:bCs/>
          <w:sz w:val="24"/>
          <w:szCs w:val="24"/>
        </w:rPr>
        <w:t>on</w:t>
      </w:r>
      <w:r w:rsidR="00CA509F" w:rsidRPr="00CA509F">
        <w:rPr>
          <w:rFonts w:ascii="Times New Roman" w:hAnsi="Times New Roman" w:cs="Times New Roman"/>
          <w:bCs/>
          <w:sz w:val="24"/>
          <w:szCs w:val="24"/>
        </w:rPr>
        <w:t xml:space="preserve"> kodanikuühiskonda arendavate suursündmuste taotlusvooru abikõlblikkuse periood taotlusvooru väljakuulutamise kalendriaasta</w:t>
      </w:r>
      <w:r w:rsidR="00CA509F">
        <w:rPr>
          <w:rFonts w:ascii="Times New Roman" w:hAnsi="Times New Roman" w:cs="Times New Roman"/>
          <w:bCs/>
          <w:sz w:val="24"/>
          <w:szCs w:val="24"/>
        </w:rPr>
        <w:t xml:space="preserve"> elik 1. jaanuar kuni 31. detsember</w:t>
      </w:r>
      <w:r w:rsidR="00CA509F" w:rsidRPr="00CA509F">
        <w:rPr>
          <w:rFonts w:ascii="Times New Roman" w:hAnsi="Times New Roman" w:cs="Times New Roman"/>
          <w:bCs/>
          <w:sz w:val="24"/>
          <w:szCs w:val="24"/>
        </w:rPr>
        <w:t xml:space="preserve">. See tähendab, et toetust saab kasutada ainult selles kalendriaastas toimuvate sündmuste korraldamiseks, </w:t>
      </w:r>
      <w:r w:rsidR="00CA509F">
        <w:rPr>
          <w:rFonts w:ascii="Times New Roman" w:hAnsi="Times New Roman" w:cs="Times New Roman"/>
          <w:bCs/>
          <w:sz w:val="24"/>
          <w:szCs w:val="24"/>
        </w:rPr>
        <w:t xml:space="preserve">sealhulgas juba toimunud suursündmuseks, </w:t>
      </w:r>
      <w:r w:rsidR="00CA509F" w:rsidRPr="00CA509F">
        <w:rPr>
          <w:rFonts w:ascii="Times New Roman" w:hAnsi="Times New Roman" w:cs="Times New Roman"/>
          <w:bCs/>
          <w:sz w:val="24"/>
          <w:szCs w:val="24"/>
        </w:rPr>
        <w:t>tagades vahendite ajakohase ja sihipärase kasutamise.</w:t>
      </w:r>
      <w:r w:rsidR="0060121A">
        <w:rPr>
          <w:rFonts w:ascii="Times New Roman" w:hAnsi="Times New Roman" w:cs="Times New Roman"/>
          <w:bCs/>
          <w:sz w:val="24"/>
          <w:szCs w:val="24"/>
        </w:rPr>
        <w:t xml:space="preserve"> Lõikes olev eriregulatsioon võimaldab tagasiulatuvalt toetada ka neid tegevusi, mis </w:t>
      </w:r>
      <w:r w:rsidR="00F5589F">
        <w:rPr>
          <w:rFonts w:ascii="Times New Roman" w:hAnsi="Times New Roman" w:cs="Times New Roman"/>
          <w:bCs/>
          <w:sz w:val="24"/>
          <w:szCs w:val="24"/>
        </w:rPr>
        <w:t xml:space="preserve">on ellu viidud alates </w:t>
      </w:r>
      <w:r w:rsidR="0060121A" w:rsidRPr="0060121A">
        <w:rPr>
          <w:rFonts w:ascii="Times New Roman" w:hAnsi="Times New Roman" w:cs="Times New Roman"/>
          <w:bCs/>
          <w:sz w:val="24"/>
          <w:szCs w:val="24"/>
        </w:rPr>
        <w:t xml:space="preserve"> 1. jaanuarist 2025.</w:t>
      </w:r>
    </w:p>
    <w:p w14:paraId="15BC357A" w14:textId="0F1B0DDB" w:rsidR="00235BC6" w:rsidRPr="00B772DB" w:rsidRDefault="00D61C05" w:rsidP="00235BC6">
      <w:pPr>
        <w:spacing w:after="0" w:line="276" w:lineRule="auto"/>
        <w:jc w:val="both"/>
        <w:rPr>
          <w:rFonts w:ascii="Times New Roman" w:hAnsi="Times New Roman" w:cs="Times New Roman"/>
          <w:bCs/>
          <w:sz w:val="24"/>
          <w:szCs w:val="24"/>
        </w:rPr>
      </w:pPr>
      <w:r w:rsidRPr="00D61C05">
        <w:rPr>
          <w:rFonts w:ascii="Times New Roman" w:hAnsi="Times New Roman" w:cs="Times New Roman"/>
          <w:bCs/>
          <w:sz w:val="24"/>
          <w:szCs w:val="24"/>
          <w:u w:val="single"/>
        </w:rPr>
        <w:t>Lõi</w:t>
      </w:r>
      <w:r w:rsidR="000A6B73">
        <w:rPr>
          <w:rFonts w:ascii="Times New Roman" w:hAnsi="Times New Roman" w:cs="Times New Roman"/>
          <w:bCs/>
          <w:sz w:val="24"/>
          <w:szCs w:val="24"/>
          <w:u w:val="single"/>
        </w:rPr>
        <w:t>g</w:t>
      </w:r>
      <w:r w:rsidRPr="00D61C05">
        <w:rPr>
          <w:rFonts w:ascii="Times New Roman" w:hAnsi="Times New Roman" w:cs="Times New Roman"/>
          <w:bCs/>
          <w:sz w:val="24"/>
          <w:szCs w:val="24"/>
          <w:u w:val="single"/>
        </w:rPr>
        <w:t>e</w:t>
      </w:r>
      <w:r w:rsidR="000A6B73">
        <w:rPr>
          <w:rFonts w:ascii="Times New Roman" w:hAnsi="Times New Roman" w:cs="Times New Roman"/>
          <w:bCs/>
          <w:sz w:val="24"/>
          <w:szCs w:val="24"/>
          <w:u w:val="single"/>
        </w:rPr>
        <w:t>te</w:t>
      </w:r>
      <w:r w:rsidRPr="00D61C05">
        <w:rPr>
          <w:rFonts w:ascii="Times New Roman" w:hAnsi="Times New Roman" w:cs="Times New Roman"/>
          <w:bCs/>
          <w:sz w:val="24"/>
          <w:szCs w:val="24"/>
          <w:u w:val="single"/>
        </w:rPr>
        <w:t xml:space="preserve"> </w:t>
      </w:r>
      <w:r w:rsidR="00F5589F">
        <w:rPr>
          <w:rFonts w:ascii="Times New Roman" w:hAnsi="Times New Roman" w:cs="Times New Roman"/>
          <w:bCs/>
          <w:sz w:val="24"/>
          <w:szCs w:val="24"/>
          <w:u w:val="single"/>
        </w:rPr>
        <w:t>4</w:t>
      </w:r>
      <w:r w:rsidR="000A6B73">
        <w:rPr>
          <w:rFonts w:ascii="Times New Roman" w:hAnsi="Times New Roman" w:cs="Times New Roman"/>
          <w:bCs/>
          <w:sz w:val="24"/>
          <w:szCs w:val="24"/>
          <w:u w:val="single"/>
        </w:rPr>
        <w:t xml:space="preserve"> ja </w:t>
      </w:r>
      <w:r w:rsidR="00F5589F">
        <w:rPr>
          <w:rFonts w:ascii="Times New Roman" w:hAnsi="Times New Roman" w:cs="Times New Roman"/>
          <w:bCs/>
          <w:sz w:val="24"/>
          <w:szCs w:val="24"/>
          <w:u w:val="single"/>
        </w:rPr>
        <w:t>5</w:t>
      </w:r>
      <w:r w:rsidRPr="00D61C05">
        <w:rPr>
          <w:rFonts w:ascii="Times New Roman" w:hAnsi="Times New Roman" w:cs="Times New Roman"/>
          <w:bCs/>
          <w:sz w:val="24"/>
          <w:szCs w:val="24"/>
        </w:rPr>
        <w:t xml:space="preserve"> järgi on perioodi pikendamine võimalik vaid põhjendatud juhtudel, mis võimaldab arvestada erandlike olukordadega, kuid hoiab samas ära põhjendamatud viivitused projektide elluviimisel.</w:t>
      </w:r>
      <w:r w:rsidR="00235BC6">
        <w:rPr>
          <w:rFonts w:ascii="Times New Roman" w:hAnsi="Times New Roman" w:cs="Times New Roman"/>
          <w:bCs/>
          <w:sz w:val="24"/>
          <w:szCs w:val="24"/>
        </w:rPr>
        <w:t xml:space="preserve"> </w:t>
      </w:r>
      <w:r w:rsidR="00235BC6" w:rsidRPr="00B772DB">
        <w:rPr>
          <w:rFonts w:ascii="Times New Roman" w:hAnsi="Times New Roman" w:cs="Times New Roman"/>
          <w:bCs/>
          <w:sz w:val="24"/>
          <w:szCs w:val="24"/>
        </w:rPr>
        <w:t>Sätte eesmärk on pakkuda paindlikkust olukordades, kus projekti elluviimisel tekivad ootamatud ja toetuse saajast sõltumatud viivitused, nagu:</w:t>
      </w:r>
    </w:p>
    <w:p w14:paraId="705C5465" w14:textId="77777777" w:rsidR="00235BC6" w:rsidRPr="00B772DB" w:rsidRDefault="00235BC6" w:rsidP="00235BC6">
      <w:pPr>
        <w:numPr>
          <w:ilvl w:val="0"/>
          <w:numId w:val="26"/>
        </w:numPr>
        <w:spacing w:after="0" w:line="276" w:lineRule="auto"/>
        <w:jc w:val="both"/>
        <w:rPr>
          <w:rFonts w:ascii="Times New Roman" w:hAnsi="Times New Roman" w:cs="Times New Roman"/>
          <w:bCs/>
          <w:sz w:val="24"/>
          <w:szCs w:val="24"/>
        </w:rPr>
      </w:pPr>
      <w:r w:rsidRPr="00B772DB">
        <w:rPr>
          <w:rFonts w:ascii="Times New Roman" w:hAnsi="Times New Roman" w:cs="Times New Roman"/>
          <w:bCs/>
          <w:sz w:val="24"/>
          <w:szCs w:val="24"/>
        </w:rPr>
        <w:t>loodusõnnetused või muud ettenägematud takistused;</w:t>
      </w:r>
    </w:p>
    <w:p w14:paraId="211EA70C" w14:textId="77777777" w:rsidR="00235BC6" w:rsidRPr="00B772DB" w:rsidRDefault="00235BC6" w:rsidP="00235BC6">
      <w:pPr>
        <w:numPr>
          <w:ilvl w:val="0"/>
          <w:numId w:val="26"/>
        </w:numPr>
        <w:spacing w:after="0" w:line="276" w:lineRule="auto"/>
        <w:jc w:val="both"/>
        <w:rPr>
          <w:rFonts w:ascii="Times New Roman" w:hAnsi="Times New Roman" w:cs="Times New Roman"/>
          <w:bCs/>
          <w:sz w:val="24"/>
          <w:szCs w:val="24"/>
        </w:rPr>
      </w:pPr>
      <w:r w:rsidRPr="00B772DB">
        <w:rPr>
          <w:rFonts w:ascii="Times New Roman" w:hAnsi="Times New Roman" w:cs="Times New Roman"/>
          <w:bCs/>
          <w:sz w:val="24"/>
          <w:szCs w:val="24"/>
        </w:rPr>
        <w:t>viivitused koostööpartnerite poolt;</w:t>
      </w:r>
    </w:p>
    <w:p w14:paraId="2FFB30AE" w14:textId="77777777" w:rsidR="00235BC6" w:rsidRPr="00B772DB" w:rsidRDefault="00235BC6" w:rsidP="00235BC6">
      <w:pPr>
        <w:numPr>
          <w:ilvl w:val="0"/>
          <w:numId w:val="26"/>
        </w:num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sellised </w:t>
      </w:r>
      <w:r w:rsidRPr="00B772DB">
        <w:rPr>
          <w:rFonts w:ascii="Times New Roman" w:hAnsi="Times New Roman" w:cs="Times New Roman"/>
          <w:bCs/>
          <w:sz w:val="24"/>
          <w:szCs w:val="24"/>
        </w:rPr>
        <w:t>olulised muudatused projekti elluviimise tingimustes, mida ei olnud võimalik ette näha.</w:t>
      </w:r>
    </w:p>
    <w:p w14:paraId="52875B53" w14:textId="15E91A0E" w:rsidR="00235BC6" w:rsidRDefault="00235BC6" w:rsidP="00235BC6">
      <w:pPr>
        <w:spacing w:after="0" w:line="276" w:lineRule="auto"/>
        <w:jc w:val="both"/>
        <w:rPr>
          <w:rFonts w:ascii="Times New Roman" w:hAnsi="Times New Roman" w:cs="Times New Roman"/>
          <w:bCs/>
          <w:sz w:val="24"/>
          <w:szCs w:val="24"/>
        </w:rPr>
      </w:pPr>
      <w:r w:rsidRPr="00B772DB">
        <w:rPr>
          <w:rFonts w:ascii="Times New Roman" w:hAnsi="Times New Roman" w:cs="Times New Roman"/>
          <w:bCs/>
          <w:sz w:val="24"/>
          <w:szCs w:val="24"/>
        </w:rPr>
        <w:t>Pikendamise taotlemisel tuleb esitada selged põhjendused ja tõendid viivituste kohta ning näidata, kuidas projekti eesmärgid on võimalik siiski saavutada. See aitab tagada, et toetuse kasutamine on läbipaistev, põhjendatud ja sihipärane.</w:t>
      </w:r>
    </w:p>
    <w:p w14:paraId="2F3727BE" w14:textId="77777777" w:rsidR="000A6B73" w:rsidRDefault="000A6B73" w:rsidP="00235BC6">
      <w:pPr>
        <w:spacing w:after="0" w:line="276" w:lineRule="auto"/>
        <w:jc w:val="both"/>
        <w:rPr>
          <w:rFonts w:ascii="Times New Roman" w:hAnsi="Times New Roman" w:cs="Times New Roman"/>
          <w:bCs/>
          <w:sz w:val="24"/>
          <w:szCs w:val="24"/>
        </w:rPr>
      </w:pPr>
    </w:p>
    <w:p w14:paraId="7A81867A" w14:textId="7B042C56" w:rsidR="000A6B73" w:rsidRDefault="000A6B73" w:rsidP="00235BC6">
      <w:pPr>
        <w:spacing w:after="0" w:line="276" w:lineRule="auto"/>
        <w:jc w:val="both"/>
        <w:rPr>
          <w:rFonts w:ascii="Times New Roman" w:hAnsi="Times New Roman" w:cs="Times New Roman"/>
          <w:bCs/>
          <w:sz w:val="24"/>
          <w:szCs w:val="24"/>
        </w:rPr>
      </w:pPr>
      <w:r w:rsidRPr="000A6B73">
        <w:rPr>
          <w:rFonts w:ascii="Times New Roman" w:hAnsi="Times New Roman" w:cs="Times New Roman"/>
          <w:bCs/>
          <w:sz w:val="24"/>
          <w:szCs w:val="24"/>
          <w:u w:val="single"/>
        </w:rPr>
        <w:t xml:space="preserve">Lõiked </w:t>
      </w:r>
      <w:r w:rsidR="00F5589F">
        <w:rPr>
          <w:rFonts w:ascii="Times New Roman" w:hAnsi="Times New Roman" w:cs="Times New Roman"/>
          <w:bCs/>
          <w:sz w:val="24"/>
          <w:szCs w:val="24"/>
          <w:u w:val="single"/>
        </w:rPr>
        <w:t>6</w:t>
      </w:r>
      <w:r w:rsidRPr="000A6B73">
        <w:rPr>
          <w:rFonts w:ascii="Times New Roman" w:hAnsi="Times New Roman" w:cs="Times New Roman"/>
          <w:bCs/>
          <w:sz w:val="24"/>
          <w:szCs w:val="24"/>
          <w:u w:val="single"/>
        </w:rPr>
        <w:t>–</w:t>
      </w:r>
      <w:r w:rsidR="00F5589F">
        <w:rPr>
          <w:rFonts w:ascii="Times New Roman" w:hAnsi="Times New Roman" w:cs="Times New Roman"/>
          <w:bCs/>
          <w:sz w:val="24"/>
          <w:szCs w:val="24"/>
          <w:u w:val="single"/>
        </w:rPr>
        <w:t>9</w:t>
      </w:r>
      <w:r w:rsidRPr="000A6B73">
        <w:rPr>
          <w:rFonts w:ascii="Times New Roman" w:hAnsi="Times New Roman" w:cs="Times New Roman"/>
          <w:bCs/>
          <w:sz w:val="24"/>
          <w:szCs w:val="24"/>
        </w:rPr>
        <w:t xml:space="preserve"> käsitlevad projekti abikõlblikkuse perioodi haldamist. </w:t>
      </w:r>
      <w:r w:rsidRPr="000A6B73">
        <w:rPr>
          <w:rFonts w:ascii="Times New Roman" w:hAnsi="Times New Roman" w:cs="Times New Roman"/>
          <w:bCs/>
          <w:sz w:val="24"/>
          <w:szCs w:val="24"/>
          <w:u w:val="single"/>
        </w:rPr>
        <w:t xml:space="preserve">Lõike </w:t>
      </w:r>
      <w:r w:rsidR="00F5589F">
        <w:rPr>
          <w:rFonts w:ascii="Times New Roman" w:hAnsi="Times New Roman" w:cs="Times New Roman"/>
          <w:bCs/>
          <w:sz w:val="24"/>
          <w:szCs w:val="24"/>
          <w:u w:val="single"/>
        </w:rPr>
        <w:t>6</w:t>
      </w:r>
      <w:r w:rsidRPr="000A6B73">
        <w:rPr>
          <w:rFonts w:ascii="Times New Roman" w:hAnsi="Times New Roman" w:cs="Times New Roman"/>
          <w:bCs/>
          <w:sz w:val="24"/>
          <w:szCs w:val="24"/>
        </w:rPr>
        <w:t xml:space="preserve"> kohaselt peab taotleja esindusõiguslik isik esitama projekti abikõlblikkuse perioodi pikendamise taotluse taotluste menetlemise infosüsteemi (TMS) kaudu. </w:t>
      </w:r>
      <w:r w:rsidRPr="000A6B73">
        <w:rPr>
          <w:rFonts w:ascii="Times New Roman" w:hAnsi="Times New Roman" w:cs="Times New Roman"/>
          <w:bCs/>
          <w:sz w:val="24"/>
          <w:szCs w:val="24"/>
          <w:u w:val="single"/>
        </w:rPr>
        <w:t xml:space="preserve">Lõike </w:t>
      </w:r>
      <w:r w:rsidR="00607764">
        <w:rPr>
          <w:rFonts w:ascii="Times New Roman" w:hAnsi="Times New Roman" w:cs="Times New Roman"/>
          <w:bCs/>
          <w:sz w:val="24"/>
          <w:szCs w:val="24"/>
          <w:u w:val="single"/>
        </w:rPr>
        <w:t>7</w:t>
      </w:r>
      <w:r w:rsidRPr="000A6B73">
        <w:rPr>
          <w:rFonts w:ascii="Times New Roman" w:hAnsi="Times New Roman" w:cs="Times New Roman"/>
          <w:bCs/>
          <w:sz w:val="24"/>
          <w:szCs w:val="24"/>
        </w:rPr>
        <w:t xml:space="preserve"> järgi teavitab toetuse andja toetuse saajat kümne tööpäeva jooksul TMS-i kaudu taotluse rahuldamisest või mitterahuldamisest. </w:t>
      </w:r>
      <w:r w:rsidRPr="000A6B73">
        <w:rPr>
          <w:rFonts w:ascii="Times New Roman" w:hAnsi="Times New Roman" w:cs="Times New Roman"/>
          <w:bCs/>
          <w:sz w:val="24"/>
          <w:szCs w:val="24"/>
          <w:u w:val="single"/>
        </w:rPr>
        <w:t>Lõi</w:t>
      </w:r>
      <w:r>
        <w:rPr>
          <w:rFonts w:ascii="Times New Roman" w:hAnsi="Times New Roman" w:cs="Times New Roman"/>
          <w:bCs/>
          <w:sz w:val="24"/>
          <w:szCs w:val="24"/>
          <w:u w:val="single"/>
        </w:rPr>
        <w:t>g</w:t>
      </w:r>
      <w:r w:rsidRPr="000A6B73">
        <w:rPr>
          <w:rFonts w:ascii="Times New Roman" w:hAnsi="Times New Roman" w:cs="Times New Roman"/>
          <w:bCs/>
          <w:sz w:val="24"/>
          <w:szCs w:val="24"/>
          <w:u w:val="single"/>
        </w:rPr>
        <w:t xml:space="preserve">e </w:t>
      </w:r>
      <w:r w:rsidR="00F5589F">
        <w:rPr>
          <w:rFonts w:ascii="Times New Roman" w:hAnsi="Times New Roman" w:cs="Times New Roman"/>
          <w:bCs/>
          <w:sz w:val="24"/>
          <w:szCs w:val="24"/>
          <w:u w:val="single"/>
        </w:rPr>
        <w:t>8</w:t>
      </w:r>
      <w:r w:rsidRPr="000A6B73">
        <w:rPr>
          <w:rFonts w:ascii="Times New Roman" w:hAnsi="Times New Roman" w:cs="Times New Roman"/>
          <w:bCs/>
          <w:sz w:val="24"/>
          <w:szCs w:val="24"/>
        </w:rPr>
        <w:t xml:space="preserve"> sätestab, et rahuldatud taotluse korral loetakse projekti abikõlblikkuse perioodi lõppkuupäevaks muudatustaotluses määratud kuupäev. </w:t>
      </w:r>
      <w:r w:rsidRPr="000A6B73">
        <w:rPr>
          <w:rFonts w:ascii="Times New Roman" w:hAnsi="Times New Roman" w:cs="Times New Roman"/>
          <w:bCs/>
          <w:sz w:val="24"/>
          <w:szCs w:val="24"/>
          <w:u w:val="single"/>
        </w:rPr>
        <w:t xml:space="preserve">Lõike </w:t>
      </w:r>
      <w:r w:rsidR="00F5589F">
        <w:rPr>
          <w:rFonts w:ascii="Times New Roman" w:hAnsi="Times New Roman" w:cs="Times New Roman"/>
          <w:bCs/>
          <w:sz w:val="24"/>
          <w:szCs w:val="24"/>
          <w:u w:val="single"/>
        </w:rPr>
        <w:t>9</w:t>
      </w:r>
      <w:r w:rsidRPr="000A6B73">
        <w:rPr>
          <w:rFonts w:ascii="Times New Roman" w:hAnsi="Times New Roman" w:cs="Times New Roman"/>
          <w:bCs/>
          <w:sz w:val="24"/>
          <w:szCs w:val="24"/>
        </w:rPr>
        <w:t xml:space="preserve"> kohaselt loetakse projekt lõppenuks pärast lõpparuande kinnitamist ning toetuse saaja teavitatakse sellest TMS-i kaudu. See tagab selguse projekti kestuse haldamisel </w:t>
      </w:r>
      <w:r w:rsidR="00B22163">
        <w:rPr>
          <w:rFonts w:ascii="Times New Roman" w:hAnsi="Times New Roman" w:cs="Times New Roman"/>
          <w:bCs/>
          <w:sz w:val="24"/>
          <w:szCs w:val="24"/>
        </w:rPr>
        <w:t>ning</w:t>
      </w:r>
      <w:r w:rsidRPr="000A6B73">
        <w:rPr>
          <w:rFonts w:ascii="Times New Roman" w:hAnsi="Times New Roman" w:cs="Times New Roman"/>
          <w:bCs/>
          <w:sz w:val="24"/>
          <w:szCs w:val="24"/>
        </w:rPr>
        <w:t xml:space="preserve"> õiguste </w:t>
      </w:r>
      <w:r w:rsidR="00B22163">
        <w:rPr>
          <w:rFonts w:ascii="Times New Roman" w:hAnsi="Times New Roman" w:cs="Times New Roman"/>
          <w:bCs/>
          <w:sz w:val="24"/>
          <w:szCs w:val="24"/>
        </w:rPr>
        <w:t>ja</w:t>
      </w:r>
      <w:r w:rsidRPr="000A6B73">
        <w:rPr>
          <w:rFonts w:ascii="Times New Roman" w:hAnsi="Times New Roman" w:cs="Times New Roman"/>
          <w:bCs/>
          <w:sz w:val="24"/>
          <w:szCs w:val="24"/>
        </w:rPr>
        <w:t xml:space="preserve"> kohustuste jälgitavuse.</w:t>
      </w:r>
    </w:p>
    <w:p w14:paraId="05820942" w14:textId="77777777" w:rsidR="007131FD" w:rsidRDefault="00D61C05" w:rsidP="00E9607B">
      <w:pPr>
        <w:tabs>
          <w:tab w:val="left" w:pos="541"/>
          <w:tab w:val="left" w:pos="2799"/>
        </w:tabs>
        <w:spacing w:line="276" w:lineRule="auto"/>
        <w:jc w:val="both"/>
        <w:rPr>
          <w:rFonts w:ascii="Times New Roman" w:hAnsi="Times New Roman" w:cs="Times New Roman"/>
          <w:bCs/>
          <w:sz w:val="24"/>
          <w:szCs w:val="24"/>
        </w:rPr>
      </w:pPr>
      <w:r w:rsidRPr="00D61C05">
        <w:rPr>
          <w:rFonts w:ascii="Times New Roman" w:hAnsi="Times New Roman" w:cs="Times New Roman"/>
          <w:bCs/>
          <w:sz w:val="24"/>
          <w:szCs w:val="24"/>
        </w:rPr>
        <w:br/>
      </w:r>
      <w:r w:rsidRPr="00D61C05">
        <w:rPr>
          <w:rFonts w:ascii="Times New Roman" w:hAnsi="Times New Roman" w:cs="Times New Roman"/>
          <w:b/>
          <w:sz w:val="24"/>
          <w:szCs w:val="24"/>
        </w:rPr>
        <w:t>Paragrahviga 8</w:t>
      </w:r>
      <w:r w:rsidRPr="00D61C05">
        <w:rPr>
          <w:rFonts w:ascii="Times New Roman" w:hAnsi="Times New Roman" w:cs="Times New Roman"/>
          <w:bCs/>
          <w:sz w:val="24"/>
          <w:szCs w:val="24"/>
        </w:rPr>
        <w:t xml:space="preserve"> </w:t>
      </w:r>
      <w:r w:rsidR="007131FD">
        <w:rPr>
          <w:rFonts w:ascii="Times New Roman" w:hAnsi="Times New Roman" w:cs="Times New Roman"/>
          <w:bCs/>
          <w:sz w:val="24"/>
          <w:szCs w:val="24"/>
        </w:rPr>
        <w:t xml:space="preserve">reguleeritakse </w:t>
      </w:r>
      <w:r w:rsidRPr="00D61C05">
        <w:rPr>
          <w:rFonts w:ascii="Times New Roman" w:hAnsi="Times New Roman" w:cs="Times New Roman"/>
          <w:bCs/>
          <w:sz w:val="24"/>
          <w:szCs w:val="24"/>
        </w:rPr>
        <w:t xml:space="preserve">taotlusvooru eelarve ja toetuse piirmäär. </w:t>
      </w:r>
    </w:p>
    <w:p w14:paraId="5794FEA6" w14:textId="77777777" w:rsidR="007131FD" w:rsidRDefault="00D61C05" w:rsidP="00E9607B">
      <w:pPr>
        <w:tabs>
          <w:tab w:val="left" w:pos="541"/>
          <w:tab w:val="left" w:pos="2799"/>
        </w:tabs>
        <w:spacing w:line="276" w:lineRule="auto"/>
        <w:jc w:val="both"/>
        <w:rPr>
          <w:rFonts w:ascii="Times New Roman" w:hAnsi="Times New Roman" w:cs="Times New Roman"/>
          <w:bCs/>
          <w:sz w:val="24"/>
          <w:szCs w:val="24"/>
        </w:rPr>
      </w:pPr>
      <w:r w:rsidRPr="00D61C05">
        <w:rPr>
          <w:rFonts w:ascii="Times New Roman" w:hAnsi="Times New Roman" w:cs="Times New Roman"/>
          <w:bCs/>
          <w:sz w:val="24"/>
          <w:szCs w:val="24"/>
          <w:u w:val="single"/>
        </w:rPr>
        <w:t>Lõike 1</w:t>
      </w:r>
      <w:r w:rsidRPr="00D61C05">
        <w:rPr>
          <w:rFonts w:ascii="Times New Roman" w:hAnsi="Times New Roman" w:cs="Times New Roman"/>
          <w:bCs/>
          <w:sz w:val="24"/>
          <w:szCs w:val="24"/>
        </w:rPr>
        <w:t xml:space="preserve"> kohaselt kujuneb taotlusvooru eelarve riigieelarvest sihtotstarbeliselt eraldatud vahendite alusel konkreetse kalendriaasta kohta. </w:t>
      </w:r>
    </w:p>
    <w:p w14:paraId="2AAF8F7C" w14:textId="77777777" w:rsidR="0039116E" w:rsidRDefault="0039116E" w:rsidP="009612B2">
      <w:pPr>
        <w:pStyle w:val="Default"/>
        <w:spacing w:line="276" w:lineRule="auto"/>
        <w:jc w:val="both"/>
        <w:rPr>
          <w:bCs/>
          <w:color w:val="auto"/>
          <w:kern w:val="2"/>
          <w14:ligatures w14:val="standardContextual"/>
        </w:rPr>
      </w:pPr>
      <w:r w:rsidRPr="0039116E">
        <w:rPr>
          <w:bCs/>
          <w:color w:val="auto"/>
          <w:kern w:val="2"/>
          <w:u w:val="single"/>
          <w14:ligatures w14:val="standardContextual"/>
        </w:rPr>
        <w:t>Lõi</w:t>
      </w:r>
      <w:r>
        <w:rPr>
          <w:bCs/>
          <w:color w:val="auto"/>
          <w:kern w:val="2"/>
          <w:u w:val="single"/>
          <w14:ligatures w14:val="standardContextual"/>
        </w:rPr>
        <w:t>g</w:t>
      </w:r>
      <w:r w:rsidRPr="0039116E">
        <w:rPr>
          <w:bCs/>
          <w:color w:val="auto"/>
          <w:kern w:val="2"/>
          <w:u w:val="single"/>
          <w14:ligatures w14:val="standardContextual"/>
        </w:rPr>
        <w:t>e 2</w:t>
      </w:r>
      <w:r w:rsidRPr="0039116E">
        <w:rPr>
          <w:bCs/>
          <w:color w:val="auto"/>
          <w:kern w:val="2"/>
          <w14:ligatures w14:val="standardContextual"/>
        </w:rPr>
        <w:t xml:space="preserve"> sätestab, et kalendriaastaks eraldatud eelarvest toetatakse 50% ulatuses varasemalt vähemalt kahel korral toimunud suursündmusi ja 50% ulatuses uute sündmuste algatamist ja elluviimist. See tagab tasakaalu juba tõendatud mõju ja innovaatiliste ideede vahel. </w:t>
      </w:r>
    </w:p>
    <w:p w14:paraId="6F278C5A" w14:textId="77777777" w:rsidR="0039116E" w:rsidRDefault="0039116E" w:rsidP="009612B2">
      <w:pPr>
        <w:pStyle w:val="Default"/>
        <w:spacing w:line="276" w:lineRule="auto"/>
        <w:jc w:val="both"/>
        <w:rPr>
          <w:bCs/>
          <w:color w:val="auto"/>
          <w:kern w:val="2"/>
          <w14:ligatures w14:val="standardContextual"/>
        </w:rPr>
      </w:pPr>
    </w:p>
    <w:p w14:paraId="3200AAD3" w14:textId="2C205347" w:rsidR="0039116E" w:rsidRPr="0039116E" w:rsidRDefault="0039116E" w:rsidP="009612B2">
      <w:pPr>
        <w:pStyle w:val="Default"/>
        <w:spacing w:line="276" w:lineRule="auto"/>
        <w:jc w:val="both"/>
        <w:rPr>
          <w:bCs/>
          <w:color w:val="auto"/>
          <w:kern w:val="2"/>
          <w14:ligatures w14:val="standardContextual"/>
        </w:rPr>
      </w:pPr>
      <w:r w:rsidRPr="0039116E">
        <w:rPr>
          <w:bCs/>
          <w:color w:val="auto"/>
          <w:kern w:val="2"/>
          <w:u w:val="single"/>
          <w14:ligatures w14:val="standardContextual"/>
        </w:rPr>
        <w:t>Lõike 3</w:t>
      </w:r>
      <w:r w:rsidRPr="0039116E">
        <w:rPr>
          <w:bCs/>
          <w:color w:val="auto"/>
          <w:kern w:val="2"/>
          <w14:ligatures w14:val="standardContextual"/>
        </w:rPr>
        <w:t xml:space="preserve"> kohaselt on ühe taotluse toetuse ülemmäär 25 000 eurot, kuid mitte rohkem kui 50% sündmuse kogueelarvest. See piiritleb maksimaalse rahastuse ulatuse, tagab vahendite proportsionaalse jaotuse ning motiveerib sündmuste efektiivset ja sihipärast korraldamist.</w:t>
      </w:r>
    </w:p>
    <w:p w14:paraId="294CEEE3" w14:textId="77777777" w:rsidR="0039116E" w:rsidRDefault="0039116E" w:rsidP="009612B2">
      <w:pPr>
        <w:pStyle w:val="Default"/>
        <w:spacing w:line="276" w:lineRule="auto"/>
        <w:jc w:val="both"/>
        <w:rPr>
          <w:bCs/>
          <w:color w:val="auto"/>
          <w:kern w:val="2"/>
          <w:u w:val="single"/>
          <w14:ligatures w14:val="standardContextual"/>
        </w:rPr>
      </w:pPr>
    </w:p>
    <w:p w14:paraId="7E29A000" w14:textId="5EA63505" w:rsidR="009612B2" w:rsidRPr="00706641" w:rsidRDefault="009612B2" w:rsidP="009612B2">
      <w:pPr>
        <w:pStyle w:val="Default"/>
        <w:spacing w:line="276" w:lineRule="auto"/>
        <w:jc w:val="both"/>
        <w:rPr>
          <w:b/>
          <w:bCs/>
          <w:color w:val="auto"/>
        </w:rPr>
      </w:pPr>
      <w:r>
        <w:rPr>
          <w:b/>
          <w:bCs/>
          <w:color w:val="auto"/>
        </w:rPr>
        <w:t>3. peatükk. Nõuded taotlejale ja taotlusele</w:t>
      </w:r>
    </w:p>
    <w:p w14:paraId="1DEC223A" w14:textId="77777777" w:rsidR="009612B2" w:rsidRDefault="009612B2" w:rsidP="009612B2">
      <w:pPr>
        <w:spacing w:after="0" w:line="276" w:lineRule="auto"/>
        <w:jc w:val="both"/>
        <w:rPr>
          <w:rFonts w:ascii="Times New Roman" w:hAnsi="Times New Roman" w:cs="Times New Roman"/>
          <w:bCs/>
          <w:sz w:val="24"/>
          <w:szCs w:val="24"/>
        </w:rPr>
      </w:pPr>
    </w:p>
    <w:p w14:paraId="06E9D939" w14:textId="5DECE6A5" w:rsidR="009612B2" w:rsidRDefault="009612B2" w:rsidP="009612B2">
      <w:pPr>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t>Paragrahviga</w:t>
      </w:r>
      <w:r w:rsidRPr="009F66BE">
        <w:rPr>
          <w:rFonts w:ascii="Times New Roman" w:hAnsi="Times New Roman" w:cs="Times New Roman"/>
          <w:b/>
          <w:bCs/>
          <w:sz w:val="24"/>
          <w:szCs w:val="24"/>
        </w:rPr>
        <w:t xml:space="preserve"> </w:t>
      </w:r>
      <w:r w:rsidR="00983D78">
        <w:rPr>
          <w:rFonts w:ascii="Times New Roman" w:hAnsi="Times New Roman" w:cs="Times New Roman"/>
          <w:b/>
          <w:bCs/>
          <w:sz w:val="24"/>
          <w:szCs w:val="24"/>
        </w:rPr>
        <w:t>9</w:t>
      </w:r>
      <w:r w:rsidRPr="009F66BE">
        <w:rPr>
          <w:rFonts w:ascii="Times New Roman" w:hAnsi="Times New Roman" w:cs="Times New Roman"/>
          <w:b/>
          <w:bCs/>
          <w:sz w:val="24"/>
          <w:szCs w:val="24"/>
        </w:rPr>
        <w:t xml:space="preserve"> </w:t>
      </w:r>
      <w:r w:rsidRPr="009F66BE">
        <w:rPr>
          <w:rFonts w:ascii="Times New Roman" w:hAnsi="Times New Roman" w:cs="Times New Roman"/>
          <w:sz w:val="24"/>
          <w:szCs w:val="24"/>
        </w:rPr>
        <w:t>sätestatakse,</w:t>
      </w:r>
      <w:r>
        <w:rPr>
          <w:rFonts w:ascii="Times New Roman" w:hAnsi="Times New Roman" w:cs="Times New Roman"/>
          <w:sz w:val="24"/>
          <w:szCs w:val="24"/>
        </w:rPr>
        <w:t xml:space="preserve"> kes kvalifitseerub toetuse taotlejaks.</w:t>
      </w:r>
    </w:p>
    <w:p w14:paraId="543F247E" w14:textId="77777777" w:rsidR="009612B2" w:rsidRDefault="009612B2" w:rsidP="009612B2">
      <w:pPr>
        <w:spacing w:after="0" w:line="276" w:lineRule="auto"/>
        <w:jc w:val="both"/>
        <w:rPr>
          <w:rFonts w:ascii="Times New Roman" w:hAnsi="Times New Roman" w:cs="Times New Roman"/>
          <w:sz w:val="24"/>
          <w:szCs w:val="24"/>
        </w:rPr>
      </w:pPr>
    </w:p>
    <w:p w14:paraId="1567C5E0" w14:textId="21BFFF34" w:rsidR="009612B2" w:rsidRDefault="009612B2" w:rsidP="009612B2">
      <w:pPr>
        <w:spacing w:after="0" w:line="276" w:lineRule="auto"/>
        <w:jc w:val="both"/>
        <w:rPr>
          <w:rFonts w:ascii="Times New Roman" w:hAnsi="Times New Roman" w:cs="Times New Roman"/>
          <w:sz w:val="24"/>
          <w:szCs w:val="24"/>
        </w:rPr>
      </w:pPr>
      <w:r w:rsidRPr="009F66BE">
        <w:rPr>
          <w:rFonts w:ascii="Times New Roman" w:hAnsi="Times New Roman" w:cs="Times New Roman"/>
          <w:sz w:val="24"/>
          <w:szCs w:val="24"/>
        </w:rPr>
        <w:t>Toetuse taotlejaks võib olla Eestis registr</w:t>
      </w:r>
      <w:r>
        <w:rPr>
          <w:rFonts w:ascii="Times New Roman" w:hAnsi="Times New Roman" w:cs="Times New Roman"/>
          <w:sz w:val="24"/>
          <w:szCs w:val="24"/>
        </w:rPr>
        <w:t>isse kantud</w:t>
      </w:r>
      <w:r w:rsidRPr="009F66BE">
        <w:rPr>
          <w:rFonts w:ascii="Times New Roman" w:hAnsi="Times New Roman" w:cs="Times New Roman"/>
          <w:sz w:val="24"/>
          <w:szCs w:val="24"/>
        </w:rPr>
        <w:t xml:space="preserve"> mittetulundusühing</w:t>
      </w:r>
      <w:r>
        <w:rPr>
          <w:rFonts w:ascii="Times New Roman" w:hAnsi="Times New Roman" w:cs="Times New Roman"/>
          <w:sz w:val="24"/>
          <w:szCs w:val="24"/>
        </w:rPr>
        <w:t xml:space="preserve"> või sihtasutus, </w:t>
      </w:r>
      <w:r w:rsidRPr="00167896">
        <w:rPr>
          <w:rFonts w:ascii="Times New Roman" w:hAnsi="Times New Roman" w:cs="Times New Roman"/>
          <w:sz w:val="24"/>
          <w:szCs w:val="24"/>
        </w:rPr>
        <w:t>mis ei ole riigi ega kohaliku omavalitsuse, erakonna, äriühingu(te) või nende liidu, ametiühingu või kutseliidu valitseva mõju all</w:t>
      </w:r>
      <w:r>
        <w:rPr>
          <w:rFonts w:ascii="Times New Roman" w:hAnsi="Times New Roman" w:cs="Times New Roman"/>
          <w:sz w:val="24"/>
          <w:szCs w:val="24"/>
        </w:rPr>
        <w:t xml:space="preserve">. Seega on taotlejatena välistatud </w:t>
      </w:r>
      <w:r w:rsidR="00983D78">
        <w:rPr>
          <w:rFonts w:ascii="Times New Roman" w:hAnsi="Times New Roman" w:cs="Times New Roman"/>
          <w:sz w:val="24"/>
          <w:szCs w:val="24"/>
        </w:rPr>
        <w:t xml:space="preserve">seltsingud, </w:t>
      </w:r>
      <w:r>
        <w:rPr>
          <w:rFonts w:ascii="Times New Roman" w:hAnsi="Times New Roman" w:cs="Times New Roman"/>
          <w:sz w:val="24"/>
          <w:szCs w:val="24"/>
        </w:rPr>
        <w:t>erakonnad, äriühingud ning riigi või kohaliku omavalitsuse asutatud ja nende kontrolli all olevad mittetulundusühingud ja sihtasutused või nendest moodustatud võrgustikud ja katusliidud ning avalik-õiguslikud juriidilised isikud.</w:t>
      </w:r>
    </w:p>
    <w:p w14:paraId="491EDC85" w14:textId="77777777" w:rsidR="009612B2" w:rsidRDefault="009612B2" w:rsidP="009612B2">
      <w:pPr>
        <w:spacing w:after="0" w:line="276" w:lineRule="auto"/>
        <w:jc w:val="both"/>
        <w:rPr>
          <w:rFonts w:ascii="Times New Roman" w:hAnsi="Times New Roman" w:cs="Times New Roman"/>
          <w:sz w:val="24"/>
          <w:szCs w:val="24"/>
        </w:rPr>
      </w:pPr>
    </w:p>
    <w:p w14:paraId="3FFEB25C" w14:textId="34945807" w:rsidR="009612B2" w:rsidRDefault="009612B2" w:rsidP="009612B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Õigusmõiste „valitsev mõju“ sisustamisel lähtutakse konkurentsiseaduse §</w:t>
      </w:r>
      <w:r w:rsidR="00B22163">
        <w:rPr>
          <w:rFonts w:ascii="Times New Roman" w:hAnsi="Times New Roman" w:cs="Times New Roman"/>
          <w:sz w:val="24"/>
          <w:szCs w:val="24"/>
        </w:rPr>
        <w:t xml:space="preserve"> </w:t>
      </w:r>
      <w:r>
        <w:rPr>
          <w:rFonts w:ascii="Times New Roman" w:hAnsi="Times New Roman" w:cs="Times New Roman"/>
          <w:sz w:val="24"/>
          <w:szCs w:val="24"/>
        </w:rPr>
        <w:t>2 lõikes</w:t>
      </w:r>
      <w:r w:rsidR="00B22163">
        <w:rPr>
          <w:rFonts w:ascii="Times New Roman" w:hAnsi="Times New Roman" w:cs="Times New Roman"/>
          <w:sz w:val="24"/>
          <w:szCs w:val="24"/>
        </w:rPr>
        <w:t xml:space="preserve"> </w:t>
      </w:r>
      <w:r>
        <w:rPr>
          <w:rFonts w:ascii="Times New Roman" w:hAnsi="Times New Roman" w:cs="Times New Roman"/>
          <w:sz w:val="24"/>
          <w:szCs w:val="24"/>
        </w:rPr>
        <w:t>4 sätestatust, kohaldades seda käesoleva määruse sisu ja selle rakendamisega seotud juriidiliste isikute liikide kontekstis.</w:t>
      </w:r>
      <w:r>
        <w:rPr>
          <w:rStyle w:val="FootnoteReference"/>
          <w:rFonts w:ascii="Times New Roman" w:hAnsi="Times New Roman"/>
          <w:sz w:val="24"/>
          <w:szCs w:val="24"/>
        </w:rPr>
        <w:footnoteReference w:id="4"/>
      </w:r>
    </w:p>
    <w:p w14:paraId="290D374F" w14:textId="77777777" w:rsidR="009612B2" w:rsidRDefault="009612B2" w:rsidP="009612B2">
      <w:pPr>
        <w:spacing w:after="0" w:line="276" w:lineRule="auto"/>
        <w:jc w:val="both"/>
        <w:rPr>
          <w:rFonts w:ascii="Times New Roman" w:hAnsi="Times New Roman" w:cs="Times New Roman"/>
          <w:sz w:val="24"/>
          <w:szCs w:val="24"/>
        </w:rPr>
      </w:pPr>
    </w:p>
    <w:p w14:paraId="7B0F9AE7" w14:textId="77777777" w:rsidR="009612B2" w:rsidRDefault="009612B2" w:rsidP="009612B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Eeltoodule lisaks peab toetuse taotleja tegutsema avalikes huvides </w:t>
      </w:r>
      <w:r w:rsidRPr="00A15E64">
        <w:rPr>
          <w:rFonts w:ascii="Times New Roman" w:hAnsi="Times New Roman" w:cs="Times New Roman"/>
          <w:sz w:val="24"/>
          <w:szCs w:val="24"/>
        </w:rPr>
        <w:t>ehk tema eesmärgid või tegevus on suunatud laiemale sihtrühmale kui ühingu liikmeskond, välja arvatud erivajadustega inimesi ühendavad organisatsioonid</w:t>
      </w:r>
      <w:r>
        <w:rPr>
          <w:rFonts w:ascii="Times New Roman" w:hAnsi="Times New Roman" w:cs="Times New Roman"/>
          <w:sz w:val="24"/>
          <w:szCs w:val="24"/>
        </w:rPr>
        <w:t xml:space="preserve">, ning taotleja tegevus on avalik. </w:t>
      </w:r>
      <w:r w:rsidRPr="00B772DB">
        <w:rPr>
          <w:rFonts w:ascii="Times New Roman" w:hAnsi="Times New Roman" w:cs="Times New Roman"/>
          <w:sz w:val="24"/>
          <w:szCs w:val="24"/>
        </w:rPr>
        <w:t xml:space="preserve">Avalik huvi on määratlemata õigusmõiste. </w:t>
      </w:r>
      <w:r>
        <w:rPr>
          <w:rFonts w:ascii="Times New Roman" w:hAnsi="Times New Roman" w:cs="Times New Roman"/>
          <w:sz w:val="24"/>
          <w:szCs w:val="24"/>
        </w:rPr>
        <w:t>Käesoleva</w:t>
      </w:r>
      <w:r w:rsidRPr="00B772DB">
        <w:rPr>
          <w:rFonts w:ascii="Times New Roman" w:hAnsi="Times New Roman" w:cs="Times New Roman"/>
          <w:sz w:val="24"/>
          <w:szCs w:val="24"/>
        </w:rPr>
        <w:t xml:space="preserve"> määruse tähenduses põhineb avaliku huvi rahastamine avalike vahendite eraldamisel kodanikuühendustele, mille põhikirjaline tegevus ja siht</w:t>
      </w:r>
      <w:r>
        <w:rPr>
          <w:rFonts w:ascii="Times New Roman" w:hAnsi="Times New Roman" w:cs="Times New Roman"/>
          <w:sz w:val="24"/>
          <w:szCs w:val="24"/>
        </w:rPr>
        <w:t>rühm</w:t>
      </w:r>
      <w:r w:rsidRPr="00B772DB">
        <w:rPr>
          <w:rFonts w:ascii="Times New Roman" w:hAnsi="Times New Roman" w:cs="Times New Roman"/>
          <w:sz w:val="24"/>
          <w:szCs w:val="24"/>
        </w:rPr>
        <w:t xml:space="preserve"> ulatub väljapoole ühenduse liikmete või töötajate huvidest. Avaliku huvi sünonüümina võib kasutada avalikes huvides tegutsemist</w:t>
      </w:r>
      <w:r>
        <w:rPr>
          <w:rFonts w:ascii="Times New Roman" w:hAnsi="Times New Roman" w:cs="Times New Roman"/>
          <w:sz w:val="24"/>
          <w:szCs w:val="24"/>
        </w:rPr>
        <w:t>.</w:t>
      </w:r>
      <w:r w:rsidRPr="00B772DB">
        <w:rPr>
          <w:rFonts w:ascii="Times New Roman" w:hAnsi="Times New Roman" w:cs="Times New Roman"/>
          <w:sz w:val="24"/>
          <w:szCs w:val="24"/>
        </w:rPr>
        <w:t xml:space="preserve"> </w:t>
      </w:r>
      <w:r>
        <w:rPr>
          <w:rFonts w:ascii="Times New Roman" w:hAnsi="Times New Roman" w:cs="Times New Roman"/>
          <w:sz w:val="24"/>
          <w:szCs w:val="24"/>
        </w:rPr>
        <w:t>See</w:t>
      </w:r>
      <w:r w:rsidRPr="00B772DB">
        <w:rPr>
          <w:rFonts w:ascii="Times New Roman" w:hAnsi="Times New Roman" w:cs="Times New Roman"/>
          <w:sz w:val="24"/>
          <w:szCs w:val="24"/>
        </w:rPr>
        <w:t xml:space="preserve"> tähendab, et ühenduse tegutsemine peab olema avatud ja läbipaistev, liikmeks astumine peaks olema avatud võimalikult paljudele, eesmärk on ühiskonna kui terviku huvides tegutsemine ja avaliku hüve loomine. </w:t>
      </w:r>
      <w:r w:rsidRPr="00D111D9">
        <w:rPr>
          <w:rFonts w:ascii="Times New Roman" w:hAnsi="Times New Roman" w:cs="Times New Roman"/>
          <w:sz w:val="24"/>
          <w:szCs w:val="24"/>
        </w:rPr>
        <w:t>Toetust võib majandustegevuseks kasutada</w:t>
      </w:r>
      <w:r w:rsidRPr="00B772DB">
        <w:rPr>
          <w:rFonts w:ascii="Times New Roman" w:hAnsi="Times New Roman" w:cs="Times New Roman"/>
          <w:sz w:val="24"/>
          <w:szCs w:val="24"/>
        </w:rPr>
        <w:t>, kuid see ei tohi olla organisatsiooni peamine eesmärk ega tekitada ebaausat konkurentsi erasektoriga.</w:t>
      </w:r>
      <w:r>
        <w:rPr>
          <w:rFonts w:ascii="Times New Roman" w:hAnsi="Times New Roman" w:cs="Times New Roman"/>
          <w:sz w:val="24"/>
          <w:szCs w:val="24"/>
        </w:rPr>
        <w:t xml:space="preserve"> Avaliku tegevuse all on siinkohal mõeldud, et taotlejal </w:t>
      </w:r>
      <w:r w:rsidRPr="00B772DB">
        <w:rPr>
          <w:rFonts w:ascii="Times New Roman" w:hAnsi="Times New Roman" w:cs="Times New Roman"/>
          <w:sz w:val="24"/>
          <w:szCs w:val="24"/>
        </w:rPr>
        <w:t>on oma tegevust tutvustav ja avalikkusele kättesaadav veebi</w:t>
      </w:r>
      <w:r>
        <w:rPr>
          <w:rFonts w:ascii="Times New Roman" w:hAnsi="Times New Roman" w:cs="Times New Roman"/>
          <w:sz w:val="24"/>
          <w:szCs w:val="24"/>
        </w:rPr>
        <w:t>sait</w:t>
      </w:r>
      <w:r w:rsidRPr="00B772DB">
        <w:rPr>
          <w:rFonts w:ascii="Times New Roman" w:hAnsi="Times New Roman" w:cs="Times New Roman"/>
          <w:sz w:val="24"/>
          <w:szCs w:val="24"/>
        </w:rPr>
        <w:t xml:space="preserve"> või sotsiaalmeedia</w:t>
      </w:r>
      <w:r>
        <w:rPr>
          <w:rFonts w:ascii="Times New Roman" w:hAnsi="Times New Roman" w:cs="Times New Roman"/>
          <w:sz w:val="24"/>
          <w:szCs w:val="24"/>
        </w:rPr>
        <w:t>konto</w:t>
      </w:r>
      <w:r w:rsidRPr="00B772DB">
        <w:rPr>
          <w:rFonts w:ascii="Times New Roman" w:hAnsi="Times New Roman" w:cs="Times New Roman"/>
          <w:sz w:val="24"/>
          <w:szCs w:val="24"/>
        </w:rPr>
        <w:t xml:space="preserve"> (n</w:t>
      </w:r>
      <w:r>
        <w:rPr>
          <w:rFonts w:ascii="Times New Roman" w:hAnsi="Times New Roman" w:cs="Times New Roman"/>
          <w:sz w:val="24"/>
          <w:szCs w:val="24"/>
        </w:rPr>
        <w:t>äiteks</w:t>
      </w:r>
      <w:r w:rsidRPr="00B772DB">
        <w:rPr>
          <w:rFonts w:ascii="Times New Roman" w:hAnsi="Times New Roman" w:cs="Times New Roman"/>
          <w:sz w:val="24"/>
          <w:szCs w:val="24"/>
        </w:rPr>
        <w:t xml:space="preserve"> Facebook</w:t>
      </w:r>
      <w:r>
        <w:rPr>
          <w:rFonts w:ascii="Times New Roman" w:hAnsi="Times New Roman" w:cs="Times New Roman"/>
          <w:sz w:val="24"/>
          <w:szCs w:val="24"/>
        </w:rPr>
        <w:t>i konto</w:t>
      </w:r>
      <w:r w:rsidRPr="00B772DB">
        <w:rPr>
          <w:rFonts w:ascii="Times New Roman" w:hAnsi="Times New Roman" w:cs="Times New Roman"/>
          <w:sz w:val="24"/>
          <w:szCs w:val="24"/>
        </w:rPr>
        <w:t>), millelt on leitav eestikeelne teave ühingu eesmärkide ja tegevuse kohta ning kus on avaldatud viide eetilise tegevuse põhimõtetele ja/või väärtustele, mida ta oma tegevuses järgib. Taotleja võib oma tegevuse kohta infot jagada ka katus-</w:t>
      </w:r>
      <w:r>
        <w:rPr>
          <w:rFonts w:ascii="Times New Roman" w:hAnsi="Times New Roman" w:cs="Times New Roman"/>
          <w:sz w:val="24"/>
          <w:szCs w:val="24"/>
        </w:rPr>
        <w:t xml:space="preserve"> või</w:t>
      </w:r>
      <w:r w:rsidRPr="00B772DB">
        <w:rPr>
          <w:rFonts w:ascii="Times New Roman" w:hAnsi="Times New Roman" w:cs="Times New Roman"/>
          <w:sz w:val="24"/>
          <w:szCs w:val="24"/>
        </w:rPr>
        <w:t xml:space="preserve"> partnerorganisatsiooni või kohaliku omavalitsuse</w:t>
      </w:r>
      <w:r>
        <w:rPr>
          <w:rFonts w:ascii="Times New Roman" w:hAnsi="Times New Roman" w:cs="Times New Roman"/>
          <w:sz w:val="24"/>
          <w:szCs w:val="24"/>
        </w:rPr>
        <w:t xml:space="preserve"> veebisaidi</w:t>
      </w:r>
      <w:r w:rsidRPr="00B772DB">
        <w:rPr>
          <w:rFonts w:ascii="Times New Roman" w:hAnsi="Times New Roman" w:cs="Times New Roman"/>
          <w:sz w:val="24"/>
          <w:szCs w:val="24"/>
        </w:rPr>
        <w:t xml:space="preserve"> alamlehel.</w:t>
      </w:r>
    </w:p>
    <w:p w14:paraId="20B67B84" w14:textId="77777777" w:rsidR="009612B2" w:rsidRDefault="009612B2" w:rsidP="009612B2">
      <w:pPr>
        <w:spacing w:after="0" w:line="276" w:lineRule="auto"/>
        <w:jc w:val="both"/>
        <w:rPr>
          <w:rFonts w:ascii="Times New Roman" w:hAnsi="Times New Roman" w:cs="Times New Roman"/>
          <w:sz w:val="24"/>
          <w:szCs w:val="24"/>
        </w:rPr>
      </w:pPr>
    </w:p>
    <w:p w14:paraId="13AD4A80" w14:textId="3470953F" w:rsidR="009612B2" w:rsidRDefault="009612B2" w:rsidP="009612B2">
      <w:pPr>
        <w:spacing w:after="0" w:line="276" w:lineRule="auto"/>
        <w:jc w:val="both"/>
        <w:rPr>
          <w:rFonts w:ascii="Times New Roman" w:hAnsi="Times New Roman" w:cs="Times New Roman"/>
          <w:sz w:val="24"/>
          <w:szCs w:val="24"/>
        </w:rPr>
      </w:pPr>
      <w:r w:rsidRPr="001511BD">
        <w:rPr>
          <w:rFonts w:ascii="Times New Roman" w:hAnsi="Times New Roman" w:cs="Times New Roman"/>
          <w:sz w:val="24"/>
          <w:szCs w:val="24"/>
        </w:rPr>
        <w:t xml:space="preserve">Taotleja peab olema taotluse esitamise hetkel olnud Eesti </w:t>
      </w:r>
      <w:r>
        <w:rPr>
          <w:rFonts w:ascii="Times New Roman" w:hAnsi="Times New Roman" w:cs="Times New Roman"/>
          <w:sz w:val="24"/>
          <w:szCs w:val="24"/>
        </w:rPr>
        <w:t xml:space="preserve">mittetulundusühingute ja sihtasutuste </w:t>
      </w:r>
      <w:r w:rsidRPr="001511BD">
        <w:rPr>
          <w:rFonts w:ascii="Times New Roman" w:hAnsi="Times New Roman" w:cs="Times New Roman"/>
          <w:sz w:val="24"/>
          <w:szCs w:val="24"/>
        </w:rPr>
        <w:t>registrisse kantud vähemalt ühe aasta</w:t>
      </w:r>
      <w:r w:rsidR="00400891">
        <w:rPr>
          <w:rFonts w:ascii="Times New Roman" w:hAnsi="Times New Roman" w:cs="Times New Roman"/>
          <w:sz w:val="24"/>
          <w:szCs w:val="24"/>
        </w:rPr>
        <w:t xml:space="preserve">, mis </w:t>
      </w:r>
      <w:r w:rsidRPr="001511BD">
        <w:rPr>
          <w:rFonts w:ascii="Times New Roman" w:hAnsi="Times New Roman" w:cs="Times New Roman"/>
          <w:sz w:val="24"/>
          <w:szCs w:val="24"/>
        </w:rPr>
        <w:t>tagab, et toetust saavad taotleda ainult juba toimivad ja usaldusväärsed organisatsioonid, mitte hiljuti loodud või registreeritud üksused. Ühe aasta tegutsemisnõue võimaldab hinnata taotleja varasemat tegevust, usaldusväärsust ja suutlikkust projekt</w:t>
      </w:r>
      <w:r>
        <w:rPr>
          <w:rFonts w:ascii="Times New Roman" w:hAnsi="Times New Roman" w:cs="Times New Roman"/>
          <w:sz w:val="24"/>
          <w:szCs w:val="24"/>
        </w:rPr>
        <w:t>e</w:t>
      </w:r>
      <w:r w:rsidRPr="001511BD">
        <w:rPr>
          <w:rFonts w:ascii="Times New Roman" w:hAnsi="Times New Roman" w:cs="Times New Roman"/>
          <w:sz w:val="24"/>
          <w:szCs w:val="24"/>
        </w:rPr>
        <w:t xml:space="preserve"> ellu</w:t>
      </w:r>
      <w:r>
        <w:rPr>
          <w:rFonts w:ascii="Times New Roman" w:hAnsi="Times New Roman" w:cs="Times New Roman"/>
          <w:sz w:val="24"/>
          <w:szCs w:val="24"/>
        </w:rPr>
        <w:t xml:space="preserve"> </w:t>
      </w:r>
      <w:r w:rsidRPr="001511BD">
        <w:rPr>
          <w:rFonts w:ascii="Times New Roman" w:hAnsi="Times New Roman" w:cs="Times New Roman"/>
          <w:sz w:val="24"/>
          <w:szCs w:val="24"/>
        </w:rPr>
        <w:t>vii</w:t>
      </w:r>
      <w:r>
        <w:rPr>
          <w:rFonts w:ascii="Times New Roman" w:hAnsi="Times New Roman" w:cs="Times New Roman"/>
          <w:sz w:val="24"/>
          <w:szCs w:val="24"/>
        </w:rPr>
        <w:t>a</w:t>
      </w:r>
      <w:r w:rsidRPr="001511BD">
        <w:rPr>
          <w:rFonts w:ascii="Times New Roman" w:hAnsi="Times New Roman" w:cs="Times New Roman"/>
          <w:sz w:val="24"/>
          <w:szCs w:val="24"/>
        </w:rPr>
        <w:t xml:space="preserve">. Samuti aitab see vältida olukordi, kus </w:t>
      </w:r>
      <w:r>
        <w:rPr>
          <w:rFonts w:ascii="Times New Roman" w:hAnsi="Times New Roman" w:cs="Times New Roman"/>
          <w:sz w:val="24"/>
          <w:szCs w:val="24"/>
        </w:rPr>
        <w:t xml:space="preserve">luuakse </w:t>
      </w:r>
      <w:r w:rsidRPr="001511BD">
        <w:rPr>
          <w:rFonts w:ascii="Times New Roman" w:hAnsi="Times New Roman" w:cs="Times New Roman"/>
          <w:sz w:val="24"/>
          <w:szCs w:val="24"/>
        </w:rPr>
        <w:t xml:space="preserve">lühikese tegutsemisajaga </w:t>
      </w:r>
      <w:r w:rsidRPr="001511BD">
        <w:rPr>
          <w:rFonts w:ascii="Times New Roman" w:hAnsi="Times New Roman" w:cs="Times New Roman"/>
          <w:sz w:val="24"/>
          <w:szCs w:val="24"/>
        </w:rPr>
        <w:lastRenderedPageBreak/>
        <w:t>organisatsioon</w:t>
      </w:r>
      <w:r>
        <w:rPr>
          <w:rFonts w:ascii="Times New Roman" w:hAnsi="Times New Roman" w:cs="Times New Roman"/>
          <w:sz w:val="24"/>
          <w:szCs w:val="24"/>
        </w:rPr>
        <w:t>e ainult selleks, et</w:t>
      </w:r>
      <w:r w:rsidRPr="001511BD">
        <w:rPr>
          <w:rFonts w:ascii="Times New Roman" w:hAnsi="Times New Roman" w:cs="Times New Roman"/>
          <w:sz w:val="24"/>
          <w:szCs w:val="24"/>
        </w:rPr>
        <w:t xml:space="preserve"> saada toetust, </w:t>
      </w:r>
      <w:r>
        <w:rPr>
          <w:rFonts w:ascii="Times New Roman" w:hAnsi="Times New Roman" w:cs="Times New Roman"/>
          <w:sz w:val="24"/>
          <w:szCs w:val="24"/>
        </w:rPr>
        <w:t>mõtlemata</w:t>
      </w:r>
      <w:r w:rsidRPr="001511BD">
        <w:rPr>
          <w:rFonts w:ascii="Times New Roman" w:hAnsi="Times New Roman" w:cs="Times New Roman"/>
          <w:sz w:val="24"/>
          <w:szCs w:val="24"/>
        </w:rPr>
        <w:t xml:space="preserve"> pikaajalis</w:t>
      </w:r>
      <w:r>
        <w:rPr>
          <w:rFonts w:ascii="Times New Roman" w:hAnsi="Times New Roman" w:cs="Times New Roman"/>
          <w:sz w:val="24"/>
          <w:szCs w:val="24"/>
        </w:rPr>
        <w:t>ele tegutsemisele ja</w:t>
      </w:r>
      <w:r w:rsidRPr="001511BD">
        <w:rPr>
          <w:rFonts w:ascii="Times New Roman" w:hAnsi="Times New Roman" w:cs="Times New Roman"/>
          <w:sz w:val="24"/>
          <w:szCs w:val="24"/>
        </w:rPr>
        <w:t xml:space="preserve"> jätkusuutlikkuse</w:t>
      </w:r>
      <w:r>
        <w:rPr>
          <w:rFonts w:ascii="Times New Roman" w:hAnsi="Times New Roman" w:cs="Times New Roman"/>
          <w:sz w:val="24"/>
          <w:szCs w:val="24"/>
        </w:rPr>
        <w:t>le</w:t>
      </w:r>
      <w:r w:rsidRPr="001511BD">
        <w:rPr>
          <w:rFonts w:ascii="Times New Roman" w:hAnsi="Times New Roman" w:cs="Times New Roman"/>
          <w:sz w:val="24"/>
          <w:szCs w:val="24"/>
        </w:rPr>
        <w:t>.</w:t>
      </w:r>
    </w:p>
    <w:p w14:paraId="299CF29A" w14:textId="77777777" w:rsidR="009D3A0E" w:rsidRDefault="009D3A0E" w:rsidP="009612B2">
      <w:pPr>
        <w:spacing w:after="0" w:line="276" w:lineRule="auto"/>
        <w:jc w:val="both"/>
        <w:rPr>
          <w:rFonts w:ascii="Times New Roman" w:hAnsi="Times New Roman" w:cs="Times New Roman"/>
          <w:sz w:val="24"/>
          <w:szCs w:val="24"/>
        </w:rPr>
      </w:pPr>
    </w:p>
    <w:p w14:paraId="6067A3F2" w14:textId="3444FDBF" w:rsidR="009D3A0E" w:rsidRPr="001511BD" w:rsidRDefault="001C6EDF" w:rsidP="009612B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Piirangu, mille kohaselt taotleja</w:t>
      </w:r>
      <w:r w:rsidRPr="001C6EDF">
        <w:rPr>
          <w:rFonts w:ascii="Times New Roman" w:hAnsi="Times New Roman" w:cs="Times New Roman"/>
          <w:sz w:val="24"/>
          <w:szCs w:val="24"/>
        </w:rPr>
        <w:t xml:space="preserve"> juhatuse, nõukogu või muu juht- või järelevalveorgani liige ei </w:t>
      </w:r>
      <w:r>
        <w:rPr>
          <w:rFonts w:ascii="Times New Roman" w:hAnsi="Times New Roman" w:cs="Times New Roman"/>
          <w:sz w:val="24"/>
          <w:szCs w:val="24"/>
        </w:rPr>
        <w:t>või olla</w:t>
      </w:r>
      <w:r w:rsidRPr="001C6EDF">
        <w:rPr>
          <w:rFonts w:ascii="Times New Roman" w:hAnsi="Times New Roman" w:cs="Times New Roman"/>
          <w:sz w:val="24"/>
          <w:szCs w:val="24"/>
        </w:rPr>
        <w:t xml:space="preserve"> toetuse andja juhatuse, nõukogu või muu juht- või järelevalveorgani liige</w:t>
      </w:r>
      <w:r>
        <w:rPr>
          <w:rFonts w:ascii="Times New Roman" w:hAnsi="Times New Roman" w:cs="Times New Roman"/>
          <w:sz w:val="24"/>
          <w:szCs w:val="24"/>
        </w:rPr>
        <w:t>, eesmärk on välistada võimalik huvide konflikt.</w:t>
      </w:r>
    </w:p>
    <w:p w14:paraId="7A0FD847" w14:textId="77777777" w:rsidR="009612B2" w:rsidRDefault="009612B2" w:rsidP="009612B2">
      <w:pPr>
        <w:spacing w:after="0" w:line="276" w:lineRule="auto"/>
        <w:jc w:val="both"/>
        <w:rPr>
          <w:rFonts w:ascii="Times New Roman" w:hAnsi="Times New Roman" w:cs="Times New Roman"/>
          <w:bCs/>
          <w:sz w:val="24"/>
          <w:szCs w:val="24"/>
        </w:rPr>
      </w:pPr>
    </w:p>
    <w:p w14:paraId="4CE91C72" w14:textId="56F9292E" w:rsidR="009612B2" w:rsidRDefault="009612B2" w:rsidP="009612B2">
      <w:pPr>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t>Paragrahviga</w:t>
      </w:r>
      <w:r w:rsidRPr="009F66BE">
        <w:rPr>
          <w:rFonts w:ascii="Times New Roman" w:hAnsi="Times New Roman" w:cs="Times New Roman"/>
          <w:b/>
          <w:bCs/>
          <w:sz w:val="24"/>
          <w:szCs w:val="24"/>
        </w:rPr>
        <w:t xml:space="preserve"> </w:t>
      </w:r>
      <w:r w:rsidR="004A03E6">
        <w:rPr>
          <w:rFonts w:ascii="Times New Roman" w:hAnsi="Times New Roman" w:cs="Times New Roman"/>
          <w:b/>
          <w:bCs/>
          <w:sz w:val="24"/>
          <w:szCs w:val="24"/>
        </w:rPr>
        <w:t>10</w:t>
      </w:r>
      <w:r w:rsidRPr="009F66BE">
        <w:rPr>
          <w:rFonts w:ascii="Times New Roman" w:hAnsi="Times New Roman" w:cs="Times New Roman"/>
          <w:b/>
          <w:bCs/>
          <w:sz w:val="24"/>
          <w:szCs w:val="24"/>
        </w:rPr>
        <w:t xml:space="preserve"> </w:t>
      </w:r>
      <w:r w:rsidRPr="009F66BE">
        <w:rPr>
          <w:rFonts w:ascii="Times New Roman" w:hAnsi="Times New Roman" w:cs="Times New Roman"/>
          <w:sz w:val="24"/>
          <w:szCs w:val="24"/>
        </w:rPr>
        <w:t xml:space="preserve">sätestatakse, millistele </w:t>
      </w:r>
      <w:r>
        <w:rPr>
          <w:rFonts w:ascii="Times New Roman" w:hAnsi="Times New Roman" w:cs="Times New Roman"/>
          <w:sz w:val="24"/>
          <w:szCs w:val="24"/>
        </w:rPr>
        <w:t>nõuetele</w:t>
      </w:r>
      <w:r w:rsidRPr="009F66BE">
        <w:rPr>
          <w:rFonts w:ascii="Times New Roman" w:hAnsi="Times New Roman" w:cs="Times New Roman"/>
          <w:sz w:val="24"/>
          <w:szCs w:val="24"/>
        </w:rPr>
        <w:t xml:space="preserve"> pea</w:t>
      </w:r>
      <w:r>
        <w:rPr>
          <w:rFonts w:ascii="Times New Roman" w:hAnsi="Times New Roman" w:cs="Times New Roman"/>
          <w:sz w:val="24"/>
          <w:szCs w:val="24"/>
        </w:rPr>
        <w:t>b</w:t>
      </w:r>
      <w:r w:rsidRPr="009F66BE">
        <w:rPr>
          <w:rFonts w:ascii="Times New Roman" w:hAnsi="Times New Roman" w:cs="Times New Roman"/>
          <w:sz w:val="24"/>
          <w:szCs w:val="24"/>
        </w:rPr>
        <w:t xml:space="preserve"> taotleja vastama.</w:t>
      </w:r>
      <w:r w:rsidRPr="009F66BE">
        <w:rPr>
          <w:sz w:val="24"/>
          <w:szCs w:val="24"/>
        </w:rPr>
        <w:t xml:space="preserve"> </w:t>
      </w:r>
      <w:r>
        <w:rPr>
          <w:rFonts w:ascii="Times New Roman" w:hAnsi="Times New Roman" w:cs="Times New Roman"/>
          <w:sz w:val="24"/>
          <w:szCs w:val="24"/>
        </w:rPr>
        <w:t>Taotleja peab vastama teatud tingimustele, mille alusel tuvastatakse, kas taotleja on usaldusväärne ning kas tal on tegevuste elluviimiseks vajalik suutlikkus ja valdkondlik pädevus, sealhulgas võime korrektselt asjaajamist korraldada ja oma kohustusi täita.</w:t>
      </w:r>
    </w:p>
    <w:p w14:paraId="25F5169C" w14:textId="77777777" w:rsidR="009612B2" w:rsidRDefault="009612B2" w:rsidP="009612B2">
      <w:pPr>
        <w:spacing w:after="0" w:line="276" w:lineRule="auto"/>
        <w:jc w:val="both"/>
        <w:rPr>
          <w:rFonts w:ascii="Times New Roman" w:hAnsi="Times New Roman" w:cs="Times New Roman"/>
          <w:sz w:val="24"/>
          <w:szCs w:val="24"/>
        </w:rPr>
      </w:pPr>
    </w:p>
    <w:p w14:paraId="4671264E" w14:textId="77777777" w:rsidR="009612B2" w:rsidRDefault="009612B2" w:rsidP="009612B2">
      <w:pPr>
        <w:spacing w:after="0" w:line="276" w:lineRule="auto"/>
        <w:jc w:val="both"/>
        <w:rPr>
          <w:rFonts w:ascii="Times New Roman" w:hAnsi="Times New Roman" w:cs="Times New Roman"/>
          <w:sz w:val="24"/>
          <w:szCs w:val="24"/>
        </w:rPr>
      </w:pPr>
      <w:r w:rsidRPr="009F66BE">
        <w:rPr>
          <w:rFonts w:ascii="Times New Roman" w:hAnsi="Times New Roman" w:cs="Times New Roman"/>
          <w:sz w:val="24"/>
          <w:szCs w:val="24"/>
        </w:rPr>
        <w:t xml:space="preserve">Taotleja peab olema suuteline </w:t>
      </w:r>
      <w:r>
        <w:rPr>
          <w:rFonts w:ascii="Times New Roman" w:hAnsi="Times New Roman" w:cs="Times New Roman"/>
          <w:sz w:val="24"/>
          <w:szCs w:val="24"/>
        </w:rPr>
        <w:t>kavandatud</w:t>
      </w:r>
      <w:r w:rsidRPr="009F66BE">
        <w:rPr>
          <w:rFonts w:ascii="Times New Roman" w:hAnsi="Times New Roman" w:cs="Times New Roman"/>
          <w:sz w:val="24"/>
          <w:szCs w:val="24"/>
        </w:rPr>
        <w:t xml:space="preserve"> tegevust </w:t>
      </w:r>
      <w:r>
        <w:rPr>
          <w:rFonts w:ascii="Times New Roman" w:hAnsi="Times New Roman" w:cs="Times New Roman"/>
          <w:sz w:val="24"/>
          <w:szCs w:val="24"/>
        </w:rPr>
        <w:t>ellu</w:t>
      </w:r>
      <w:r w:rsidRPr="009F66BE">
        <w:rPr>
          <w:rFonts w:ascii="Times New Roman" w:hAnsi="Times New Roman" w:cs="Times New Roman"/>
          <w:sz w:val="24"/>
          <w:szCs w:val="24"/>
        </w:rPr>
        <w:t xml:space="preserve"> viima.</w:t>
      </w:r>
      <w:r>
        <w:rPr>
          <w:rFonts w:ascii="Times New Roman" w:hAnsi="Times New Roman" w:cs="Times New Roman"/>
          <w:sz w:val="24"/>
          <w:szCs w:val="24"/>
        </w:rPr>
        <w:t xml:space="preserve"> </w:t>
      </w:r>
      <w:r w:rsidRPr="00A6433A">
        <w:rPr>
          <w:rFonts w:ascii="Times New Roman" w:hAnsi="Times New Roman" w:cs="Times New Roman"/>
          <w:sz w:val="24"/>
          <w:szCs w:val="24"/>
        </w:rPr>
        <w:t>Taotlejal ei tohi</w:t>
      </w:r>
      <w:r w:rsidRPr="009F66BE">
        <w:rPr>
          <w:rFonts w:ascii="Times New Roman" w:hAnsi="Times New Roman" w:cs="Times New Roman"/>
          <w:sz w:val="24"/>
          <w:szCs w:val="24"/>
        </w:rPr>
        <w:t xml:space="preserve"> olla majandusaasta aruande</w:t>
      </w:r>
      <w:r>
        <w:rPr>
          <w:rFonts w:ascii="Times New Roman" w:hAnsi="Times New Roman" w:cs="Times New Roman"/>
          <w:sz w:val="24"/>
          <w:szCs w:val="24"/>
        </w:rPr>
        <w:t>d</w:t>
      </w:r>
      <w:r w:rsidRPr="009F66BE">
        <w:rPr>
          <w:rFonts w:ascii="Times New Roman" w:hAnsi="Times New Roman" w:cs="Times New Roman"/>
          <w:sz w:val="24"/>
          <w:szCs w:val="24"/>
        </w:rPr>
        <w:t xml:space="preserve"> esita</w:t>
      </w:r>
      <w:r>
        <w:rPr>
          <w:rFonts w:ascii="Times New Roman" w:hAnsi="Times New Roman" w:cs="Times New Roman"/>
          <w:sz w:val="24"/>
          <w:szCs w:val="24"/>
        </w:rPr>
        <w:t xml:space="preserve">mata, </w:t>
      </w:r>
      <w:proofErr w:type="spellStart"/>
      <w:r>
        <w:rPr>
          <w:rFonts w:ascii="Times New Roman" w:hAnsi="Times New Roman" w:cs="Times New Roman"/>
          <w:sz w:val="24"/>
          <w:szCs w:val="24"/>
        </w:rPr>
        <w:t>KÜSKiga</w:t>
      </w:r>
      <w:proofErr w:type="spellEnd"/>
      <w:r w:rsidRPr="009F66BE">
        <w:rPr>
          <w:rFonts w:ascii="Times New Roman" w:hAnsi="Times New Roman" w:cs="Times New Roman"/>
          <w:sz w:val="24"/>
          <w:szCs w:val="24"/>
        </w:rPr>
        <w:t xml:space="preserve"> sõlmitud riigieelarvelise toetuse lepingu</w:t>
      </w:r>
      <w:r>
        <w:rPr>
          <w:rFonts w:ascii="Times New Roman" w:hAnsi="Times New Roman" w:cs="Times New Roman"/>
          <w:sz w:val="24"/>
          <w:szCs w:val="24"/>
        </w:rPr>
        <w:t xml:space="preserve"> rikkumist</w:t>
      </w:r>
      <w:r w:rsidRPr="009F66BE">
        <w:rPr>
          <w:rFonts w:ascii="Times New Roman" w:hAnsi="Times New Roman" w:cs="Times New Roman"/>
          <w:sz w:val="24"/>
          <w:szCs w:val="24"/>
        </w:rPr>
        <w:t xml:space="preserve"> </w:t>
      </w:r>
      <w:r>
        <w:rPr>
          <w:rFonts w:ascii="Times New Roman" w:hAnsi="Times New Roman" w:cs="Times New Roman"/>
          <w:sz w:val="24"/>
          <w:szCs w:val="24"/>
        </w:rPr>
        <w:t>ega</w:t>
      </w:r>
      <w:r w:rsidRPr="009F66BE">
        <w:rPr>
          <w:rFonts w:ascii="Times New Roman" w:hAnsi="Times New Roman" w:cs="Times New Roman"/>
          <w:sz w:val="24"/>
          <w:szCs w:val="24"/>
        </w:rPr>
        <w:t xml:space="preserve"> muid kehtivaid kohustusi </w:t>
      </w:r>
      <w:r>
        <w:rPr>
          <w:rFonts w:ascii="Times New Roman" w:hAnsi="Times New Roman" w:cs="Times New Roman"/>
          <w:sz w:val="24"/>
          <w:szCs w:val="24"/>
        </w:rPr>
        <w:t>toetuse andja</w:t>
      </w:r>
      <w:r w:rsidRPr="009F66BE">
        <w:rPr>
          <w:rFonts w:ascii="Times New Roman" w:hAnsi="Times New Roman" w:cs="Times New Roman"/>
          <w:sz w:val="24"/>
          <w:szCs w:val="24"/>
        </w:rPr>
        <w:t xml:space="preserve"> ees. Majandusaasta aruannete esitamise kontrollimine võib näidata toetuse andjale, et </w:t>
      </w:r>
      <w:r>
        <w:rPr>
          <w:rFonts w:ascii="Times New Roman" w:hAnsi="Times New Roman" w:cs="Times New Roman"/>
          <w:sz w:val="24"/>
          <w:szCs w:val="24"/>
        </w:rPr>
        <w:t>taotlejal</w:t>
      </w:r>
      <w:r w:rsidRPr="009F66BE">
        <w:rPr>
          <w:rFonts w:ascii="Times New Roman" w:hAnsi="Times New Roman" w:cs="Times New Roman"/>
          <w:sz w:val="24"/>
          <w:szCs w:val="24"/>
        </w:rPr>
        <w:t xml:space="preserve"> on probleeme oma kohustuste täitmise ja aruandlusega või </w:t>
      </w:r>
      <w:r>
        <w:rPr>
          <w:rFonts w:ascii="Times New Roman" w:hAnsi="Times New Roman" w:cs="Times New Roman"/>
          <w:sz w:val="24"/>
          <w:szCs w:val="24"/>
        </w:rPr>
        <w:t>ta väldib</w:t>
      </w:r>
      <w:r w:rsidRPr="009F66BE">
        <w:rPr>
          <w:rFonts w:ascii="Times New Roman" w:hAnsi="Times New Roman" w:cs="Times New Roman"/>
          <w:sz w:val="24"/>
          <w:szCs w:val="24"/>
        </w:rPr>
        <w:t xml:space="preserve"> aruannete esitamist tahtlikult.</w:t>
      </w:r>
      <w:r>
        <w:rPr>
          <w:rFonts w:ascii="Times New Roman" w:hAnsi="Times New Roman" w:cs="Times New Roman"/>
          <w:sz w:val="24"/>
          <w:szCs w:val="24"/>
        </w:rPr>
        <w:t xml:space="preserve"> Majandusaasta aruande esitamist kontrollitakse äriregistrist.</w:t>
      </w:r>
    </w:p>
    <w:p w14:paraId="7DD74AAF" w14:textId="77777777" w:rsidR="009612B2" w:rsidRDefault="009612B2" w:rsidP="009612B2">
      <w:pPr>
        <w:spacing w:after="0" w:line="276" w:lineRule="auto"/>
        <w:jc w:val="both"/>
        <w:rPr>
          <w:rFonts w:ascii="Times New Roman" w:hAnsi="Times New Roman" w:cs="Times New Roman"/>
          <w:sz w:val="24"/>
          <w:szCs w:val="24"/>
        </w:rPr>
      </w:pPr>
    </w:p>
    <w:p w14:paraId="47591F4C" w14:textId="77777777" w:rsidR="009612B2" w:rsidRPr="009F66BE" w:rsidRDefault="009612B2" w:rsidP="009612B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Taotlejal </w:t>
      </w:r>
      <w:r w:rsidRPr="009F66BE">
        <w:rPr>
          <w:rFonts w:ascii="Times New Roman" w:hAnsi="Times New Roman" w:cs="Times New Roman"/>
          <w:sz w:val="24"/>
          <w:szCs w:val="24"/>
        </w:rPr>
        <w:t xml:space="preserve">ei </w:t>
      </w:r>
      <w:r>
        <w:rPr>
          <w:rFonts w:ascii="Times New Roman" w:hAnsi="Times New Roman" w:cs="Times New Roman"/>
          <w:sz w:val="24"/>
          <w:szCs w:val="24"/>
        </w:rPr>
        <w:t xml:space="preserve">tohi </w:t>
      </w:r>
      <w:r w:rsidRPr="009F66BE">
        <w:rPr>
          <w:rFonts w:ascii="Times New Roman" w:hAnsi="Times New Roman" w:cs="Times New Roman"/>
          <w:sz w:val="24"/>
          <w:szCs w:val="24"/>
        </w:rPr>
        <w:t>ol</w:t>
      </w:r>
      <w:r>
        <w:rPr>
          <w:rFonts w:ascii="Times New Roman" w:hAnsi="Times New Roman" w:cs="Times New Roman"/>
          <w:sz w:val="24"/>
          <w:szCs w:val="24"/>
        </w:rPr>
        <w:t>la</w:t>
      </w:r>
      <w:r w:rsidRPr="009F66BE">
        <w:rPr>
          <w:rFonts w:ascii="Times New Roman" w:hAnsi="Times New Roman" w:cs="Times New Roman"/>
          <w:sz w:val="24"/>
          <w:szCs w:val="24"/>
        </w:rPr>
        <w:t xml:space="preserve"> riiklike maksude ja maksete võlga, välja arvatud juhul, kui see võlg on täies ulatuses ajatatud. Kuna eesmärk on toetada taotlejat, kellel ei ole riigi ees rahalist võlga, on see nõue vajalik. Kui taotlejal on maksu- või maksevõlad, mis ei ole ajatatud, </w:t>
      </w:r>
      <w:r>
        <w:rPr>
          <w:rFonts w:ascii="Times New Roman" w:hAnsi="Times New Roman" w:cs="Times New Roman"/>
          <w:sz w:val="24"/>
          <w:szCs w:val="24"/>
        </w:rPr>
        <w:t>p</w:t>
      </w:r>
      <w:r w:rsidRPr="009F66BE">
        <w:rPr>
          <w:rFonts w:ascii="Times New Roman" w:hAnsi="Times New Roman" w:cs="Times New Roman"/>
          <w:sz w:val="24"/>
          <w:szCs w:val="24"/>
        </w:rPr>
        <w:t xml:space="preserve">ole nimetatud nõue täidetud. </w:t>
      </w:r>
      <w:r>
        <w:rPr>
          <w:rFonts w:ascii="Times New Roman" w:hAnsi="Times New Roman" w:cs="Times New Roman"/>
          <w:sz w:val="24"/>
          <w:szCs w:val="24"/>
        </w:rPr>
        <w:t>Teavet</w:t>
      </w:r>
      <w:r w:rsidRPr="009F66BE">
        <w:rPr>
          <w:rFonts w:ascii="Times New Roman" w:hAnsi="Times New Roman" w:cs="Times New Roman"/>
          <w:sz w:val="24"/>
          <w:szCs w:val="24"/>
        </w:rPr>
        <w:t xml:space="preserve"> maksuvõla kohta saadakse Maksu- ja Tolliametilt. Maksukorralduse seaduse § 27 lõike 1 punktide 4 ja 5 järgi on maksuvõl</w:t>
      </w:r>
      <w:r>
        <w:rPr>
          <w:rFonts w:ascii="Times New Roman" w:hAnsi="Times New Roman" w:cs="Times New Roman"/>
          <w:sz w:val="24"/>
          <w:szCs w:val="24"/>
        </w:rPr>
        <w:t>a</w:t>
      </w:r>
      <w:r w:rsidRPr="009F66BE">
        <w:rPr>
          <w:rFonts w:ascii="Times New Roman" w:hAnsi="Times New Roman" w:cs="Times New Roman"/>
          <w:sz w:val="24"/>
          <w:szCs w:val="24"/>
        </w:rPr>
        <w:t xml:space="preserve"> </w:t>
      </w:r>
      <w:r>
        <w:rPr>
          <w:rFonts w:ascii="Times New Roman" w:hAnsi="Times New Roman" w:cs="Times New Roman"/>
          <w:sz w:val="24"/>
          <w:szCs w:val="24"/>
        </w:rPr>
        <w:t>ning</w:t>
      </w:r>
      <w:r w:rsidRPr="009F66BE">
        <w:rPr>
          <w:rFonts w:ascii="Times New Roman" w:hAnsi="Times New Roman" w:cs="Times New Roman"/>
          <w:sz w:val="24"/>
          <w:szCs w:val="24"/>
        </w:rPr>
        <w:t xml:space="preserve"> ajatatud maksuvõl</w:t>
      </w:r>
      <w:r>
        <w:rPr>
          <w:rFonts w:ascii="Times New Roman" w:hAnsi="Times New Roman" w:cs="Times New Roman"/>
          <w:sz w:val="24"/>
          <w:szCs w:val="24"/>
        </w:rPr>
        <w:t xml:space="preserve">a </w:t>
      </w:r>
      <w:r w:rsidRPr="009F66BE">
        <w:rPr>
          <w:rFonts w:ascii="Times New Roman" w:hAnsi="Times New Roman" w:cs="Times New Roman"/>
          <w:sz w:val="24"/>
          <w:szCs w:val="24"/>
        </w:rPr>
        <w:t>andme</w:t>
      </w:r>
      <w:r>
        <w:rPr>
          <w:rFonts w:ascii="Times New Roman" w:hAnsi="Times New Roman" w:cs="Times New Roman"/>
          <w:sz w:val="24"/>
          <w:szCs w:val="24"/>
        </w:rPr>
        <w:t>d</w:t>
      </w:r>
      <w:r w:rsidRPr="009F66BE">
        <w:rPr>
          <w:rFonts w:ascii="Times New Roman" w:hAnsi="Times New Roman" w:cs="Times New Roman"/>
          <w:sz w:val="24"/>
          <w:szCs w:val="24"/>
        </w:rPr>
        <w:t xml:space="preserve"> avalik tea</w:t>
      </w:r>
      <w:r>
        <w:rPr>
          <w:rFonts w:ascii="Times New Roman" w:hAnsi="Times New Roman" w:cs="Times New Roman"/>
          <w:sz w:val="24"/>
          <w:szCs w:val="24"/>
        </w:rPr>
        <w:t>ve</w:t>
      </w:r>
      <w:r w:rsidRPr="009F66BE">
        <w:rPr>
          <w:rFonts w:ascii="Times New Roman" w:hAnsi="Times New Roman" w:cs="Times New Roman"/>
          <w:sz w:val="24"/>
          <w:szCs w:val="24"/>
        </w:rPr>
        <w:t>, mida maksuhaldur võib igaühele avaldada ilma maksukohustuslase nõusoleku ja teadmiseta.</w:t>
      </w:r>
    </w:p>
    <w:p w14:paraId="41128D09" w14:textId="77777777" w:rsidR="009612B2" w:rsidRPr="00AD2D5A" w:rsidRDefault="009612B2" w:rsidP="009612B2">
      <w:pPr>
        <w:pStyle w:val="Default"/>
        <w:spacing w:line="276" w:lineRule="auto"/>
        <w:jc w:val="both"/>
      </w:pPr>
    </w:p>
    <w:p w14:paraId="76617952" w14:textId="572B8A2C" w:rsidR="00607764" w:rsidRDefault="00607764" w:rsidP="009612B2">
      <w:pPr>
        <w:spacing w:after="0" w:line="276" w:lineRule="auto"/>
        <w:jc w:val="both"/>
        <w:rPr>
          <w:rFonts w:ascii="Times New Roman" w:hAnsi="Times New Roman" w:cs="Times New Roman"/>
          <w:sz w:val="24"/>
          <w:szCs w:val="24"/>
        </w:rPr>
      </w:pPr>
      <w:r w:rsidRPr="00607764">
        <w:rPr>
          <w:rFonts w:ascii="Times New Roman" w:hAnsi="Times New Roman" w:cs="Times New Roman"/>
          <w:sz w:val="24"/>
          <w:szCs w:val="24"/>
        </w:rPr>
        <w:t xml:space="preserve">Lisaks peab taotleja vastama nõudele, et ta ei ole saanud toetust sama suursündmuse korraldamiseks riigieelarvest, muu avaliku sektori toetusest või </w:t>
      </w:r>
      <w:proofErr w:type="spellStart"/>
      <w:r w:rsidRPr="00607764">
        <w:rPr>
          <w:rFonts w:ascii="Times New Roman" w:hAnsi="Times New Roman" w:cs="Times New Roman"/>
          <w:sz w:val="24"/>
          <w:szCs w:val="24"/>
        </w:rPr>
        <w:t>välistoetusest</w:t>
      </w:r>
      <w:proofErr w:type="spellEnd"/>
      <w:r w:rsidRPr="00607764">
        <w:rPr>
          <w:rFonts w:ascii="Times New Roman" w:hAnsi="Times New Roman" w:cs="Times New Roman"/>
          <w:sz w:val="24"/>
          <w:szCs w:val="24"/>
        </w:rPr>
        <w:t xml:space="preserve">. Selle nõude eesmärk on vältida </w:t>
      </w:r>
      <w:proofErr w:type="spellStart"/>
      <w:r w:rsidRPr="00607764">
        <w:rPr>
          <w:rFonts w:ascii="Times New Roman" w:hAnsi="Times New Roman" w:cs="Times New Roman"/>
          <w:sz w:val="24"/>
          <w:szCs w:val="24"/>
        </w:rPr>
        <w:t>topeltrahastamist</w:t>
      </w:r>
      <w:proofErr w:type="spellEnd"/>
      <w:r w:rsidRPr="00607764">
        <w:rPr>
          <w:rFonts w:ascii="Times New Roman" w:hAnsi="Times New Roman" w:cs="Times New Roman"/>
          <w:sz w:val="24"/>
          <w:szCs w:val="24"/>
        </w:rPr>
        <w:t xml:space="preserve"> ehk olukorda, kus sama sündmust rahastatakse mitmest avalikust allikast korraga. </w:t>
      </w:r>
      <w:proofErr w:type="spellStart"/>
      <w:r w:rsidRPr="00607764">
        <w:rPr>
          <w:rFonts w:ascii="Times New Roman" w:hAnsi="Times New Roman" w:cs="Times New Roman"/>
          <w:sz w:val="24"/>
          <w:szCs w:val="24"/>
        </w:rPr>
        <w:t>Topeltrahastamine</w:t>
      </w:r>
      <w:proofErr w:type="spellEnd"/>
      <w:r w:rsidRPr="00607764">
        <w:rPr>
          <w:rFonts w:ascii="Times New Roman" w:hAnsi="Times New Roman" w:cs="Times New Roman"/>
          <w:sz w:val="24"/>
          <w:szCs w:val="24"/>
        </w:rPr>
        <w:t xml:space="preserve"> moonutab konkurentsi, võib viia riigi- ja Euroopa Liidu vahendite ebaefektiivse kasutamiseni ning takistab toetuse eesmärgipärast ja õiglast jaotamist. Nõue aitab tagada toetuste kasutamise läbipaistvust, õiglast kohtlemist ning riigieelarveliste vahendite tõhusat ja säästlikku kasutamist. Vajadusel kontrollib toetuse andja saadud toetuste andmeid avalikest registritest või küsib taotlejalt täiendavat teavet ja kinnitusi.</w:t>
      </w:r>
    </w:p>
    <w:p w14:paraId="7652A760" w14:textId="77777777" w:rsidR="00607764" w:rsidRDefault="00607764" w:rsidP="009612B2">
      <w:pPr>
        <w:spacing w:after="0" w:line="276" w:lineRule="auto"/>
        <w:jc w:val="both"/>
        <w:rPr>
          <w:rFonts w:ascii="Times New Roman" w:hAnsi="Times New Roman" w:cs="Times New Roman"/>
          <w:sz w:val="24"/>
          <w:szCs w:val="24"/>
        </w:rPr>
      </w:pPr>
    </w:p>
    <w:p w14:paraId="7FB977B8" w14:textId="02F1193A" w:rsidR="009612B2" w:rsidRDefault="009612B2" w:rsidP="009612B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K</w:t>
      </w:r>
      <w:r w:rsidRPr="009F66BE">
        <w:rPr>
          <w:rFonts w:ascii="Times New Roman" w:hAnsi="Times New Roman" w:cs="Times New Roman"/>
          <w:sz w:val="24"/>
          <w:szCs w:val="24"/>
        </w:rPr>
        <w:t xml:space="preserve">ui taotleja on varem saanud riigieelarvest, Euroopa Liidu või muudest vahenditest toetust, mis on </w:t>
      </w:r>
      <w:r>
        <w:rPr>
          <w:rFonts w:ascii="Times New Roman" w:hAnsi="Times New Roman" w:cs="Times New Roman"/>
          <w:sz w:val="24"/>
          <w:szCs w:val="24"/>
        </w:rPr>
        <w:t>tulnud</w:t>
      </w:r>
      <w:r w:rsidRPr="009F66BE">
        <w:rPr>
          <w:rFonts w:ascii="Times New Roman" w:hAnsi="Times New Roman" w:cs="Times New Roman"/>
          <w:sz w:val="24"/>
          <w:szCs w:val="24"/>
        </w:rPr>
        <w:t xml:space="preserve"> tagasi</w:t>
      </w:r>
      <w:r>
        <w:rPr>
          <w:rFonts w:ascii="Times New Roman" w:hAnsi="Times New Roman" w:cs="Times New Roman"/>
          <w:sz w:val="24"/>
          <w:szCs w:val="24"/>
        </w:rPr>
        <w:t xml:space="preserve"> </w:t>
      </w:r>
      <w:r w:rsidRPr="009F66BE">
        <w:rPr>
          <w:rFonts w:ascii="Times New Roman" w:hAnsi="Times New Roman" w:cs="Times New Roman"/>
          <w:sz w:val="24"/>
          <w:szCs w:val="24"/>
        </w:rPr>
        <w:t>maks</w:t>
      </w:r>
      <w:r>
        <w:rPr>
          <w:rFonts w:ascii="Times New Roman" w:hAnsi="Times New Roman" w:cs="Times New Roman"/>
          <w:sz w:val="24"/>
          <w:szCs w:val="24"/>
        </w:rPr>
        <w:t>ta</w:t>
      </w:r>
      <w:r w:rsidRPr="009F66BE">
        <w:rPr>
          <w:rFonts w:ascii="Times New Roman" w:hAnsi="Times New Roman" w:cs="Times New Roman"/>
          <w:sz w:val="24"/>
          <w:szCs w:val="24"/>
        </w:rPr>
        <w:t xml:space="preserve">, saab ta toetust üksnes juhul, kui kõik tagasimaksed on tehtud määratud tähtajaks ja nõutud summas. See on vajalik selleks, et vältida olukorda, kus riik toetab taotlejat, kes ei täida oma kohustusi. Silmas on peetud kõiki riigieelarvelistest vahenditest makstavaid toetusi (mitte üksnes </w:t>
      </w:r>
      <w:proofErr w:type="spellStart"/>
      <w:r>
        <w:rPr>
          <w:rFonts w:ascii="Times New Roman" w:hAnsi="Times New Roman" w:cs="Times New Roman"/>
          <w:sz w:val="24"/>
          <w:szCs w:val="24"/>
        </w:rPr>
        <w:t>KÜSKi</w:t>
      </w:r>
      <w:proofErr w:type="spellEnd"/>
      <w:r w:rsidRPr="009F66BE">
        <w:rPr>
          <w:rFonts w:ascii="Times New Roman" w:hAnsi="Times New Roman" w:cs="Times New Roman"/>
          <w:sz w:val="24"/>
          <w:szCs w:val="24"/>
        </w:rPr>
        <w:t xml:space="preserve"> makstud toetusi), Euroopa Liidu makstavaid toetusi või muudest </w:t>
      </w:r>
      <w:proofErr w:type="spellStart"/>
      <w:r w:rsidRPr="009F66BE">
        <w:rPr>
          <w:rFonts w:ascii="Times New Roman" w:hAnsi="Times New Roman" w:cs="Times New Roman"/>
          <w:sz w:val="24"/>
          <w:szCs w:val="24"/>
        </w:rPr>
        <w:t>välisvahenditest</w:t>
      </w:r>
      <w:proofErr w:type="spellEnd"/>
      <w:r w:rsidRPr="009F66BE">
        <w:rPr>
          <w:rFonts w:ascii="Times New Roman" w:hAnsi="Times New Roman" w:cs="Times New Roman"/>
          <w:sz w:val="24"/>
          <w:szCs w:val="24"/>
        </w:rPr>
        <w:t xml:space="preserve"> makstavaid toetusi. Nõude mõte ei ole kohustada tagasimaks</w:t>
      </w:r>
      <w:r>
        <w:rPr>
          <w:rFonts w:ascii="Times New Roman" w:hAnsi="Times New Roman" w:cs="Times New Roman"/>
          <w:sz w:val="24"/>
          <w:szCs w:val="24"/>
        </w:rPr>
        <w:t>tavat</w:t>
      </w:r>
      <w:r w:rsidRPr="009F66BE">
        <w:rPr>
          <w:rFonts w:ascii="Times New Roman" w:hAnsi="Times New Roman" w:cs="Times New Roman"/>
          <w:sz w:val="24"/>
          <w:szCs w:val="24"/>
        </w:rPr>
        <w:t xml:space="preserve"> toetust tagasi maksma enne tagasimaks</w:t>
      </w:r>
      <w:r>
        <w:rPr>
          <w:rFonts w:ascii="Times New Roman" w:hAnsi="Times New Roman" w:cs="Times New Roman"/>
          <w:sz w:val="24"/>
          <w:szCs w:val="24"/>
        </w:rPr>
        <w:t>mise</w:t>
      </w:r>
      <w:r w:rsidRPr="009F66BE">
        <w:rPr>
          <w:rFonts w:ascii="Times New Roman" w:hAnsi="Times New Roman" w:cs="Times New Roman"/>
          <w:sz w:val="24"/>
          <w:szCs w:val="24"/>
        </w:rPr>
        <w:t xml:space="preserve"> tähtaega, vaid sellega ajendatakse tagasimaks</w:t>
      </w:r>
      <w:r>
        <w:rPr>
          <w:rFonts w:ascii="Times New Roman" w:hAnsi="Times New Roman" w:cs="Times New Roman"/>
          <w:sz w:val="24"/>
          <w:szCs w:val="24"/>
        </w:rPr>
        <w:t>tavat</w:t>
      </w:r>
      <w:r w:rsidRPr="009F66BE">
        <w:rPr>
          <w:rFonts w:ascii="Times New Roman" w:hAnsi="Times New Roman" w:cs="Times New Roman"/>
          <w:sz w:val="24"/>
          <w:szCs w:val="24"/>
        </w:rPr>
        <w:t xml:space="preserve"> toetust tagasi maksma tähtajaks.</w:t>
      </w:r>
    </w:p>
    <w:p w14:paraId="0932CBCD" w14:textId="77777777" w:rsidR="009612B2" w:rsidRDefault="009612B2" w:rsidP="009612B2">
      <w:pPr>
        <w:pStyle w:val="Default"/>
        <w:spacing w:line="276" w:lineRule="auto"/>
        <w:jc w:val="both"/>
      </w:pPr>
    </w:p>
    <w:p w14:paraId="7CC137FC" w14:textId="77777777" w:rsidR="009612B2" w:rsidRDefault="009612B2" w:rsidP="009612B2">
      <w:pPr>
        <w:pStyle w:val="Default"/>
        <w:spacing w:line="276" w:lineRule="auto"/>
        <w:jc w:val="both"/>
      </w:pPr>
      <w:r w:rsidRPr="00AD2D5A">
        <w:t>Samuti on oluline, et taotleja</w:t>
      </w:r>
      <w:r w:rsidRPr="00156D24">
        <w:t xml:space="preserve"> suhtes </w:t>
      </w:r>
      <w:r w:rsidRPr="00AD2D5A">
        <w:t xml:space="preserve">ei ole </w:t>
      </w:r>
      <w:r w:rsidRPr="00156D24">
        <w:t>algatatud pankroti- või likvideerimismenetlust</w:t>
      </w:r>
      <w:r>
        <w:t xml:space="preserve"> ega sundlõpetamist</w:t>
      </w:r>
      <w:r w:rsidRPr="00AD2D5A">
        <w:t xml:space="preserve">. </w:t>
      </w:r>
      <w:r>
        <w:t>K</w:t>
      </w:r>
      <w:r w:rsidRPr="00AD2D5A">
        <w:t>ui selgub vastupidine, saab järeldada, et taotlejal puudub tegevuse elluviimiseks vajalik finan</w:t>
      </w:r>
      <w:r>
        <w:t>ts-, haldus- ja toimimissuutlikkus. Teavet pankroti, likvideerimise ja sundlõpetamise menetluse kohta saab äriregistrist, samuti väljaandest Ametlikud Teadaanded.</w:t>
      </w:r>
    </w:p>
    <w:p w14:paraId="1B8DA773" w14:textId="77777777" w:rsidR="009612B2" w:rsidRDefault="009612B2" w:rsidP="009612B2">
      <w:pPr>
        <w:pStyle w:val="Default"/>
        <w:spacing w:line="276" w:lineRule="auto"/>
        <w:jc w:val="both"/>
      </w:pPr>
    </w:p>
    <w:p w14:paraId="245DA5A5" w14:textId="77777777" w:rsidR="009612B2" w:rsidRDefault="009612B2" w:rsidP="009612B2">
      <w:pPr>
        <w:pStyle w:val="Default"/>
        <w:spacing w:line="276" w:lineRule="auto"/>
        <w:jc w:val="both"/>
      </w:pPr>
      <w:r w:rsidRPr="00AD2D5A">
        <w:t>Lisaks ei tohi taotleja juhtorgani liiget olla karistatud majandusalase, ametialase, varavastase, avaliku korra, riigi julgeoleku või avaliku usalduse vastase süüteo eest või kui teda on karistatud, siis on ta karistusandmed karistusregistrist kustutatud.</w:t>
      </w:r>
    </w:p>
    <w:p w14:paraId="3CF0B9B8" w14:textId="77777777" w:rsidR="00940324" w:rsidRDefault="00940324" w:rsidP="009612B2">
      <w:pPr>
        <w:pStyle w:val="Default"/>
        <w:spacing w:line="276" w:lineRule="auto"/>
        <w:jc w:val="both"/>
      </w:pPr>
    </w:p>
    <w:p w14:paraId="5020B501" w14:textId="215EB812" w:rsidR="00AB5970" w:rsidRDefault="00AB5970" w:rsidP="00AB5970">
      <w:pPr>
        <w:pStyle w:val="Default"/>
        <w:spacing w:after="240" w:line="276" w:lineRule="auto"/>
        <w:jc w:val="both"/>
        <w:rPr>
          <w:color w:val="auto"/>
        </w:rPr>
      </w:pPr>
      <w:bookmarkStart w:id="2" w:name="_Hlk153623522"/>
      <w:r>
        <w:rPr>
          <w:b/>
          <w:bCs/>
          <w:color w:val="auto"/>
        </w:rPr>
        <w:t>Paragrahviga</w:t>
      </w:r>
      <w:r w:rsidRPr="00AD2D5A">
        <w:rPr>
          <w:b/>
          <w:bCs/>
          <w:color w:val="auto"/>
        </w:rPr>
        <w:t xml:space="preserve"> </w:t>
      </w:r>
      <w:r>
        <w:rPr>
          <w:b/>
          <w:bCs/>
          <w:color w:val="auto"/>
        </w:rPr>
        <w:t>11</w:t>
      </w:r>
      <w:r w:rsidRPr="00AD2D5A">
        <w:rPr>
          <w:b/>
          <w:bCs/>
          <w:color w:val="auto"/>
        </w:rPr>
        <w:t xml:space="preserve"> </w:t>
      </w:r>
      <w:r w:rsidRPr="00AD2D5A">
        <w:rPr>
          <w:color w:val="auto"/>
        </w:rPr>
        <w:t xml:space="preserve">määratakse kindlaks andmed, </w:t>
      </w:r>
      <w:bookmarkEnd w:id="2"/>
      <w:r w:rsidRPr="00AD2D5A">
        <w:rPr>
          <w:color w:val="auto"/>
        </w:rPr>
        <w:t>mida taotlus peab sisalda</w:t>
      </w:r>
      <w:r>
        <w:rPr>
          <w:color w:val="auto"/>
        </w:rPr>
        <w:t>m</w:t>
      </w:r>
      <w:r w:rsidRPr="00AD2D5A">
        <w:rPr>
          <w:color w:val="auto"/>
        </w:rPr>
        <w:t>a</w:t>
      </w:r>
      <w:r>
        <w:rPr>
          <w:color w:val="auto"/>
        </w:rPr>
        <w:t>, ja nõuded taotluse sisule</w:t>
      </w:r>
      <w:r w:rsidRPr="00AD2D5A">
        <w:rPr>
          <w:color w:val="auto"/>
        </w:rPr>
        <w:t>.</w:t>
      </w:r>
    </w:p>
    <w:p w14:paraId="11CCB8BD" w14:textId="2CF3E496" w:rsidR="00AB5970" w:rsidRPr="00AD2D5A" w:rsidRDefault="00AB5970" w:rsidP="00AB5970">
      <w:pPr>
        <w:pStyle w:val="Default"/>
        <w:spacing w:line="276" w:lineRule="auto"/>
        <w:jc w:val="both"/>
      </w:pPr>
      <w:r>
        <w:rPr>
          <w:color w:val="auto"/>
        </w:rPr>
        <w:t>T</w:t>
      </w:r>
      <w:r w:rsidRPr="00AD2D5A">
        <w:rPr>
          <w:color w:val="auto"/>
        </w:rPr>
        <w:t xml:space="preserve">aotlus </w:t>
      </w:r>
      <w:r>
        <w:rPr>
          <w:color w:val="auto"/>
        </w:rPr>
        <w:t xml:space="preserve">peab vormiliselt </w:t>
      </w:r>
      <w:r w:rsidRPr="00AD2D5A">
        <w:rPr>
          <w:color w:val="auto"/>
        </w:rPr>
        <w:t xml:space="preserve">sisaldama </w:t>
      </w:r>
      <w:r>
        <w:t xml:space="preserve">vähemalt teavet taotleja (sh nimi, registrikood, kontaktandmed, arveldusandmed), taotletava toetuse summa ja esindusõigusliku isiku kohta. Nimetatud teave ja andmed on aluseks käesoleva määruse </w:t>
      </w:r>
      <w:r w:rsidRPr="00877E6F">
        <w:t>§</w:t>
      </w:r>
      <w:r>
        <w:noBreakHyphen/>
        <w:t>s</w:t>
      </w:r>
      <w:r w:rsidR="00572799">
        <w:t xml:space="preserve"> </w:t>
      </w:r>
      <w:r w:rsidRPr="00877E6F">
        <w:t>1</w:t>
      </w:r>
      <w:r>
        <w:t>4</w:t>
      </w:r>
      <w:r w:rsidRPr="00877E6F">
        <w:t xml:space="preserve"> sätestatud taotluse vorminõuete kontrolliks.</w:t>
      </w:r>
    </w:p>
    <w:p w14:paraId="75D7E82C" w14:textId="77777777" w:rsidR="00AB5970" w:rsidRDefault="00AB5970" w:rsidP="00AB5970">
      <w:pPr>
        <w:pStyle w:val="Default"/>
        <w:spacing w:line="276" w:lineRule="auto"/>
        <w:jc w:val="both"/>
      </w:pPr>
    </w:p>
    <w:p w14:paraId="55BDE5A0" w14:textId="3E2676B1" w:rsidR="00AB5970" w:rsidRDefault="00AB5970" w:rsidP="00AB5970">
      <w:pPr>
        <w:pStyle w:val="Default"/>
        <w:spacing w:line="276" w:lineRule="auto"/>
        <w:jc w:val="both"/>
      </w:pPr>
      <w:r w:rsidRPr="0061235E">
        <w:rPr>
          <w:color w:val="auto"/>
          <w:u w:val="single"/>
        </w:rPr>
        <w:t>Lõi</w:t>
      </w:r>
      <w:r>
        <w:rPr>
          <w:color w:val="auto"/>
          <w:u w:val="single"/>
        </w:rPr>
        <w:t>kes</w:t>
      </w:r>
      <w:r w:rsidRPr="0061235E">
        <w:rPr>
          <w:color w:val="auto"/>
          <w:u w:val="single"/>
        </w:rPr>
        <w:t xml:space="preserve"> 3</w:t>
      </w:r>
      <w:r w:rsidRPr="0061235E">
        <w:rPr>
          <w:color w:val="auto"/>
        </w:rPr>
        <w:t xml:space="preserve"> </w:t>
      </w:r>
      <w:r>
        <w:rPr>
          <w:color w:val="auto"/>
        </w:rPr>
        <w:t xml:space="preserve">on </w:t>
      </w:r>
      <w:r w:rsidRPr="0061235E">
        <w:rPr>
          <w:color w:val="auto"/>
        </w:rPr>
        <w:t>sätesta</w:t>
      </w:r>
      <w:r>
        <w:rPr>
          <w:color w:val="auto"/>
        </w:rPr>
        <w:t>tud</w:t>
      </w:r>
      <w:r w:rsidRPr="0061235E">
        <w:rPr>
          <w:color w:val="auto"/>
        </w:rPr>
        <w:t xml:space="preserve"> olulised tingimused, millele taotlus peab vastama. </w:t>
      </w:r>
      <w:r>
        <w:rPr>
          <w:color w:val="auto"/>
        </w:rPr>
        <w:t>P</w:t>
      </w:r>
      <w:r w:rsidRPr="0061235E">
        <w:rPr>
          <w:color w:val="auto"/>
        </w:rPr>
        <w:t>unkti</w:t>
      </w:r>
      <w:r>
        <w:rPr>
          <w:color w:val="auto"/>
        </w:rPr>
        <w:t xml:space="preserve"> 1</w:t>
      </w:r>
      <w:r w:rsidRPr="0061235E">
        <w:rPr>
          <w:color w:val="auto"/>
        </w:rPr>
        <w:t xml:space="preserve"> kohaselt peab taotlus sisaldama kinnitust, et taotleja vastab </w:t>
      </w:r>
      <w:r>
        <w:rPr>
          <w:color w:val="auto"/>
        </w:rPr>
        <w:t>määruse</w:t>
      </w:r>
      <w:r w:rsidRPr="0061235E">
        <w:rPr>
          <w:color w:val="auto"/>
        </w:rPr>
        <w:t xml:space="preserve"> §-des </w:t>
      </w:r>
      <w:r>
        <w:rPr>
          <w:color w:val="auto"/>
        </w:rPr>
        <w:t>9</w:t>
      </w:r>
      <w:r w:rsidRPr="0061235E">
        <w:rPr>
          <w:color w:val="auto"/>
        </w:rPr>
        <w:t xml:space="preserve"> ja </w:t>
      </w:r>
      <w:r>
        <w:rPr>
          <w:color w:val="auto"/>
        </w:rPr>
        <w:t>10</w:t>
      </w:r>
      <w:r w:rsidRPr="0061235E">
        <w:rPr>
          <w:color w:val="auto"/>
        </w:rPr>
        <w:t xml:space="preserve"> sätestatud tingimustele. Nõue kinnitada vastavust eeltoodud tingimustele tagab, et taotleja on teadlik kõigist toetuse saamiseks kehtestatud kriteeriumidest ja täidab neid. </w:t>
      </w:r>
      <w:r>
        <w:rPr>
          <w:color w:val="auto"/>
        </w:rPr>
        <w:t>Punkt 2</w:t>
      </w:r>
      <w:r w:rsidRPr="0061235E">
        <w:rPr>
          <w:color w:val="auto"/>
        </w:rPr>
        <w:t xml:space="preserve"> seab tingimuseks </w:t>
      </w:r>
      <w:r w:rsidRPr="0061235E">
        <w:t xml:space="preserve">sama projekti </w:t>
      </w:r>
      <w:proofErr w:type="spellStart"/>
      <w:r w:rsidRPr="0061235E">
        <w:t>topeltrahastuse</w:t>
      </w:r>
      <w:proofErr w:type="spellEnd"/>
      <w:r w:rsidRPr="0061235E">
        <w:t xml:space="preserve"> puudumise. See nõue välistab olukorrad, kus sama projekti jaoks saadakse rahastust mitmest allikast, mis võiks viia </w:t>
      </w:r>
      <w:proofErr w:type="spellStart"/>
      <w:r w:rsidRPr="0061235E">
        <w:t>topeltrahastamiseni</w:t>
      </w:r>
      <w:proofErr w:type="spellEnd"/>
      <w:r w:rsidRPr="0061235E">
        <w:t xml:space="preserve"> ja ressursside eba</w:t>
      </w:r>
      <w:r>
        <w:t>tõhusa</w:t>
      </w:r>
      <w:r w:rsidRPr="0061235E">
        <w:t xml:space="preserve"> kasutamiseni. Samuti aitab see säilitada rahastamise läbipaistvust ja ausust.</w:t>
      </w:r>
      <w:r w:rsidRPr="0061235E">
        <w:rPr>
          <w:color w:val="auto"/>
        </w:rPr>
        <w:t xml:space="preserve"> </w:t>
      </w:r>
    </w:p>
    <w:p w14:paraId="4EBC0E90" w14:textId="77777777" w:rsidR="00AB5970" w:rsidRDefault="00AB5970" w:rsidP="00AB5970">
      <w:pPr>
        <w:pStyle w:val="Default"/>
        <w:jc w:val="both"/>
        <w:rPr>
          <w:b/>
          <w:bCs/>
        </w:rPr>
      </w:pPr>
    </w:p>
    <w:p w14:paraId="40F44D50" w14:textId="0BA04060" w:rsidR="00982215" w:rsidRDefault="00AB5970" w:rsidP="00AB5970">
      <w:pPr>
        <w:tabs>
          <w:tab w:val="left" w:pos="541"/>
          <w:tab w:val="left" w:pos="2799"/>
        </w:tabs>
        <w:spacing w:line="276" w:lineRule="auto"/>
        <w:jc w:val="both"/>
        <w:rPr>
          <w:rFonts w:ascii="Times New Roman" w:hAnsi="Times New Roman" w:cs="Times New Roman"/>
          <w:sz w:val="24"/>
          <w:szCs w:val="24"/>
        </w:rPr>
      </w:pPr>
      <w:r w:rsidRPr="00AB5970">
        <w:rPr>
          <w:rFonts w:ascii="Times New Roman" w:hAnsi="Times New Roman" w:cs="Times New Roman"/>
          <w:sz w:val="24"/>
          <w:szCs w:val="24"/>
          <w:u w:val="single"/>
        </w:rPr>
        <w:t xml:space="preserve">Lõikes </w:t>
      </w:r>
      <w:r w:rsidR="00E15DC9">
        <w:rPr>
          <w:rFonts w:ascii="Times New Roman" w:hAnsi="Times New Roman" w:cs="Times New Roman"/>
          <w:sz w:val="24"/>
          <w:szCs w:val="24"/>
          <w:u w:val="single"/>
        </w:rPr>
        <w:t>4</w:t>
      </w:r>
      <w:r w:rsidRPr="00AB5970">
        <w:rPr>
          <w:rFonts w:ascii="Times New Roman" w:hAnsi="Times New Roman" w:cs="Times New Roman"/>
          <w:sz w:val="24"/>
          <w:szCs w:val="24"/>
        </w:rPr>
        <w:t xml:space="preserve"> seatakse nõue tõendada taotluse esitaja esindusõigust. See aitab vältida olukordi, kus taotlusi esitavad isikud, kellel asjaomane õigus puudub. Ühise esindusõiguse korral nõutav kõigi esindusõiguslike isikute allkiri tagab otsuste legitiimsuse ja organisatsiooni juhtorgani täieliku heakskiidu.</w:t>
      </w:r>
    </w:p>
    <w:p w14:paraId="795E1117" w14:textId="2CDCEF2E" w:rsidR="00C14B04" w:rsidRPr="00C14B04" w:rsidRDefault="00C14B04" w:rsidP="00AB5970">
      <w:pPr>
        <w:tabs>
          <w:tab w:val="left" w:pos="541"/>
          <w:tab w:val="left" w:pos="2799"/>
        </w:tabs>
        <w:spacing w:line="276" w:lineRule="auto"/>
        <w:jc w:val="both"/>
        <w:rPr>
          <w:rFonts w:ascii="Times New Roman" w:hAnsi="Times New Roman" w:cs="Times New Roman"/>
          <w:bCs/>
          <w:sz w:val="28"/>
          <w:szCs w:val="28"/>
        </w:rPr>
      </w:pPr>
      <w:r>
        <w:rPr>
          <w:rFonts w:ascii="Times New Roman" w:hAnsi="Times New Roman" w:cs="Times New Roman"/>
          <w:sz w:val="24"/>
          <w:szCs w:val="24"/>
          <w:u w:val="single"/>
        </w:rPr>
        <w:t xml:space="preserve">Lõikes </w:t>
      </w:r>
      <w:r w:rsidR="00572799">
        <w:rPr>
          <w:rFonts w:ascii="Times New Roman" w:hAnsi="Times New Roman" w:cs="Times New Roman"/>
          <w:sz w:val="24"/>
          <w:szCs w:val="24"/>
          <w:u w:val="single"/>
        </w:rPr>
        <w:t>5</w:t>
      </w:r>
      <w:r>
        <w:rPr>
          <w:rFonts w:ascii="Times New Roman" w:hAnsi="Times New Roman" w:cs="Times New Roman"/>
          <w:sz w:val="24"/>
          <w:szCs w:val="24"/>
        </w:rPr>
        <w:t xml:space="preserve"> sätestatakse ühe taotluse esitamise piirang taotleja kohta, </w:t>
      </w:r>
      <w:r w:rsidRPr="00C14B04">
        <w:rPr>
          <w:rFonts w:ascii="Times New Roman" w:hAnsi="Times New Roman" w:cs="Times New Roman"/>
          <w:sz w:val="24"/>
          <w:szCs w:val="24"/>
        </w:rPr>
        <w:t xml:space="preserve">et tagada </w:t>
      </w:r>
      <w:r>
        <w:rPr>
          <w:rFonts w:ascii="Times New Roman" w:hAnsi="Times New Roman" w:cs="Times New Roman"/>
          <w:sz w:val="24"/>
          <w:szCs w:val="24"/>
        </w:rPr>
        <w:t xml:space="preserve">piiratud </w:t>
      </w:r>
      <w:r w:rsidRPr="00C14B04">
        <w:rPr>
          <w:rFonts w:ascii="Times New Roman" w:hAnsi="Times New Roman" w:cs="Times New Roman"/>
          <w:sz w:val="24"/>
          <w:szCs w:val="24"/>
        </w:rPr>
        <w:t xml:space="preserve">ressursi </w:t>
      </w:r>
      <w:r>
        <w:rPr>
          <w:rFonts w:ascii="Times New Roman" w:hAnsi="Times New Roman" w:cs="Times New Roman"/>
          <w:sz w:val="24"/>
          <w:szCs w:val="24"/>
        </w:rPr>
        <w:t>võimalikult mitmekesine ja lai kasutus.</w:t>
      </w:r>
    </w:p>
    <w:p w14:paraId="21EDFC2D" w14:textId="69486602" w:rsidR="00926219" w:rsidRPr="00982215" w:rsidRDefault="00982215" w:rsidP="00982215">
      <w:pPr>
        <w:pStyle w:val="Default"/>
        <w:spacing w:after="240"/>
        <w:jc w:val="both"/>
        <w:rPr>
          <w:b/>
          <w:bCs/>
        </w:rPr>
      </w:pPr>
      <w:r w:rsidRPr="00790147">
        <w:rPr>
          <w:b/>
          <w:bCs/>
        </w:rPr>
        <w:t xml:space="preserve">4. </w:t>
      </w:r>
      <w:r>
        <w:rPr>
          <w:b/>
          <w:bCs/>
        </w:rPr>
        <w:t>p</w:t>
      </w:r>
      <w:r w:rsidRPr="00790147">
        <w:rPr>
          <w:b/>
          <w:bCs/>
        </w:rPr>
        <w:t xml:space="preserve">eatükk. </w:t>
      </w:r>
      <w:r>
        <w:rPr>
          <w:b/>
          <w:bCs/>
        </w:rPr>
        <w:t>Taotlusvooru avamine, taotluse esitamine ja menetlemine ning taotluse kohta otsuse tegemine</w:t>
      </w:r>
    </w:p>
    <w:p w14:paraId="189DB1B5" w14:textId="3416C9CC" w:rsidR="00982215" w:rsidRPr="00982215" w:rsidRDefault="00982215" w:rsidP="00982215">
      <w:pPr>
        <w:tabs>
          <w:tab w:val="left" w:pos="541"/>
          <w:tab w:val="left" w:pos="2799"/>
        </w:tabs>
        <w:spacing w:line="276" w:lineRule="auto"/>
        <w:jc w:val="both"/>
        <w:rPr>
          <w:rFonts w:ascii="Times New Roman" w:hAnsi="Times New Roman" w:cs="Times New Roman"/>
          <w:bCs/>
          <w:sz w:val="24"/>
          <w:szCs w:val="24"/>
        </w:rPr>
      </w:pPr>
      <w:r w:rsidRPr="00CA298F">
        <w:rPr>
          <w:rFonts w:ascii="Times New Roman" w:hAnsi="Times New Roman" w:cs="Times New Roman"/>
          <w:b/>
          <w:sz w:val="24"/>
          <w:szCs w:val="24"/>
        </w:rPr>
        <w:t>Paragrahv 12</w:t>
      </w:r>
      <w:r w:rsidRPr="00982215">
        <w:rPr>
          <w:rFonts w:ascii="Times New Roman" w:hAnsi="Times New Roman" w:cs="Times New Roman"/>
          <w:bCs/>
          <w:sz w:val="24"/>
          <w:szCs w:val="24"/>
        </w:rPr>
        <w:t xml:space="preserve"> sätestab, et toetuse andja teatab taotlusvooru avamisest, selle tingimustest ja eelarvest oma veebilehel vähemalt seitse kalendripäeva enne taotlusvooru avamise päeva. Teade peab sisaldama vähemalt toetuse andja andmeid, sihtrühma kirjeldust, taotluse esitamise tähtaega ja aadressi ning taotlusvooru tingimusi.</w:t>
      </w:r>
    </w:p>
    <w:p w14:paraId="743AD039" w14:textId="28D80D92" w:rsidR="00982215" w:rsidRDefault="00982215" w:rsidP="00E9607B">
      <w:pPr>
        <w:tabs>
          <w:tab w:val="left" w:pos="541"/>
          <w:tab w:val="left" w:pos="2799"/>
        </w:tabs>
        <w:spacing w:line="276" w:lineRule="auto"/>
        <w:jc w:val="both"/>
        <w:rPr>
          <w:rFonts w:ascii="Times New Roman" w:hAnsi="Times New Roman" w:cs="Times New Roman"/>
          <w:bCs/>
          <w:sz w:val="24"/>
          <w:szCs w:val="24"/>
        </w:rPr>
      </w:pPr>
      <w:r w:rsidRPr="00982215">
        <w:rPr>
          <w:rFonts w:ascii="Times New Roman" w:hAnsi="Times New Roman" w:cs="Times New Roman"/>
          <w:bCs/>
          <w:sz w:val="24"/>
          <w:szCs w:val="24"/>
        </w:rPr>
        <w:t xml:space="preserve">Taotlusvooru tingimustes esitatakse vähemalt toetuse andmise eesmärk ja oodatavad tulemused, toetuse maksimaalne periood ja eelarve, nõuded taotlejale ja taotlusele ning taotluse hindamise kriteeriumid. </w:t>
      </w:r>
      <w:r w:rsidR="0060121A" w:rsidRPr="0060121A">
        <w:rPr>
          <w:rFonts w:ascii="Times New Roman" w:hAnsi="Times New Roman" w:cs="Times New Roman"/>
          <w:bCs/>
          <w:sz w:val="24"/>
          <w:szCs w:val="24"/>
        </w:rPr>
        <w:t>Taotlusvoor on avatud määruse § 7 lõikes 1 sätestatud tähtajani või kuni eelarvevahendite lõppemiseni.</w:t>
      </w:r>
      <w:r w:rsidR="0060121A">
        <w:rPr>
          <w:rFonts w:ascii="Times New Roman" w:hAnsi="Times New Roman" w:cs="Times New Roman"/>
          <w:bCs/>
          <w:sz w:val="24"/>
          <w:szCs w:val="24"/>
        </w:rPr>
        <w:t xml:space="preserve"> </w:t>
      </w:r>
      <w:r w:rsidRPr="00982215">
        <w:rPr>
          <w:rFonts w:ascii="Times New Roman" w:hAnsi="Times New Roman" w:cs="Times New Roman"/>
          <w:bCs/>
          <w:sz w:val="24"/>
          <w:szCs w:val="24"/>
        </w:rPr>
        <w:t xml:space="preserve">Taotleja esitab taotluse kehtival </w:t>
      </w:r>
      <w:proofErr w:type="spellStart"/>
      <w:r w:rsidRPr="00982215">
        <w:rPr>
          <w:rFonts w:ascii="Times New Roman" w:hAnsi="Times New Roman" w:cs="Times New Roman"/>
          <w:bCs/>
          <w:sz w:val="24"/>
          <w:szCs w:val="24"/>
        </w:rPr>
        <w:t>KÜSK-i</w:t>
      </w:r>
      <w:proofErr w:type="spellEnd"/>
      <w:r w:rsidRPr="00982215">
        <w:rPr>
          <w:rFonts w:ascii="Times New Roman" w:hAnsi="Times New Roman" w:cs="Times New Roman"/>
          <w:bCs/>
          <w:sz w:val="24"/>
          <w:szCs w:val="24"/>
        </w:rPr>
        <w:t xml:space="preserve"> taotlusvormil </w:t>
      </w:r>
      <w:r w:rsidRPr="00982215">
        <w:rPr>
          <w:rFonts w:ascii="Times New Roman" w:hAnsi="Times New Roman" w:cs="Times New Roman"/>
          <w:bCs/>
          <w:sz w:val="24"/>
          <w:szCs w:val="24"/>
        </w:rPr>
        <w:lastRenderedPageBreak/>
        <w:t xml:space="preserve">taotluste menetlemise infosüsteemis (TMS), tagades taotluse menetluse läbipaistvuse </w:t>
      </w:r>
      <w:r>
        <w:rPr>
          <w:rFonts w:ascii="Times New Roman" w:hAnsi="Times New Roman" w:cs="Times New Roman"/>
          <w:bCs/>
          <w:sz w:val="24"/>
          <w:szCs w:val="24"/>
        </w:rPr>
        <w:t>j</w:t>
      </w:r>
      <w:r w:rsidRPr="00982215">
        <w:rPr>
          <w:rFonts w:ascii="Times New Roman" w:hAnsi="Times New Roman" w:cs="Times New Roman"/>
          <w:bCs/>
          <w:sz w:val="24"/>
          <w:szCs w:val="24"/>
        </w:rPr>
        <w:t>a järjepidevuse.</w:t>
      </w:r>
    </w:p>
    <w:p w14:paraId="1A3A6AEA" w14:textId="77777777" w:rsidR="00132AA7" w:rsidRDefault="005D3B00" w:rsidP="005D3B00">
      <w:pPr>
        <w:spacing w:after="0" w:line="240" w:lineRule="auto"/>
        <w:jc w:val="both"/>
        <w:rPr>
          <w:rFonts w:ascii="Times New Roman" w:hAnsi="Times New Roman" w:cs="Times New Roman"/>
          <w:sz w:val="24"/>
          <w:szCs w:val="24"/>
        </w:rPr>
      </w:pPr>
      <w:r w:rsidRPr="00FD1F5E">
        <w:rPr>
          <w:rFonts w:ascii="Times New Roman" w:hAnsi="Times New Roman" w:cs="Times New Roman"/>
          <w:b/>
          <w:bCs/>
          <w:sz w:val="24"/>
          <w:szCs w:val="24"/>
        </w:rPr>
        <w:t>Paragrahv</w:t>
      </w:r>
      <w:r>
        <w:rPr>
          <w:rFonts w:ascii="Times New Roman" w:hAnsi="Times New Roman" w:cs="Times New Roman"/>
          <w:b/>
          <w:bCs/>
          <w:sz w:val="24"/>
          <w:szCs w:val="24"/>
        </w:rPr>
        <w:t>iga</w:t>
      </w:r>
      <w:r w:rsidRPr="00FD1F5E">
        <w:rPr>
          <w:rFonts w:ascii="Times New Roman" w:hAnsi="Times New Roman" w:cs="Times New Roman"/>
          <w:b/>
          <w:bCs/>
          <w:sz w:val="24"/>
          <w:szCs w:val="24"/>
        </w:rPr>
        <w:t xml:space="preserve"> 1</w:t>
      </w:r>
      <w:r w:rsidR="00132AA7">
        <w:rPr>
          <w:rFonts w:ascii="Times New Roman" w:hAnsi="Times New Roman" w:cs="Times New Roman"/>
          <w:b/>
          <w:bCs/>
          <w:sz w:val="24"/>
          <w:szCs w:val="24"/>
        </w:rPr>
        <w:t xml:space="preserve">3 </w:t>
      </w:r>
      <w:r w:rsidR="00132AA7" w:rsidRPr="00132AA7">
        <w:rPr>
          <w:rFonts w:ascii="Times New Roman" w:hAnsi="Times New Roman" w:cs="Times New Roman"/>
          <w:sz w:val="24"/>
          <w:szCs w:val="24"/>
        </w:rPr>
        <w:t xml:space="preserve">reguleeritakse taotluse menetlemise protsessi. </w:t>
      </w:r>
    </w:p>
    <w:p w14:paraId="61C1E86E" w14:textId="77777777" w:rsidR="00132AA7" w:rsidRDefault="00132AA7" w:rsidP="005D3B00">
      <w:pPr>
        <w:spacing w:after="0" w:line="240" w:lineRule="auto"/>
        <w:jc w:val="both"/>
        <w:rPr>
          <w:rFonts w:ascii="Times New Roman" w:hAnsi="Times New Roman" w:cs="Times New Roman"/>
          <w:sz w:val="24"/>
          <w:szCs w:val="24"/>
        </w:rPr>
      </w:pPr>
    </w:p>
    <w:p w14:paraId="6F020661" w14:textId="77777777" w:rsidR="00926219" w:rsidRDefault="00132AA7" w:rsidP="005D3B00">
      <w:pPr>
        <w:spacing w:after="0" w:line="240" w:lineRule="auto"/>
        <w:jc w:val="both"/>
        <w:rPr>
          <w:rFonts w:ascii="Times New Roman" w:hAnsi="Times New Roman" w:cs="Times New Roman"/>
          <w:sz w:val="24"/>
          <w:szCs w:val="24"/>
        </w:rPr>
      </w:pPr>
      <w:r w:rsidRPr="00132AA7">
        <w:rPr>
          <w:rFonts w:ascii="Times New Roman" w:hAnsi="Times New Roman" w:cs="Times New Roman"/>
          <w:sz w:val="24"/>
          <w:szCs w:val="24"/>
          <w:u w:val="single"/>
        </w:rPr>
        <w:t>Lõike 1</w:t>
      </w:r>
      <w:r w:rsidRPr="00132AA7">
        <w:rPr>
          <w:rFonts w:ascii="Times New Roman" w:hAnsi="Times New Roman" w:cs="Times New Roman"/>
          <w:sz w:val="24"/>
          <w:szCs w:val="24"/>
        </w:rPr>
        <w:t xml:space="preserve"> kohaselt koosneb taotluse menetlemine kolmest põhietapist: taotleja ja taotluse nõuetele vastavuse kontrollist, taotluse hindamisest ning otsuse tegemisest taotluse rahuldamise või rahuldamata jätmise kohta. </w:t>
      </w:r>
    </w:p>
    <w:p w14:paraId="2957145F" w14:textId="77777777" w:rsidR="00926219" w:rsidRDefault="00926219" w:rsidP="005D3B00">
      <w:pPr>
        <w:spacing w:after="0" w:line="240" w:lineRule="auto"/>
        <w:jc w:val="both"/>
        <w:rPr>
          <w:rFonts w:ascii="Times New Roman" w:hAnsi="Times New Roman" w:cs="Times New Roman"/>
          <w:sz w:val="24"/>
          <w:szCs w:val="24"/>
        </w:rPr>
      </w:pPr>
    </w:p>
    <w:p w14:paraId="0AF83BD5" w14:textId="5D7FEAE6" w:rsidR="005D3B00" w:rsidRPr="00FD1F5E" w:rsidRDefault="00132AA7" w:rsidP="005D3B00">
      <w:pPr>
        <w:spacing w:after="0" w:line="240" w:lineRule="auto"/>
        <w:jc w:val="both"/>
        <w:rPr>
          <w:rFonts w:ascii="Times New Roman" w:hAnsi="Times New Roman" w:cs="Times New Roman"/>
          <w:sz w:val="24"/>
          <w:szCs w:val="24"/>
        </w:rPr>
      </w:pPr>
      <w:r w:rsidRPr="00926219">
        <w:rPr>
          <w:rFonts w:ascii="Times New Roman" w:hAnsi="Times New Roman" w:cs="Times New Roman"/>
          <w:sz w:val="24"/>
          <w:szCs w:val="24"/>
          <w:u w:val="single"/>
        </w:rPr>
        <w:t>Lõike 2</w:t>
      </w:r>
      <w:r w:rsidRPr="00132AA7">
        <w:rPr>
          <w:rFonts w:ascii="Times New Roman" w:hAnsi="Times New Roman" w:cs="Times New Roman"/>
          <w:sz w:val="24"/>
          <w:szCs w:val="24"/>
        </w:rPr>
        <w:t xml:space="preserve"> kohaselt on menetlemise tähtaeg kuni </w:t>
      </w:r>
      <w:r w:rsidR="00CA298F">
        <w:rPr>
          <w:rFonts w:ascii="Times New Roman" w:hAnsi="Times New Roman" w:cs="Times New Roman"/>
          <w:sz w:val="24"/>
          <w:szCs w:val="24"/>
        </w:rPr>
        <w:t>5</w:t>
      </w:r>
      <w:r w:rsidRPr="00132AA7">
        <w:rPr>
          <w:rFonts w:ascii="Times New Roman" w:hAnsi="Times New Roman" w:cs="Times New Roman"/>
          <w:sz w:val="24"/>
          <w:szCs w:val="24"/>
        </w:rPr>
        <w:t>0 tööpäeva taotluse esitamise tähtajast arvates. Selline reguleerimine tagab menetluse läbipaistvuse, järjepidevuse ja selged ajapiirid, võimaldades taotlejatele kiiresti selgust nende taotluse staatuse kohta.</w:t>
      </w:r>
    </w:p>
    <w:p w14:paraId="701C15B8" w14:textId="77777777" w:rsidR="005D3B00" w:rsidRDefault="005D3B00" w:rsidP="005D3B00">
      <w:pPr>
        <w:spacing w:after="0" w:line="240" w:lineRule="auto"/>
        <w:jc w:val="both"/>
        <w:rPr>
          <w:rFonts w:ascii="Times New Roman" w:hAnsi="Times New Roman" w:cs="Times New Roman"/>
          <w:b/>
          <w:bCs/>
          <w:sz w:val="24"/>
          <w:szCs w:val="24"/>
        </w:rPr>
      </w:pPr>
    </w:p>
    <w:p w14:paraId="007A2EA8" w14:textId="41E1426D" w:rsidR="005D3B00" w:rsidRPr="00216C99" w:rsidRDefault="005D3B00" w:rsidP="005D3B00">
      <w:pPr>
        <w:spacing w:after="0" w:line="276" w:lineRule="auto"/>
        <w:jc w:val="both"/>
        <w:rPr>
          <w:rFonts w:ascii="Times New Roman" w:hAnsi="Times New Roman" w:cs="Times New Roman"/>
          <w:sz w:val="24"/>
          <w:szCs w:val="24"/>
        </w:rPr>
      </w:pPr>
      <w:r w:rsidRPr="00FD1F5E">
        <w:rPr>
          <w:rFonts w:ascii="Times New Roman" w:hAnsi="Times New Roman" w:cs="Times New Roman"/>
          <w:b/>
          <w:bCs/>
          <w:sz w:val="24"/>
          <w:szCs w:val="24"/>
        </w:rPr>
        <w:t>Paragrahv</w:t>
      </w:r>
      <w:r>
        <w:rPr>
          <w:rFonts w:ascii="Times New Roman" w:hAnsi="Times New Roman" w:cs="Times New Roman"/>
          <w:b/>
          <w:bCs/>
          <w:sz w:val="24"/>
          <w:szCs w:val="24"/>
        </w:rPr>
        <w:t>iga</w:t>
      </w:r>
      <w:r w:rsidRPr="00FD1F5E">
        <w:rPr>
          <w:rFonts w:ascii="Times New Roman" w:hAnsi="Times New Roman" w:cs="Times New Roman"/>
          <w:b/>
          <w:bCs/>
          <w:sz w:val="24"/>
          <w:szCs w:val="24"/>
        </w:rPr>
        <w:t xml:space="preserve"> 1</w:t>
      </w:r>
      <w:r>
        <w:rPr>
          <w:rFonts w:ascii="Times New Roman" w:hAnsi="Times New Roman" w:cs="Times New Roman"/>
          <w:b/>
          <w:bCs/>
          <w:sz w:val="24"/>
          <w:szCs w:val="24"/>
        </w:rPr>
        <w:t xml:space="preserve">4 </w:t>
      </w:r>
      <w:r>
        <w:rPr>
          <w:rFonts w:ascii="Times New Roman" w:hAnsi="Times New Roman" w:cs="Times New Roman"/>
          <w:sz w:val="24"/>
          <w:szCs w:val="24"/>
        </w:rPr>
        <w:t>reguleeritakse taotleja ja taotluse nõuetele vastavuse kontrollimist.</w:t>
      </w:r>
    </w:p>
    <w:p w14:paraId="7D3B8989" w14:textId="77777777" w:rsidR="005D3B00" w:rsidRDefault="005D3B00" w:rsidP="005D3B00">
      <w:pPr>
        <w:spacing w:after="0"/>
        <w:jc w:val="both"/>
        <w:rPr>
          <w:rFonts w:ascii="Times New Roman" w:hAnsi="Times New Roman" w:cs="Times New Roman"/>
          <w:sz w:val="24"/>
          <w:szCs w:val="24"/>
          <w:u w:val="single"/>
        </w:rPr>
      </w:pPr>
    </w:p>
    <w:p w14:paraId="2FA80EBD" w14:textId="7018367E" w:rsidR="005D3B00" w:rsidRPr="005D3B00" w:rsidRDefault="005D3B00" w:rsidP="005D3B00">
      <w:pPr>
        <w:spacing w:after="0"/>
        <w:jc w:val="both"/>
        <w:rPr>
          <w:rFonts w:ascii="Times New Roman" w:hAnsi="Times New Roman" w:cs="Times New Roman"/>
          <w:sz w:val="24"/>
          <w:szCs w:val="24"/>
        </w:rPr>
      </w:pPr>
      <w:r w:rsidRPr="005D3B00">
        <w:rPr>
          <w:rFonts w:ascii="Times New Roman" w:hAnsi="Times New Roman" w:cs="Times New Roman"/>
          <w:sz w:val="24"/>
          <w:szCs w:val="24"/>
          <w:u w:val="single"/>
        </w:rPr>
        <w:t>Lõigete 1–3</w:t>
      </w:r>
      <w:r w:rsidRPr="005D3B00">
        <w:rPr>
          <w:rFonts w:ascii="Times New Roman" w:hAnsi="Times New Roman" w:cs="Times New Roman"/>
          <w:sz w:val="24"/>
          <w:szCs w:val="24"/>
        </w:rPr>
        <w:t xml:space="preserve"> kohaselt kontrollib toetuse andja, kas taotleja ja esitatud taotlus vastavad määruses sätestatud nõuetele. Kui taotlus sisaldab vormilisi puudusi, teavitab toetuse andja taotlejat ning määrab mõistliku tähtaja nende kõrvaldamiseks. Puuduste kõrvaldamise ajaks peatub taotluse menetlemise aeg. Taotlejal on õigus esitatud taotlust täiendada ja muuta üksnes toetuse andja osutatud puuduste kõrvaldamiseks. Kui taotleja ei kõrvalda puudusi määratud tähtajaks või esitatud lisateave ei täida nõuet, võib toetuse andja jätta taotluse kontrollimata ja sisuliselt läbi vaatamata ning teha rahuldamata jätmise otsuse, teavitades sellest taotlejat.</w:t>
      </w:r>
    </w:p>
    <w:p w14:paraId="46CC9E70" w14:textId="77777777" w:rsidR="005D3B00" w:rsidRDefault="005D3B00" w:rsidP="005D3B00">
      <w:pPr>
        <w:spacing w:after="0"/>
        <w:jc w:val="both"/>
        <w:rPr>
          <w:rFonts w:ascii="Times New Roman" w:hAnsi="Times New Roman" w:cs="Times New Roman"/>
          <w:sz w:val="24"/>
          <w:szCs w:val="24"/>
        </w:rPr>
      </w:pPr>
    </w:p>
    <w:p w14:paraId="64BA8F27" w14:textId="44EA01F1" w:rsidR="005D3B00" w:rsidRDefault="005D3B00" w:rsidP="005D3B00">
      <w:pPr>
        <w:spacing w:after="0"/>
        <w:jc w:val="both"/>
        <w:rPr>
          <w:rFonts w:ascii="Times New Roman" w:hAnsi="Times New Roman" w:cs="Times New Roman"/>
          <w:sz w:val="24"/>
          <w:szCs w:val="24"/>
        </w:rPr>
      </w:pPr>
      <w:r w:rsidRPr="005D3B00">
        <w:rPr>
          <w:rFonts w:ascii="Times New Roman" w:hAnsi="Times New Roman" w:cs="Times New Roman"/>
          <w:sz w:val="24"/>
          <w:szCs w:val="24"/>
          <w:u w:val="single"/>
        </w:rPr>
        <w:t>Lõike 4</w:t>
      </w:r>
      <w:r w:rsidRPr="005D3B00">
        <w:rPr>
          <w:rFonts w:ascii="Times New Roman" w:hAnsi="Times New Roman" w:cs="Times New Roman"/>
          <w:sz w:val="24"/>
          <w:szCs w:val="24"/>
        </w:rPr>
        <w:t xml:space="preserve"> kohaselt tunnistatakse taotlus ja taotleja nõuetele vastavaks, kui kõik määruses sätestatud nõuded, sealhulgas §-des </w:t>
      </w:r>
      <w:r w:rsidR="00CA298F">
        <w:rPr>
          <w:rFonts w:ascii="Times New Roman" w:hAnsi="Times New Roman" w:cs="Times New Roman"/>
          <w:sz w:val="24"/>
          <w:szCs w:val="24"/>
        </w:rPr>
        <w:t>9</w:t>
      </w:r>
      <w:r w:rsidRPr="005D3B00">
        <w:rPr>
          <w:rFonts w:ascii="Times New Roman" w:hAnsi="Times New Roman" w:cs="Times New Roman"/>
          <w:sz w:val="24"/>
          <w:szCs w:val="24"/>
        </w:rPr>
        <w:t xml:space="preserve">–11 esitatud kriteeriumid, on täidetud. </w:t>
      </w:r>
    </w:p>
    <w:p w14:paraId="3C7056F5" w14:textId="77777777" w:rsidR="005D3B00" w:rsidRDefault="005D3B00" w:rsidP="005D3B00">
      <w:pPr>
        <w:spacing w:after="0"/>
        <w:jc w:val="both"/>
        <w:rPr>
          <w:rFonts w:ascii="Times New Roman" w:hAnsi="Times New Roman" w:cs="Times New Roman"/>
          <w:sz w:val="24"/>
          <w:szCs w:val="24"/>
        </w:rPr>
      </w:pPr>
    </w:p>
    <w:p w14:paraId="5D4A445F" w14:textId="6412B32B" w:rsidR="005D3B00" w:rsidRPr="005D3B00" w:rsidRDefault="005D3B00" w:rsidP="005D3B00">
      <w:pPr>
        <w:spacing w:after="0"/>
        <w:jc w:val="both"/>
        <w:rPr>
          <w:rFonts w:ascii="Times New Roman" w:hAnsi="Times New Roman" w:cs="Times New Roman"/>
          <w:sz w:val="24"/>
          <w:szCs w:val="24"/>
        </w:rPr>
      </w:pPr>
      <w:r w:rsidRPr="005D3B00">
        <w:rPr>
          <w:rFonts w:ascii="Times New Roman" w:hAnsi="Times New Roman" w:cs="Times New Roman"/>
          <w:sz w:val="24"/>
          <w:szCs w:val="24"/>
          <w:u w:val="single"/>
        </w:rPr>
        <w:t>Lõike 5</w:t>
      </w:r>
      <w:r w:rsidRPr="005D3B00">
        <w:rPr>
          <w:rFonts w:ascii="Times New Roman" w:hAnsi="Times New Roman" w:cs="Times New Roman"/>
          <w:sz w:val="24"/>
          <w:szCs w:val="24"/>
        </w:rPr>
        <w:t xml:space="preserve"> kohaselt teeb toetuse andja nõuetele mittevastava taotluse puhul rahuldamata jätmise otsuse 14 tööpäeva jooksul. Selline reguleerimine tagab, et taotluste menetlemine on läbipaistev, objektiivne ning keskendub nii vormiliste kui ka sisuliste nõuete täitmisele.</w:t>
      </w:r>
    </w:p>
    <w:p w14:paraId="786EB129" w14:textId="77777777" w:rsidR="005D3B00" w:rsidRDefault="005D3B00" w:rsidP="00676469">
      <w:pPr>
        <w:pStyle w:val="ListParagraph"/>
        <w:spacing w:after="0" w:line="240" w:lineRule="auto"/>
        <w:ind w:left="0"/>
        <w:jc w:val="both"/>
        <w:rPr>
          <w:rFonts w:ascii="Times New Roman" w:hAnsi="Times New Roman" w:cs="Times New Roman"/>
          <w:b/>
          <w:bCs/>
          <w:sz w:val="24"/>
          <w:szCs w:val="24"/>
        </w:rPr>
      </w:pPr>
    </w:p>
    <w:p w14:paraId="1686EE70" w14:textId="26111566" w:rsidR="00676469" w:rsidRPr="00420098" w:rsidRDefault="00676469" w:rsidP="00676469">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b/>
          <w:bCs/>
          <w:sz w:val="24"/>
          <w:szCs w:val="24"/>
        </w:rPr>
        <w:t>Paragrahviga</w:t>
      </w:r>
      <w:r w:rsidRPr="00420098">
        <w:rPr>
          <w:rFonts w:ascii="Times New Roman" w:hAnsi="Times New Roman" w:cs="Times New Roman"/>
          <w:b/>
          <w:bCs/>
          <w:sz w:val="24"/>
          <w:szCs w:val="24"/>
        </w:rPr>
        <w:t xml:space="preserve"> </w:t>
      </w:r>
      <w:r>
        <w:rPr>
          <w:rFonts w:ascii="Times New Roman" w:hAnsi="Times New Roman" w:cs="Times New Roman"/>
          <w:b/>
          <w:bCs/>
          <w:sz w:val="24"/>
          <w:szCs w:val="24"/>
        </w:rPr>
        <w:t>15</w:t>
      </w:r>
      <w:r w:rsidRPr="00420098">
        <w:rPr>
          <w:rFonts w:ascii="Times New Roman" w:hAnsi="Times New Roman" w:cs="Times New Roman"/>
          <w:b/>
          <w:bCs/>
          <w:sz w:val="24"/>
          <w:szCs w:val="24"/>
        </w:rPr>
        <w:t xml:space="preserve"> </w:t>
      </w:r>
      <w:r w:rsidRPr="00420098">
        <w:rPr>
          <w:rFonts w:ascii="Times New Roman" w:hAnsi="Times New Roman" w:cs="Times New Roman"/>
          <w:sz w:val="24"/>
          <w:szCs w:val="24"/>
        </w:rPr>
        <w:t xml:space="preserve">reguleeritakse </w:t>
      </w:r>
      <w:r>
        <w:rPr>
          <w:rFonts w:ascii="Times New Roman" w:hAnsi="Times New Roman" w:cs="Times New Roman"/>
          <w:sz w:val="24"/>
          <w:szCs w:val="24"/>
        </w:rPr>
        <w:t xml:space="preserve">taotluste sisuline hindamine, nõuetele vastavaks tunnistatud </w:t>
      </w:r>
      <w:r w:rsidRPr="00420098">
        <w:rPr>
          <w:rFonts w:ascii="Times New Roman" w:hAnsi="Times New Roman" w:cs="Times New Roman"/>
          <w:sz w:val="24"/>
          <w:szCs w:val="24"/>
        </w:rPr>
        <w:t>taotluse hindami</w:t>
      </w:r>
      <w:r>
        <w:rPr>
          <w:rFonts w:ascii="Times New Roman" w:hAnsi="Times New Roman" w:cs="Times New Roman"/>
          <w:sz w:val="24"/>
          <w:szCs w:val="24"/>
        </w:rPr>
        <w:t>se põhimõtted ja valiku kord.</w:t>
      </w:r>
    </w:p>
    <w:p w14:paraId="5175F576" w14:textId="77777777" w:rsidR="00676469" w:rsidRDefault="00676469" w:rsidP="00676469">
      <w:pPr>
        <w:spacing w:after="0" w:line="240" w:lineRule="auto"/>
        <w:jc w:val="both"/>
        <w:rPr>
          <w:rFonts w:ascii="Times New Roman" w:hAnsi="Times New Roman" w:cs="Times New Roman"/>
          <w:sz w:val="24"/>
          <w:szCs w:val="24"/>
        </w:rPr>
      </w:pPr>
    </w:p>
    <w:p w14:paraId="3556813E" w14:textId="61BAB933" w:rsidR="00676469" w:rsidRPr="00AD2D5A" w:rsidRDefault="00676469" w:rsidP="00676469">
      <w:pPr>
        <w:pStyle w:val="Default"/>
        <w:jc w:val="both"/>
        <w:rPr>
          <w:color w:val="auto"/>
        </w:rPr>
      </w:pPr>
      <w:r w:rsidRPr="00AD2D5A">
        <w:rPr>
          <w:color w:val="auto"/>
        </w:rPr>
        <w:t xml:space="preserve">Kui </w:t>
      </w:r>
      <w:r>
        <w:rPr>
          <w:color w:val="auto"/>
        </w:rPr>
        <w:t xml:space="preserve">KÜSK </w:t>
      </w:r>
      <w:r w:rsidRPr="00AD2D5A">
        <w:rPr>
          <w:color w:val="auto"/>
        </w:rPr>
        <w:t xml:space="preserve">on taotluse läbi vaadanud </w:t>
      </w:r>
      <w:r>
        <w:rPr>
          <w:color w:val="auto"/>
        </w:rPr>
        <w:t>ning</w:t>
      </w:r>
      <w:r w:rsidRPr="00AD2D5A">
        <w:rPr>
          <w:color w:val="auto"/>
        </w:rPr>
        <w:t xml:space="preserve"> kontrollinud taotleja ja taotluse nõuetele vastavust, hinda</w:t>
      </w:r>
      <w:r>
        <w:rPr>
          <w:color w:val="auto"/>
        </w:rPr>
        <w:t xml:space="preserve">b </w:t>
      </w:r>
      <w:r w:rsidRPr="00AD2D5A">
        <w:rPr>
          <w:color w:val="auto"/>
        </w:rPr>
        <w:t xml:space="preserve">nõuetekohast taotlust </w:t>
      </w:r>
      <w:r>
        <w:rPr>
          <w:color w:val="auto"/>
        </w:rPr>
        <w:t>kolmeliikmeline sõltumatu hindajate rühm</w:t>
      </w:r>
      <w:r w:rsidRPr="00AD2D5A">
        <w:rPr>
          <w:color w:val="auto"/>
        </w:rPr>
        <w:t xml:space="preserve"> (edaspidi</w:t>
      </w:r>
      <w:r w:rsidRPr="00AD2D5A">
        <w:rPr>
          <w:i/>
          <w:iCs/>
          <w:color w:val="auto"/>
        </w:rPr>
        <w:t xml:space="preserve"> </w:t>
      </w:r>
      <w:r>
        <w:rPr>
          <w:i/>
          <w:iCs/>
          <w:color w:val="auto"/>
        </w:rPr>
        <w:t>hindajad</w:t>
      </w:r>
      <w:r w:rsidRPr="00AD2D5A">
        <w:rPr>
          <w:color w:val="auto"/>
        </w:rPr>
        <w:t xml:space="preserve">). </w:t>
      </w:r>
      <w:r>
        <w:t xml:space="preserve">Hindajad peavad kooskõlas korruptsioonivastase seadusega kinnitama oma erapooletust ning sõltumatust hinnatava taotluse ja taotleja suhtes. Seotuse olemasolu korral on hindaja kohustatud ennast HMS §-s 10 toodud tingimustel ja korras taandama. </w:t>
      </w:r>
    </w:p>
    <w:p w14:paraId="52A8E50A" w14:textId="77777777" w:rsidR="00676469" w:rsidRDefault="00676469" w:rsidP="00676469">
      <w:pPr>
        <w:spacing w:after="0" w:line="240" w:lineRule="auto"/>
        <w:jc w:val="both"/>
        <w:rPr>
          <w:rFonts w:ascii="Times New Roman" w:hAnsi="Times New Roman" w:cs="Times New Roman"/>
          <w:sz w:val="24"/>
          <w:szCs w:val="24"/>
        </w:rPr>
      </w:pPr>
    </w:p>
    <w:p w14:paraId="2352D6ED" w14:textId="50BFDDB4" w:rsidR="00BB38DB" w:rsidRPr="00BB38DB" w:rsidRDefault="00676469" w:rsidP="007F10BE">
      <w:pPr>
        <w:pStyle w:val="Default"/>
        <w:spacing w:after="240"/>
        <w:jc w:val="both"/>
      </w:pPr>
      <w:r w:rsidRPr="008051D4">
        <w:rPr>
          <w:color w:val="auto"/>
          <w:u w:val="single"/>
        </w:rPr>
        <w:t xml:space="preserve">Lõike </w:t>
      </w:r>
      <w:r>
        <w:rPr>
          <w:color w:val="auto"/>
          <w:u w:val="single"/>
        </w:rPr>
        <w:t>2</w:t>
      </w:r>
      <w:r w:rsidRPr="00801BCD">
        <w:rPr>
          <w:color w:val="auto"/>
        </w:rPr>
        <w:t xml:space="preserve"> järgi</w:t>
      </w:r>
      <w:r w:rsidRPr="00AD2D5A">
        <w:rPr>
          <w:color w:val="auto"/>
        </w:rPr>
        <w:t xml:space="preserve"> </w:t>
      </w:r>
      <w:r w:rsidR="007F10BE">
        <w:t>toimub t</w:t>
      </w:r>
      <w:r w:rsidR="007F10BE" w:rsidRPr="007F10BE">
        <w:t xml:space="preserve">aotluste hindamine nelja kriteeriumi alusel, et tagada toetuse andmine läbimõeldud, mõjusa ja sihtrühmale väärtust loova sündmuse korraldamiseks. Esimene kriteerium (40% maksimaalsest koondhindest) keskendub sündmuse vajalikkusele ja vastavusele konkursi tingimustele, sealhulgas sihtrühmadele suunatusele ning sündmuse eesmärkide, oodatavate tulemuste ja mõju kirjeldamisele osalejatele ja ühiskonnale. Teine kriteerium (20%) hindab taotleja võimekust saavutada ühingu avalikes huvides seatud eesmärke, mõõta tulemusi ja tõendada sündmuse mõju oma sihtrühmale ning arvestab taotleja usaldusväärsust. Kolmas kriteerium (20%) käsitleb sündmuse läbimõeldust ja põhjendatust, sealhulgas tegevuskava realistlikkust ja olulisemate tegevuste ülevaadet ajakava kontekstis. Neljas kriteerium (20%) keskendub korraldusmeeskonna, partnerite ja vabatahtlike rolli </w:t>
      </w:r>
      <w:r w:rsidR="007F10BE" w:rsidRPr="007F10BE">
        <w:lastRenderedPageBreak/>
        <w:t>kirjeldamisele, meeskonna kogemusele, pädevusele ja suutlikkusele sündmust edukalt ellu viia. Selline hindamissüsteem tagab, et toetust saavad projektid, mis on eesmärgipärased, professionaalselt korraldatud ja avalikku huvi teenivad.</w:t>
      </w:r>
    </w:p>
    <w:p w14:paraId="0793A81B" w14:textId="77777777" w:rsidR="00676469" w:rsidRDefault="00676469" w:rsidP="00676469">
      <w:pPr>
        <w:pStyle w:val="Default"/>
        <w:jc w:val="both"/>
      </w:pPr>
      <w:r w:rsidRPr="00AD2D5A">
        <w:t>Kriteeriumite selge sätestamine on oluline selleks, et taotlejale oleks arusaadav, mida hinnatakse. Samuti on läbipaistvad ja selgelt kirjeldatud kriteeriumid taotlejale abiks taotluse koostamisel ning tegevuste ja tulemuste kirjeldamisel. Ühtlasi on selgelt kirjapandud asjaolud juhendiks taotluste hindajatele ja otsuse tegijatele.</w:t>
      </w:r>
      <w:r>
        <w:t xml:space="preserve"> Kokku saab ühele taotlusele anda maksimaalselt 100 punkti. Et vältida olukorda, kus küll nõuetele vastav, kuid sisuliselt nõrk taotlus saaks rahastuse, nähakse taotluse sisule ette miinimumpunktisumma, milleks on 60 punkti.</w:t>
      </w:r>
      <w:r w:rsidRPr="00670F10">
        <w:rPr>
          <w:rFonts w:asciiTheme="minorHAnsi" w:hAnsiTheme="minorHAnsi" w:cstheme="minorBidi"/>
          <w:color w:val="auto"/>
          <w:kern w:val="2"/>
          <w:sz w:val="22"/>
          <w:szCs w:val="22"/>
          <w14:ligatures w14:val="standardContextual"/>
        </w:rPr>
        <w:t xml:space="preserve"> </w:t>
      </w:r>
      <w:r w:rsidRPr="00670F10">
        <w:t xml:space="preserve">Lävendi kehtestamine tagab, et toetust saavad ainult </w:t>
      </w:r>
      <w:r>
        <w:t xml:space="preserve">need </w:t>
      </w:r>
      <w:r w:rsidRPr="00670F10">
        <w:t>taotlused</w:t>
      </w:r>
      <w:r>
        <w:t>, mis on</w:t>
      </w:r>
      <w:r w:rsidRPr="00670F10">
        <w:t xml:space="preserve"> piisava</w:t>
      </w:r>
      <w:r>
        <w:t>lt asjakohased ja</w:t>
      </w:r>
      <w:r w:rsidRPr="00670F10">
        <w:t xml:space="preserve"> </w:t>
      </w:r>
      <w:r>
        <w:t>kvaliteetse sisuga.</w:t>
      </w:r>
    </w:p>
    <w:p w14:paraId="46A4C855" w14:textId="77777777" w:rsidR="00676469" w:rsidRDefault="00676469" w:rsidP="00676469">
      <w:pPr>
        <w:pStyle w:val="Default"/>
        <w:jc w:val="both"/>
      </w:pPr>
    </w:p>
    <w:p w14:paraId="3AA64B62" w14:textId="77777777" w:rsidR="00676469" w:rsidRDefault="00676469" w:rsidP="00676469">
      <w:pPr>
        <w:pStyle w:val="Default"/>
        <w:jc w:val="both"/>
      </w:pPr>
      <w:r>
        <w:t xml:space="preserve">Nõuetele vastavate taotluste hindamistulemuste ja ettepanekute arutamiseks toimub hindajate koosolek. </w:t>
      </w:r>
      <w:r w:rsidRPr="0085596D">
        <w:rPr>
          <w:u w:val="single"/>
        </w:rPr>
        <w:t>Lõikes 4</w:t>
      </w:r>
      <w:r>
        <w:t xml:space="preserve"> </w:t>
      </w:r>
      <w:r w:rsidRPr="0085596D">
        <w:t xml:space="preserve">rõhutatakse hindamisprotsessi läbipaistvuse tagamist. Kui </w:t>
      </w:r>
      <w:r>
        <w:t xml:space="preserve">hindajad on andnud </w:t>
      </w:r>
      <w:r w:rsidRPr="0085596D">
        <w:t>sama</w:t>
      </w:r>
      <w:r>
        <w:t>le</w:t>
      </w:r>
      <w:r w:rsidRPr="0085596D">
        <w:t xml:space="preserve"> taotluse</w:t>
      </w:r>
      <w:r>
        <w:t>le oluliselt erinevaid</w:t>
      </w:r>
      <w:r w:rsidRPr="0085596D">
        <w:t xml:space="preserve"> </w:t>
      </w:r>
      <w:r>
        <w:t>koondhindeid</w:t>
      </w:r>
      <w:r w:rsidRPr="0085596D">
        <w:t xml:space="preserve"> (üle 25</w:t>
      </w:r>
      <w:r>
        <w:t>-</w:t>
      </w:r>
      <w:r w:rsidRPr="0085596D">
        <w:t>punkti</w:t>
      </w:r>
      <w:r>
        <w:t>ne</w:t>
      </w:r>
      <w:r w:rsidRPr="0085596D">
        <w:t xml:space="preserve"> vahe), peavad </w:t>
      </w:r>
      <w:r>
        <w:t>nad</w:t>
      </w:r>
      <w:r w:rsidRPr="0085596D">
        <w:t xml:space="preserve"> erinevuse põhjuseid ühiselt arutama. Selline nõue aitab vältida hindamisvigu ja vähendada subjektiivsuse mõju, saavutades ühtlasema </w:t>
      </w:r>
      <w:r>
        <w:t>ning</w:t>
      </w:r>
      <w:r w:rsidRPr="0085596D">
        <w:t xml:space="preserve"> põhjendatuma hindamistulemuse.</w:t>
      </w:r>
    </w:p>
    <w:p w14:paraId="5B752776" w14:textId="77777777" w:rsidR="00676469" w:rsidRDefault="00676469" w:rsidP="00676469">
      <w:pPr>
        <w:pStyle w:val="Default"/>
        <w:jc w:val="both"/>
      </w:pPr>
    </w:p>
    <w:p w14:paraId="4E820681" w14:textId="1D1A04AA" w:rsidR="004C31F2" w:rsidRDefault="00676469" w:rsidP="004C31F2">
      <w:pPr>
        <w:pStyle w:val="Default"/>
        <w:jc w:val="both"/>
      </w:pPr>
      <w:r w:rsidRPr="00331EEE">
        <w:t>Hindamise tulemusena tekib p</w:t>
      </w:r>
      <w:r>
        <w:t>aremusjärjestus</w:t>
      </w:r>
      <w:r w:rsidRPr="00331EEE">
        <w:t xml:space="preserve">. </w:t>
      </w:r>
      <w:r>
        <w:t>T</w:t>
      </w:r>
      <w:r w:rsidRPr="00670F10">
        <w:t>aotlused, mis on saanud vähemalt 60 punkti, järjestatakse hindamistulemuste alusel alates kõrgeimast koondhindest. Toetusi eraldatakse vastavalt sellele järjestusele seni, kuni vastava vooru eelarvelised vahendid on ammendunud</w:t>
      </w:r>
      <w:r w:rsidR="007F10BE">
        <w:t>.</w:t>
      </w:r>
      <w:r w:rsidRPr="00670F10">
        <w:t xml:space="preserve"> Kui </w:t>
      </w:r>
      <w:r>
        <w:t>taotlusvooru eelarve ammendub</w:t>
      </w:r>
      <w:r w:rsidRPr="00670F10">
        <w:t>, jäävad madalamale järjestatud taotlused rahastusest välja, isegi kui nende hinne ületab lävendi.</w:t>
      </w:r>
      <w:r w:rsidR="004C31F2" w:rsidRPr="004C31F2">
        <w:t xml:space="preserve"> </w:t>
      </w:r>
    </w:p>
    <w:p w14:paraId="5A172CB7" w14:textId="77777777" w:rsidR="004C31F2" w:rsidRDefault="004C31F2" w:rsidP="004C31F2">
      <w:pPr>
        <w:pStyle w:val="Default"/>
        <w:jc w:val="both"/>
      </w:pPr>
    </w:p>
    <w:p w14:paraId="7545EC4B" w14:textId="461B519B" w:rsidR="00676469" w:rsidRPr="00973B36" w:rsidRDefault="004C31F2" w:rsidP="004C31F2">
      <w:pPr>
        <w:pStyle w:val="Default"/>
        <w:spacing w:after="240"/>
        <w:jc w:val="both"/>
      </w:pPr>
      <w:r w:rsidRPr="00913B4C">
        <w:t>Hindamisprotsessi konfidentsiaalsuse tagamiseks ei avalikustata</w:t>
      </w:r>
      <w:r>
        <w:t xml:space="preserve"> t</w:t>
      </w:r>
      <w:r w:rsidRPr="00E462C6">
        <w:t>eavet, milles taotlus</w:t>
      </w:r>
      <w:r>
        <w:t>te</w:t>
      </w:r>
      <w:r w:rsidRPr="00E462C6">
        <w:t xml:space="preserve"> hindajate nimed on isikuliselt seostatud </w:t>
      </w:r>
      <w:r>
        <w:t>nende</w:t>
      </w:r>
      <w:r w:rsidRPr="00E462C6">
        <w:t xml:space="preserve"> antud kriteeriumipõhiste hindamispunktidega.</w:t>
      </w:r>
      <w:r>
        <w:t xml:space="preserve"> </w:t>
      </w:r>
      <w:r w:rsidRPr="00913B4C">
        <w:t>See tagab hindamise erapooletuse ja usaldusväärsuse.</w:t>
      </w:r>
      <w:r>
        <w:t xml:space="preserve"> Andmekaitse Inspektsioon on väljendanud seisukohta, et „eksperdi nime avalikustamine kujul, mil see on </w:t>
      </w:r>
      <w:proofErr w:type="spellStart"/>
      <w:r>
        <w:t>kokkuviidav</w:t>
      </w:r>
      <w:proofErr w:type="spellEnd"/>
      <w:r>
        <w:t xml:space="preserve"> tema antud hindamispunktide ja/või hinnangute/kommentaaridega, võib kaasa tuua hindajale eraelu olulise riive nt võimaliku rünnaku näol“.</w:t>
      </w:r>
      <w:r>
        <w:rPr>
          <w:rStyle w:val="FootnoteReference"/>
        </w:rPr>
        <w:footnoteReference w:id="5"/>
      </w:r>
    </w:p>
    <w:p w14:paraId="401BB6C5" w14:textId="477F99D1" w:rsidR="00E774C0" w:rsidRPr="00FC39D3" w:rsidRDefault="00E774C0" w:rsidP="00E774C0">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Paragrahviga</w:t>
      </w:r>
      <w:r w:rsidRPr="00FC39D3">
        <w:rPr>
          <w:rFonts w:ascii="Times New Roman" w:hAnsi="Times New Roman" w:cs="Times New Roman"/>
          <w:b/>
          <w:bCs/>
          <w:sz w:val="24"/>
          <w:szCs w:val="24"/>
        </w:rPr>
        <w:t xml:space="preserve"> 1</w:t>
      </w:r>
      <w:r>
        <w:rPr>
          <w:rFonts w:ascii="Times New Roman" w:hAnsi="Times New Roman" w:cs="Times New Roman"/>
          <w:b/>
          <w:bCs/>
          <w:sz w:val="24"/>
          <w:szCs w:val="24"/>
        </w:rPr>
        <w:t>6</w:t>
      </w:r>
      <w:r w:rsidRPr="00FC39D3">
        <w:rPr>
          <w:rFonts w:ascii="Times New Roman" w:hAnsi="Times New Roman" w:cs="Times New Roman"/>
          <w:b/>
          <w:bCs/>
          <w:sz w:val="24"/>
          <w:szCs w:val="24"/>
        </w:rPr>
        <w:t xml:space="preserve"> </w:t>
      </w:r>
      <w:r w:rsidRPr="00FC39D3">
        <w:rPr>
          <w:rFonts w:ascii="Times New Roman" w:hAnsi="Times New Roman" w:cs="Times New Roman"/>
          <w:sz w:val="24"/>
          <w:szCs w:val="24"/>
        </w:rPr>
        <w:t>reguleeritakse taotluse rahuldamise</w:t>
      </w:r>
      <w:r>
        <w:rPr>
          <w:rFonts w:ascii="Times New Roman" w:hAnsi="Times New Roman" w:cs="Times New Roman"/>
          <w:sz w:val="24"/>
          <w:szCs w:val="24"/>
        </w:rPr>
        <w:t xml:space="preserve"> </w:t>
      </w:r>
      <w:r w:rsidRPr="00FC39D3">
        <w:rPr>
          <w:rFonts w:ascii="Times New Roman" w:hAnsi="Times New Roman" w:cs="Times New Roman"/>
          <w:sz w:val="24"/>
          <w:szCs w:val="24"/>
        </w:rPr>
        <w:t>ja rahuldamata jätmise otsuse tegemi</w:t>
      </w:r>
      <w:r>
        <w:rPr>
          <w:rFonts w:ascii="Times New Roman" w:hAnsi="Times New Roman" w:cs="Times New Roman"/>
          <w:sz w:val="24"/>
          <w:szCs w:val="24"/>
        </w:rPr>
        <w:t>s</w:t>
      </w:r>
      <w:r w:rsidRPr="00FC39D3">
        <w:rPr>
          <w:rFonts w:ascii="Times New Roman" w:hAnsi="Times New Roman" w:cs="Times New Roman"/>
          <w:sz w:val="24"/>
          <w:szCs w:val="24"/>
        </w:rPr>
        <w:t xml:space="preserve">e tingimused </w:t>
      </w:r>
      <w:r>
        <w:rPr>
          <w:rFonts w:ascii="Times New Roman" w:hAnsi="Times New Roman" w:cs="Times New Roman"/>
          <w:sz w:val="24"/>
          <w:szCs w:val="24"/>
        </w:rPr>
        <w:t>ja</w:t>
      </w:r>
      <w:r w:rsidRPr="00FC39D3">
        <w:rPr>
          <w:rFonts w:ascii="Times New Roman" w:hAnsi="Times New Roman" w:cs="Times New Roman"/>
          <w:sz w:val="24"/>
          <w:szCs w:val="24"/>
        </w:rPr>
        <w:t xml:space="preserve"> kord.</w:t>
      </w:r>
    </w:p>
    <w:p w14:paraId="023F7205" w14:textId="77777777" w:rsidR="00E774C0" w:rsidRDefault="00E774C0" w:rsidP="00E774C0">
      <w:pPr>
        <w:spacing w:after="0" w:line="240" w:lineRule="auto"/>
        <w:jc w:val="both"/>
        <w:rPr>
          <w:rFonts w:ascii="Times New Roman" w:hAnsi="Times New Roman" w:cs="Times New Roman"/>
          <w:sz w:val="24"/>
          <w:szCs w:val="24"/>
        </w:rPr>
      </w:pPr>
    </w:p>
    <w:p w14:paraId="5705E41C" w14:textId="55207EC9" w:rsidR="00E774C0" w:rsidRDefault="00E774C0" w:rsidP="00E774C0">
      <w:pPr>
        <w:spacing w:after="0" w:line="240" w:lineRule="auto"/>
        <w:jc w:val="both"/>
        <w:rPr>
          <w:rFonts w:ascii="Times New Roman" w:hAnsi="Times New Roman" w:cs="Times New Roman"/>
          <w:sz w:val="24"/>
          <w:szCs w:val="24"/>
        </w:rPr>
      </w:pPr>
      <w:proofErr w:type="spellStart"/>
      <w:r w:rsidRPr="00FC39D3">
        <w:rPr>
          <w:rFonts w:ascii="Times New Roman" w:hAnsi="Times New Roman" w:cs="Times New Roman"/>
          <w:sz w:val="24"/>
          <w:szCs w:val="24"/>
        </w:rPr>
        <w:t>KÜSK</w:t>
      </w:r>
      <w:r>
        <w:rPr>
          <w:rFonts w:ascii="Times New Roman" w:hAnsi="Times New Roman" w:cs="Times New Roman"/>
          <w:sz w:val="24"/>
          <w:szCs w:val="24"/>
        </w:rPr>
        <w:t>i</w:t>
      </w:r>
      <w:proofErr w:type="spellEnd"/>
      <w:r>
        <w:rPr>
          <w:rFonts w:ascii="Times New Roman" w:hAnsi="Times New Roman" w:cs="Times New Roman"/>
          <w:sz w:val="24"/>
          <w:szCs w:val="24"/>
        </w:rPr>
        <w:t xml:space="preserve"> juhatus</w:t>
      </w:r>
      <w:r w:rsidRPr="00FC39D3">
        <w:rPr>
          <w:rFonts w:ascii="Times New Roman" w:hAnsi="Times New Roman" w:cs="Times New Roman"/>
          <w:sz w:val="24"/>
          <w:szCs w:val="24"/>
        </w:rPr>
        <w:t xml:space="preserve"> teeb taotluse rahuldamise</w:t>
      </w:r>
      <w:r>
        <w:rPr>
          <w:rFonts w:ascii="Times New Roman" w:hAnsi="Times New Roman" w:cs="Times New Roman"/>
          <w:sz w:val="24"/>
          <w:szCs w:val="24"/>
        </w:rPr>
        <w:t xml:space="preserve"> otsuse</w:t>
      </w:r>
      <w:r w:rsidR="00EE4A38">
        <w:rPr>
          <w:rFonts w:ascii="Times New Roman" w:hAnsi="Times New Roman" w:cs="Times New Roman"/>
          <w:sz w:val="24"/>
          <w:szCs w:val="24"/>
        </w:rPr>
        <w:t xml:space="preserve"> taotluse hindamise paremusjärjestuse alusel</w:t>
      </w:r>
      <w:r>
        <w:rPr>
          <w:rFonts w:ascii="Times New Roman" w:hAnsi="Times New Roman" w:cs="Times New Roman"/>
          <w:sz w:val="24"/>
          <w:szCs w:val="24"/>
        </w:rPr>
        <w:t>, kui taotleja ja taotlus vastavad nii vormiliselt kui ka sisuliselt kõikidele nõuetele ning taotluse rahuldamiseks on olemas piisavad eelarvevahendid.</w:t>
      </w:r>
    </w:p>
    <w:p w14:paraId="369120D1" w14:textId="77777777" w:rsidR="00E774C0" w:rsidRDefault="00E774C0" w:rsidP="00E774C0">
      <w:pPr>
        <w:spacing w:after="0" w:line="240" w:lineRule="auto"/>
        <w:jc w:val="both"/>
        <w:rPr>
          <w:rFonts w:ascii="Times New Roman" w:hAnsi="Times New Roman" w:cs="Times New Roman"/>
          <w:sz w:val="24"/>
          <w:szCs w:val="24"/>
        </w:rPr>
      </w:pPr>
    </w:p>
    <w:p w14:paraId="35E0B9F2" w14:textId="31E1C40E" w:rsidR="00EE4A38" w:rsidRDefault="00EE4A38" w:rsidP="00EE4A38">
      <w:pPr>
        <w:spacing w:after="0" w:line="240" w:lineRule="auto"/>
        <w:jc w:val="both"/>
        <w:rPr>
          <w:rFonts w:ascii="Times New Roman" w:hAnsi="Times New Roman" w:cs="Times New Roman"/>
          <w:sz w:val="24"/>
          <w:szCs w:val="24"/>
        </w:rPr>
      </w:pPr>
      <w:r w:rsidRPr="004E68E1">
        <w:rPr>
          <w:rFonts w:ascii="Times New Roman" w:hAnsi="Times New Roman" w:cs="Times New Roman"/>
          <w:sz w:val="24"/>
          <w:szCs w:val="24"/>
        </w:rPr>
        <w:t xml:space="preserve">Taotlus jäetakse rahuldamata, kui see ei vasta täielikult määruse </w:t>
      </w:r>
      <w:r>
        <w:rPr>
          <w:rFonts w:ascii="Times New Roman" w:hAnsi="Times New Roman" w:cs="Times New Roman"/>
          <w:sz w:val="24"/>
          <w:szCs w:val="24"/>
        </w:rPr>
        <w:t xml:space="preserve">vormilistele või sisulistele </w:t>
      </w:r>
      <w:r w:rsidRPr="004E68E1">
        <w:rPr>
          <w:rFonts w:ascii="Times New Roman" w:hAnsi="Times New Roman" w:cs="Times New Roman"/>
          <w:sz w:val="24"/>
          <w:szCs w:val="24"/>
        </w:rPr>
        <w:t xml:space="preserve">nõuetele. Rahuldamata jätmise aluseks võib </w:t>
      </w:r>
      <w:r>
        <w:rPr>
          <w:rFonts w:ascii="Times New Roman" w:hAnsi="Times New Roman" w:cs="Times New Roman"/>
          <w:sz w:val="24"/>
          <w:szCs w:val="24"/>
        </w:rPr>
        <w:t xml:space="preserve">samuti </w:t>
      </w:r>
      <w:r w:rsidRPr="004E68E1">
        <w:rPr>
          <w:rFonts w:ascii="Times New Roman" w:hAnsi="Times New Roman" w:cs="Times New Roman"/>
          <w:sz w:val="24"/>
          <w:szCs w:val="24"/>
        </w:rPr>
        <w:t>olla</w:t>
      </w:r>
      <w:r>
        <w:rPr>
          <w:rFonts w:ascii="Times New Roman" w:hAnsi="Times New Roman" w:cs="Times New Roman"/>
          <w:sz w:val="24"/>
          <w:szCs w:val="24"/>
        </w:rPr>
        <w:t xml:space="preserve"> taotluste rohkuse korral piisavate </w:t>
      </w:r>
      <w:r w:rsidRPr="004E68E1">
        <w:rPr>
          <w:rFonts w:ascii="Times New Roman" w:hAnsi="Times New Roman" w:cs="Times New Roman"/>
          <w:sz w:val="24"/>
          <w:szCs w:val="24"/>
        </w:rPr>
        <w:t>eelarvevahendite puudumine</w:t>
      </w:r>
      <w:r>
        <w:rPr>
          <w:rFonts w:ascii="Times New Roman" w:hAnsi="Times New Roman" w:cs="Times New Roman"/>
          <w:sz w:val="24"/>
          <w:szCs w:val="24"/>
        </w:rPr>
        <w:t xml:space="preserve">, </w:t>
      </w:r>
      <w:r w:rsidRPr="004E68E1">
        <w:rPr>
          <w:rFonts w:ascii="Times New Roman" w:hAnsi="Times New Roman" w:cs="Times New Roman"/>
          <w:sz w:val="24"/>
          <w:szCs w:val="24"/>
        </w:rPr>
        <w:t>olukord, kus selgub, et taotluses on esitatud ebaõigeid või mittetäielikke andmeid ning puudused on toetuse andja määratud täht</w:t>
      </w:r>
      <w:r>
        <w:rPr>
          <w:rFonts w:ascii="Times New Roman" w:hAnsi="Times New Roman" w:cs="Times New Roman"/>
          <w:sz w:val="24"/>
          <w:szCs w:val="24"/>
        </w:rPr>
        <w:t>ajaks</w:t>
      </w:r>
      <w:r w:rsidRPr="004E68E1">
        <w:rPr>
          <w:rFonts w:ascii="Times New Roman" w:hAnsi="Times New Roman" w:cs="Times New Roman"/>
          <w:sz w:val="24"/>
          <w:szCs w:val="24"/>
        </w:rPr>
        <w:t xml:space="preserve"> kõrvaldamata</w:t>
      </w:r>
      <w:r>
        <w:rPr>
          <w:rFonts w:ascii="Times New Roman" w:hAnsi="Times New Roman" w:cs="Times New Roman"/>
          <w:sz w:val="24"/>
          <w:szCs w:val="24"/>
        </w:rPr>
        <w:t xml:space="preserve">, või kui </w:t>
      </w:r>
      <w:r w:rsidRPr="004D6F62">
        <w:rPr>
          <w:rFonts w:ascii="Times New Roman" w:hAnsi="Times New Roman" w:cs="Times New Roman"/>
          <w:sz w:val="24"/>
          <w:szCs w:val="24"/>
        </w:rPr>
        <w:t>taotleja või temaga seotud isik mõjutab taotluse menetlemist pettuse või ähvardusega või muul õigusvastasel viisil</w:t>
      </w:r>
      <w:r w:rsidRPr="004E68E1">
        <w:rPr>
          <w:rFonts w:ascii="Times New Roman" w:hAnsi="Times New Roman" w:cs="Times New Roman"/>
          <w:sz w:val="24"/>
          <w:szCs w:val="24"/>
        </w:rPr>
        <w:t xml:space="preserve">. </w:t>
      </w:r>
      <w:r>
        <w:rPr>
          <w:rFonts w:ascii="Times New Roman" w:hAnsi="Times New Roman" w:cs="Times New Roman"/>
          <w:sz w:val="24"/>
          <w:szCs w:val="24"/>
        </w:rPr>
        <w:t xml:space="preserve">Samuti kui esitatud taotlus ei kogu hindamisel vähemalt </w:t>
      </w:r>
      <w:r w:rsidR="00AF3243">
        <w:rPr>
          <w:rFonts w:ascii="Times New Roman" w:hAnsi="Times New Roman" w:cs="Times New Roman"/>
          <w:sz w:val="24"/>
          <w:szCs w:val="24"/>
        </w:rPr>
        <w:t>6</w:t>
      </w:r>
      <w:r>
        <w:rPr>
          <w:rFonts w:ascii="Times New Roman" w:hAnsi="Times New Roman" w:cs="Times New Roman"/>
          <w:sz w:val="24"/>
          <w:szCs w:val="24"/>
        </w:rPr>
        <w:t xml:space="preserve">0 punkti. </w:t>
      </w:r>
      <w:r w:rsidRPr="004E68E1">
        <w:rPr>
          <w:rFonts w:ascii="Times New Roman" w:hAnsi="Times New Roman" w:cs="Times New Roman"/>
          <w:sz w:val="24"/>
          <w:szCs w:val="24"/>
        </w:rPr>
        <w:t xml:space="preserve">Taotluse rahuldamata jätmise otsuses märgitakse vähemalt otsuse tegemise kuupäev, taotleja nimi, otsuse põhjendus </w:t>
      </w:r>
      <w:r>
        <w:rPr>
          <w:rFonts w:ascii="Times New Roman" w:hAnsi="Times New Roman" w:cs="Times New Roman"/>
          <w:sz w:val="24"/>
          <w:szCs w:val="24"/>
        </w:rPr>
        <w:t>ning</w:t>
      </w:r>
      <w:r w:rsidRPr="004E68E1">
        <w:rPr>
          <w:rFonts w:ascii="Times New Roman" w:hAnsi="Times New Roman" w:cs="Times New Roman"/>
          <w:sz w:val="24"/>
          <w:szCs w:val="24"/>
        </w:rPr>
        <w:t xml:space="preserve"> selgitus otsuse vaidlustamise korra kohta.</w:t>
      </w:r>
    </w:p>
    <w:p w14:paraId="04133F41" w14:textId="77777777" w:rsidR="00EE4A38" w:rsidRPr="00B85E58" w:rsidRDefault="00EE4A38" w:rsidP="00EE4A38">
      <w:pPr>
        <w:spacing w:after="0" w:line="240" w:lineRule="auto"/>
        <w:jc w:val="both"/>
        <w:rPr>
          <w:rFonts w:ascii="Times New Roman" w:hAnsi="Times New Roman" w:cs="Times New Roman"/>
          <w:sz w:val="24"/>
          <w:szCs w:val="24"/>
          <w:highlight w:val="yellow"/>
        </w:rPr>
      </w:pPr>
    </w:p>
    <w:p w14:paraId="78A4B0F0" w14:textId="2DABAB04" w:rsidR="00E774C0" w:rsidRDefault="00E774C0" w:rsidP="00E774C0">
      <w:pPr>
        <w:spacing w:after="0" w:line="240" w:lineRule="auto"/>
        <w:jc w:val="both"/>
        <w:rPr>
          <w:rFonts w:ascii="Times New Roman" w:hAnsi="Times New Roman" w:cs="Times New Roman"/>
          <w:sz w:val="24"/>
          <w:szCs w:val="24"/>
        </w:rPr>
      </w:pPr>
      <w:r w:rsidRPr="00365693">
        <w:rPr>
          <w:rFonts w:ascii="Times New Roman" w:hAnsi="Times New Roman" w:cs="Times New Roman"/>
          <w:sz w:val="24"/>
          <w:szCs w:val="24"/>
        </w:rPr>
        <w:lastRenderedPageBreak/>
        <w:t>Taotluse rahuldamise otsus</w:t>
      </w:r>
      <w:r>
        <w:rPr>
          <w:rFonts w:ascii="Times New Roman" w:hAnsi="Times New Roman" w:cs="Times New Roman"/>
          <w:sz w:val="24"/>
          <w:szCs w:val="24"/>
        </w:rPr>
        <w:t xml:space="preserve">es sätestatakse vähemalt </w:t>
      </w:r>
      <w:r w:rsidRPr="004E68E1">
        <w:rPr>
          <w:rFonts w:ascii="Times New Roman" w:hAnsi="Times New Roman" w:cs="Times New Roman"/>
          <w:sz w:val="24"/>
          <w:szCs w:val="24"/>
        </w:rPr>
        <w:t>otsuse kuupäev, toetuse saaja andmed, toetuse summa ja toetatavad tegevused</w:t>
      </w:r>
      <w:r w:rsidR="00EE4A38">
        <w:rPr>
          <w:rFonts w:ascii="Times New Roman" w:hAnsi="Times New Roman" w:cs="Times New Roman"/>
          <w:sz w:val="24"/>
          <w:szCs w:val="24"/>
        </w:rPr>
        <w:t xml:space="preserve"> ning aruande esitamise tähtaeg</w:t>
      </w:r>
      <w:r w:rsidRPr="004E68E1">
        <w:rPr>
          <w:rFonts w:ascii="Times New Roman" w:hAnsi="Times New Roman" w:cs="Times New Roman"/>
          <w:sz w:val="24"/>
          <w:szCs w:val="24"/>
        </w:rPr>
        <w:t>. Samuti sisaldab otsus viidet vaidlustamise korra kohta.</w:t>
      </w:r>
    </w:p>
    <w:p w14:paraId="766A2DD6" w14:textId="77777777" w:rsidR="00E774C0" w:rsidRPr="00FC39D3" w:rsidRDefault="00E774C0" w:rsidP="00E774C0">
      <w:pPr>
        <w:spacing w:after="0" w:line="240" w:lineRule="auto"/>
        <w:jc w:val="both"/>
        <w:rPr>
          <w:rFonts w:ascii="Times New Roman" w:hAnsi="Times New Roman" w:cs="Times New Roman"/>
          <w:sz w:val="24"/>
          <w:szCs w:val="24"/>
        </w:rPr>
      </w:pPr>
    </w:p>
    <w:p w14:paraId="626D579C" w14:textId="3903F0AC" w:rsidR="00E774C0" w:rsidRDefault="00E774C0" w:rsidP="00E774C0">
      <w:pPr>
        <w:spacing w:after="0" w:line="240" w:lineRule="auto"/>
        <w:jc w:val="both"/>
        <w:rPr>
          <w:rFonts w:ascii="Times New Roman" w:hAnsi="Times New Roman" w:cs="Times New Roman"/>
          <w:sz w:val="24"/>
          <w:szCs w:val="24"/>
        </w:rPr>
      </w:pPr>
      <w:r w:rsidRPr="00FC39D3">
        <w:rPr>
          <w:rFonts w:ascii="Times New Roman" w:hAnsi="Times New Roman" w:cs="Times New Roman"/>
          <w:sz w:val="24"/>
          <w:szCs w:val="24"/>
        </w:rPr>
        <w:t>Taotlejale saadetakse tema kohta tehtud otsus elektrooniliselt</w:t>
      </w:r>
      <w:r>
        <w:rPr>
          <w:rFonts w:ascii="Times New Roman" w:hAnsi="Times New Roman" w:cs="Times New Roman"/>
          <w:sz w:val="24"/>
          <w:szCs w:val="24"/>
        </w:rPr>
        <w:t xml:space="preserve"> </w:t>
      </w:r>
      <w:r w:rsidR="00DE0A7F">
        <w:rPr>
          <w:rFonts w:ascii="Times New Roman" w:hAnsi="Times New Roman" w:cs="Times New Roman"/>
          <w:sz w:val="24"/>
          <w:szCs w:val="24"/>
        </w:rPr>
        <w:t>kümne</w:t>
      </w:r>
      <w:r>
        <w:rPr>
          <w:rFonts w:ascii="Times New Roman" w:hAnsi="Times New Roman" w:cs="Times New Roman"/>
          <w:sz w:val="24"/>
          <w:szCs w:val="24"/>
        </w:rPr>
        <w:t xml:space="preserve"> </w:t>
      </w:r>
      <w:r w:rsidR="00EE4A38">
        <w:rPr>
          <w:rFonts w:ascii="Times New Roman" w:hAnsi="Times New Roman" w:cs="Times New Roman"/>
          <w:sz w:val="24"/>
          <w:szCs w:val="24"/>
        </w:rPr>
        <w:t>töö</w:t>
      </w:r>
      <w:r>
        <w:rPr>
          <w:rFonts w:ascii="Times New Roman" w:hAnsi="Times New Roman" w:cs="Times New Roman"/>
          <w:sz w:val="24"/>
          <w:szCs w:val="24"/>
        </w:rPr>
        <w:t>päeva jooksul pärast otsuse vastuvõtmist</w:t>
      </w:r>
      <w:r w:rsidRPr="00FC39D3">
        <w:rPr>
          <w:rFonts w:ascii="Times New Roman" w:hAnsi="Times New Roman" w:cs="Times New Roman"/>
          <w:sz w:val="24"/>
          <w:szCs w:val="24"/>
        </w:rPr>
        <w:t>.</w:t>
      </w:r>
    </w:p>
    <w:p w14:paraId="17C6F908" w14:textId="77777777" w:rsidR="00E774C0" w:rsidRDefault="00E774C0" w:rsidP="00E774C0">
      <w:pPr>
        <w:spacing w:after="0" w:line="240" w:lineRule="auto"/>
        <w:jc w:val="both"/>
        <w:rPr>
          <w:rFonts w:ascii="Times New Roman" w:hAnsi="Times New Roman" w:cs="Times New Roman"/>
          <w:sz w:val="24"/>
          <w:szCs w:val="24"/>
        </w:rPr>
      </w:pPr>
    </w:p>
    <w:p w14:paraId="0141994E" w14:textId="7CCCCE71" w:rsidR="00742514" w:rsidRPr="00EE4A38" w:rsidRDefault="00E774C0" w:rsidP="00EE4A38">
      <w:pPr>
        <w:spacing w:line="240" w:lineRule="auto"/>
        <w:jc w:val="both"/>
        <w:rPr>
          <w:rFonts w:ascii="Times New Roman" w:hAnsi="Times New Roman" w:cs="Times New Roman"/>
          <w:sz w:val="24"/>
          <w:szCs w:val="24"/>
        </w:rPr>
      </w:pPr>
      <w:r>
        <w:rPr>
          <w:rFonts w:ascii="Times New Roman" w:hAnsi="Times New Roman" w:cs="Times New Roman"/>
          <w:sz w:val="24"/>
          <w:szCs w:val="24"/>
        </w:rPr>
        <w:t>Kõigi toetust saanud ühingute nimed koos projekti nime ja toetussummaga avaldatakse toetuse andja veebilehel, et toetuse andmine oleks avalik ja läbipaistev.</w:t>
      </w:r>
    </w:p>
    <w:p w14:paraId="4A92F3EC" w14:textId="77777777" w:rsidR="00356100" w:rsidRPr="00D63601" w:rsidRDefault="00356100" w:rsidP="00356100">
      <w:pPr>
        <w:spacing w:after="0" w:line="240" w:lineRule="auto"/>
        <w:jc w:val="both"/>
        <w:rPr>
          <w:rFonts w:ascii="Times New Roman" w:hAnsi="Times New Roman" w:cs="Times New Roman"/>
          <w:b/>
          <w:bCs/>
          <w:sz w:val="24"/>
          <w:szCs w:val="24"/>
        </w:rPr>
      </w:pPr>
      <w:r w:rsidRPr="00D63601">
        <w:rPr>
          <w:rFonts w:ascii="Times New Roman" w:hAnsi="Times New Roman" w:cs="Times New Roman"/>
          <w:b/>
          <w:bCs/>
          <w:sz w:val="24"/>
          <w:szCs w:val="24"/>
        </w:rPr>
        <w:t>5. peatükk.</w:t>
      </w:r>
      <w:r>
        <w:rPr>
          <w:rFonts w:ascii="Times New Roman" w:hAnsi="Times New Roman" w:cs="Times New Roman"/>
          <w:b/>
          <w:bCs/>
          <w:sz w:val="24"/>
          <w:szCs w:val="24"/>
        </w:rPr>
        <w:t xml:space="preserve"> Toetuse maksmise tingimused, aruandlus ja tagasinõudmine</w:t>
      </w:r>
    </w:p>
    <w:p w14:paraId="02A48060" w14:textId="77777777" w:rsidR="00356100" w:rsidRPr="00B85E58" w:rsidRDefault="00356100" w:rsidP="00356100">
      <w:pPr>
        <w:spacing w:after="0" w:line="240" w:lineRule="auto"/>
        <w:jc w:val="both"/>
        <w:rPr>
          <w:rFonts w:ascii="Times New Roman" w:hAnsi="Times New Roman" w:cs="Times New Roman"/>
          <w:sz w:val="24"/>
          <w:szCs w:val="24"/>
          <w:highlight w:val="yellow"/>
        </w:rPr>
      </w:pPr>
    </w:p>
    <w:p w14:paraId="7BDD9BF8" w14:textId="5DAF1404" w:rsidR="00356100" w:rsidRPr="00431EFD" w:rsidRDefault="00356100" w:rsidP="0035610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Paragrahviga</w:t>
      </w:r>
      <w:r w:rsidRPr="00431EFD">
        <w:rPr>
          <w:rFonts w:ascii="Times New Roman" w:hAnsi="Times New Roman" w:cs="Times New Roman"/>
          <w:b/>
          <w:sz w:val="24"/>
          <w:szCs w:val="24"/>
        </w:rPr>
        <w:t xml:space="preserve"> 1</w:t>
      </w:r>
      <w:r>
        <w:rPr>
          <w:rFonts w:ascii="Times New Roman" w:hAnsi="Times New Roman" w:cs="Times New Roman"/>
          <w:b/>
          <w:sz w:val="24"/>
          <w:szCs w:val="24"/>
        </w:rPr>
        <w:t>7</w:t>
      </w:r>
      <w:r w:rsidRPr="00431EFD">
        <w:rPr>
          <w:rFonts w:ascii="Times New Roman" w:hAnsi="Times New Roman" w:cs="Times New Roman"/>
          <w:sz w:val="24"/>
          <w:szCs w:val="24"/>
        </w:rPr>
        <w:t xml:space="preserve"> reguleeri</w:t>
      </w:r>
      <w:r>
        <w:rPr>
          <w:rFonts w:ascii="Times New Roman" w:hAnsi="Times New Roman" w:cs="Times New Roman"/>
          <w:sz w:val="24"/>
          <w:szCs w:val="24"/>
        </w:rPr>
        <w:t>takse</w:t>
      </w:r>
      <w:r w:rsidRPr="00431EFD">
        <w:rPr>
          <w:rFonts w:ascii="Times New Roman" w:hAnsi="Times New Roman" w:cs="Times New Roman"/>
          <w:sz w:val="24"/>
          <w:szCs w:val="24"/>
        </w:rPr>
        <w:t xml:space="preserve"> riigieelarvelise toetuse väljamaksmise tingimusi.</w:t>
      </w:r>
    </w:p>
    <w:p w14:paraId="7FB562AB" w14:textId="77777777" w:rsidR="00356100" w:rsidRDefault="00356100" w:rsidP="00356100">
      <w:pPr>
        <w:spacing w:after="0" w:line="240" w:lineRule="auto"/>
        <w:jc w:val="both"/>
        <w:rPr>
          <w:rFonts w:ascii="Times New Roman" w:hAnsi="Times New Roman" w:cs="Times New Roman"/>
          <w:sz w:val="24"/>
          <w:szCs w:val="24"/>
          <w:highlight w:val="yellow"/>
        </w:rPr>
      </w:pPr>
    </w:p>
    <w:p w14:paraId="6C972857" w14:textId="09FFF4AF" w:rsidR="00356100" w:rsidRPr="00431EFD" w:rsidRDefault="00356100" w:rsidP="00356100">
      <w:pPr>
        <w:spacing w:after="0" w:line="240" w:lineRule="auto"/>
        <w:jc w:val="both"/>
        <w:rPr>
          <w:rFonts w:ascii="Times New Roman" w:hAnsi="Times New Roman" w:cs="Times New Roman"/>
          <w:sz w:val="24"/>
          <w:szCs w:val="24"/>
        </w:rPr>
      </w:pPr>
      <w:r w:rsidRPr="00431EFD">
        <w:rPr>
          <w:rFonts w:ascii="Times New Roman" w:hAnsi="Times New Roman" w:cs="Times New Roman"/>
          <w:sz w:val="24"/>
          <w:szCs w:val="24"/>
        </w:rPr>
        <w:t xml:space="preserve">Kui </w:t>
      </w:r>
      <w:r>
        <w:rPr>
          <w:rFonts w:ascii="Times New Roman" w:hAnsi="Times New Roman" w:cs="Times New Roman"/>
          <w:sz w:val="24"/>
          <w:szCs w:val="24"/>
        </w:rPr>
        <w:t xml:space="preserve">toetuse andja juhatus </w:t>
      </w:r>
      <w:r w:rsidRPr="00431EFD">
        <w:rPr>
          <w:rFonts w:ascii="Times New Roman" w:hAnsi="Times New Roman" w:cs="Times New Roman"/>
          <w:sz w:val="24"/>
          <w:szCs w:val="24"/>
        </w:rPr>
        <w:t>otsus</w:t>
      </w:r>
      <w:r>
        <w:rPr>
          <w:rFonts w:ascii="Times New Roman" w:hAnsi="Times New Roman" w:cs="Times New Roman"/>
          <w:sz w:val="24"/>
          <w:szCs w:val="24"/>
        </w:rPr>
        <w:t>tab, et</w:t>
      </w:r>
      <w:r w:rsidRPr="00431EFD">
        <w:rPr>
          <w:rFonts w:ascii="Times New Roman" w:hAnsi="Times New Roman" w:cs="Times New Roman"/>
          <w:sz w:val="24"/>
          <w:szCs w:val="24"/>
        </w:rPr>
        <w:t xml:space="preserve"> taotlus rahulda</w:t>
      </w:r>
      <w:r>
        <w:rPr>
          <w:rFonts w:ascii="Times New Roman" w:hAnsi="Times New Roman" w:cs="Times New Roman"/>
          <w:sz w:val="24"/>
          <w:szCs w:val="24"/>
        </w:rPr>
        <w:t>takse täielikult</w:t>
      </w:r>
      <w:r w:rsidRPr="00431EFD">
        <w:rPr>
          <w:rFonts w:ascii="Times New Roman" w:hAnsi="Times New Roman" w:cs="Times New Roman"/>
          <w:sz w:val="24"/>
          <w:szCs w:val="24"/>
        </w:rPr>
        <w:t xml:space="preserve">, </w:t>
      </w:r>
      <w:r>
        <w:rPr>
          <w:rFonts w:ascii="Times New Roman" w:hAnsi="Times New Roman" w:cs="Times New Roman"/>
          <w:sz w:val="24"/>
          <w:szCs w:val="24"/>
        </w:rPr>
        <w:t xml:space="preserve">maksab toetuse andja toetuse välja toetuse saajale ühes osas ettemaksena 20 tööpäeva jooksul taotluse rahuldamise otsuse tegemise järgselt. </w:t>
      </w:r>
      <w:r w:rsidRPr="00356100">
        <w:rPr>
          <w:rFonts w:ascii="Times New Roman" w:hAnsi="Times New Roman" w:cs="Times New Roman"/>
          <w:sz w:val="24"/>
          <w:szCs w:val="24"/>
        </w:rPr>
        <w:t>Toetuse maksmine ettemaksuna ühes osas võimaldab toetuse saajal projekti tegevustega õigeaegselt alustada ja vältida rahavoogude puudujäägist tulenevaid takistusi</w:t>
      </w:r>
      <w:r w:rsidR="008D4A08">
        <w:rPr>
          <w:rFonts w:ascii="Times New Roman" w:hAnsi="Times New Roman" w:cs="Times New Roman"/>
          <w:sz w:val="24"/>
          <w:szCs w:val="24"/>
        </w:rPr>
        <w:t xml:space="preserve">, kuid </w:t>
      </w:r>
      <w:r w:rsidR="008D4A08" w:rsidRPr="008D4A08">
        <w:rPr>
          <w:rFonts w:ascii="Times New Roman" w:hAnsi="Times New Roman" w:cs="Times New Roman"/>
          <w:sz w:val="24"/>
          <w:szCs w:val="24"/>
        </w:rPr>
        <w:t>katta ka juba toimunud suursündmuste kulud</w:t>
      </w:r>
      <w:r w:rsidR="008D4A08">
        <w:rPr>
          <w:rFonts w:ascii="Times New Roman" w:hAnsi="Times New Roman" w:cs="Times New Roman"/>
          <w:sz w:val="24"/>
          <w:szCs w:val="24"/>
        </w:rPr>
        <w:t>.</w:t>
      </w:r>
      <w:r w:rsidRPr="00356100">
        <w:rPr>
          <w:rFonts w:ascii="Times New Roman" w:hAnsi="Times New Roman" w:cs="Times New Roman"/>
          <w:sz w:val="24"/>
          <w:szCs w:val="24"/>
        </w:rPr>
        <w:t xml:space="preserve"> See on eriti oluline väiksemate organisatsioonide puhul, kellel puudub võimekus katta tegevusi oma vahenditest ja oodata hilisemat </w:t>
      </w:r>
      <w:r>
        <w:rPr>
          <w:rFonts w:ascii="Times New Roman" w:hAnsi="Times New Roman" w:cs="Times New Roman"/>
          <w:sz w:val="24"/>
          <w:szCs w:val="24"/>
        </w:rPr>
        <w:t xml:space="preserve">kulude </w:t>
      </w:r>
      <w:r w:rsidRPr="00356100">
        <w:rPr>
          <w:rFonts w:ascii="Times New Roman" w:hAnsi="Times New Roman" w:cs="Times New Roman"/>
          <w:sz w:val="24"/>
          <w:szCs w:val="24"/>
        </w:rPr>
        <w:t xml:space="preserve">hüvitamist. </w:t>
      </w:r>
      <w:r>
        <w:rPr>
          <w:rFonts w:ascii="Times New Roman" w:hAnsi="Times New Roman" w:cs="Times New Roman"/>
          <w:sz w:val="24"/>
          <w:szCs w:val="24"/>
        </w:rPr>
        <w:t>Toetuse e</w:t>
      </w:r>
      <w:r w:rsidRPr="00356100">
        <w:rPr>
          <w:rFonts w:ascii="Times New Roman" w:hAnsi="Times New Roman" w:cs="Times New Roman"/>
          <w:sz w:val="24"/>
          <w:szCs w:val="24"/>
        </w:rPr>
        <w:t>esmärgipärase kasutamise tagamiseks on toetuse saaja kohustatud täitma määruses sätestatud aruandlus-, järelevalve- ja teavituskohustusi, eristama kulusid raamatupidamises ning võimaldama toetuse andjal kontrollida toetatud tegevuste elluviimist. Nii tagatakse, et ettemaksuna makstud toetus kasutatakse sihipäraselt ja läbipaistvalt.</w:t>
      </w:r>
    </w:p>
    <w:p w14:paraId="7DF372EF" w14:textId="77777777" w:rsidR="00356100" w:rsidRPr="00B85E58" w:rsidRDefault="00356100" w:rsidP="00356100">
      <w:pPr>
        <w:spacing w:after="0" w:line="240" w:lineRule="auto"/>
        <w:jc w:val="both"/>
        <w:rPr>
          <w:rFonts w:ascii="Times New Roman" w:hAnsi="Times New Roman" w:cs="Times New Roman"/>
          <w:sz w:val="24"/>
          <w:szCs w:val="24"/>
          <w:highlight w:val="yellow"/>
        </w:rPr>
      </w:pPr>
    </w:p>
    <w:p w14:paraId="7928FC66" w14:textId="797A0C26" w:rsidR="00A1515F" w:rsidRPr="00A1515F" w:rsidRDefault="00A1515F" w:rsidP="00A1515F">
      <w:pPr>
        <w:tabs>
          <w:tab w:val="left" w:pos="541"/>
          <w:tab w:val="left" w:pos="2799"/>
        </w:tabs>
        <w:spacing w:line="240" w:lineRule="auto"/>
        <w:jc w:val="both"/>
        <w:rPr>
          <w:rFonts w:ascii="Times New Roman" w:hAnsi="Times New Roman" w:cs="Times New Roman"/>
          <w:sz w:val="24"/>
          <w:szCs w:val="24"/>
        </w:rPr>
      </w:pPr>
      <w:r w:rsidRPr="00A1515F">
        <w:rPr>
          <w:rFonts w:ascii="Times New Roman" w:hAnsi="Times New Roman" w:cs="Times New Roman"/>
          <w:b/>
          <w:sz w:val="24"/>
          <w:szCs w:val="24"/>
        </w:rPr>
        <w:t>Paragrahv</w:t>
      </w:r>
      <w:r w:rsidRPr="00A1515F">
        <w:rPr>
          <w:rFonts w:ascii="Times New Roman" w:hAnsi="Times New Roman" w:cs="Times New Roman"/>
          <w:b/>
          <w:bCs/>
          <w:sz w:val="24"/>
          <w:szCs w:val="24"/>
        </w:rPr>
        <w:t xml:space="preserve"> 18</w:t>
      </w:r>
      <w:r w:rsidRPr="00A1515F">
        <w:rPr>
          <w:rFonts w:ascii="Times New Roman" w:hAnsi="Times New Roman" w:cs="Times New Roman"/>
          <w:sz w:val="24"/>
          <w:szCs w:val="24"/>
        </w:rPr>
        <w:t xml:space="preserve"> reguleerib toetuse saaja võimalus</w:t>
      </w:r>
      <w:r>
        <w:rPr>
          <w:rFonts w:ascii="Times New Roman" w:hAnsi="Times New Roman" w:cs="Times New Roman"/>
          <w:sz w:val="24"/>
          <w:szCs w:val="24"/>
        </w:rPr>
        <w:t>i</w:t>
      </w:r>
      <w:r w:rsidRPr="00A1515F">
        <w:rPr>
          <w:rFonts w:ascii="Times New Roman" w:hAnsi="Times New Roman" w:cs="Times New Roman"/>
          <w:sz w:val="24"/>
          <w:szCs w:val="24"/>
        </w:rPr>
        <w:t xml:space="preserve"> teha muudatusi juba rahuldatud taotluses ning toetuse andja õigust otsuse muutmiseks või kehtetuks tunnistamiseks.</w:t>
      </w:r>
    </w:p>
    <w:p w14:paraId="3467C2D3" w14:textId="5838AB36" w:rsidR="00A1515F" w:rsidRPr="00A1515F" w:rsidRDefault="00AC6F42" w:rsidP="00A1515F">
      <w:pPr>
        <w:tabs>
          <w:tab w:val="left" w:pos="541"/>
          <w:tab w:val="left" w:pos="2799"/>
        </w:tabs>
        <w:spacing w:line="240" w:lineRule="auto"/>
        <w:jc w:val="both"/>
        <w:rPr>
          <w:rFonts w:ascii="Times New Roman" w:hAnsi="Times New Roman" w:cs="Times New Roman"/>
          <w:sz w:val="24"/>
          <w:szCs w:val="24"/>
        </w:rPr>
      </w:pPr>
      <w:r w:rsidRPr="00AC6F42">
        <w:rPr>
          <w:rFonts w:ascii="Times New Roman" w:hAnsi="Times New Roman" w:cs="Times New Roman"/>
          <w:sz w:val="24"/>
          <w:szCs w:val="24"/>
          <w:u w:val="single"/>
        </w:rPr>
        <w:t>Lõikes 1</w:t>
      </w:r>
      <w:r>
        <w:rPr>
          <w:rFonts w:ascii="Times New Roman" w:hAnsi="Times New Roman" w:cs="Times New Roman"/>
          <w:sz w:val="24"/>
          <w:szCs w:val="24"/>
        </w:rPr>
        <w:t xml:space="preserve"> sätestatud</w:t>
      </w:r>
      <w:r w:rsidR="00A1515F" w:rsidRPr="00A1515F">
        <w:rPr>
          <w:rFonts w:ascii="Times New Roman" w:hAnsi="Times New Roman" w:cs="Times New Roman"/>
          <w:sz w:val="24"/>
          <w:szCs w:val="24"/>
        </w:rPr>
        <w:t xml:space="preserve"> </w:t>
      </w:r>
      <w:r>
        <w:rPr>
          <w:rFonts w:ascii="Times New Roman" w:hAnsi="Times New Roman" w:cs="Times New Roman"/>
          <w:sz w:val="24"/>
          <w:szCs w:val="24"/>
        </w:rPr>
        <w:t>m</w:t>
      </w:r>
      <w:r w:rsidR="00A1515F" w:rsidRPr="00A1515F">
        <w:rPr>
          <w:rFonts w:ascii="Times New Roman" w:hAnsi="Times New Roman" w:cs="Times New Roman"/>
          <w:sz w:val="24"/>
          <w:szCs w:val="24"/>
        </w:rPr>
        <w:t>uutmistaotluse esitamine TMS-i kaudu tagab, et kõik projektimuudatused on dokumenteeritud ja põhjendatud. See loob läbipaistva protsessi, kus toetuse saaja selgitab vajaduse muutuste järele, säilitades samal ajal kontrolli projekti eesmärkide ja eelarve üle.</w:t>
      </w:r>
    </w:p>
    <w:p w14:paraId="0BA9F68A" w14:textId="3A92CA0C" w:rsidR="00A1515F" w:rsidRPr="00A1515F" w:rsidRDefault="00AC6F42" w:rsidP="00A1515F">
      <w:pPr>
        <w:tabs>
          <w:tab w:val="left" w:pos="541"/>
          <w:tab w:val="left" w:pos="2799"/>
        </w:tabs>
        <w:spacing w:line="240" w:lineRule="auto"/>
        <w:jc w:val="both"/>
        <w:rPr>
          <w:rFonts w:ascii="Times New Roman" w:hAnsi="Times New Roman" w:cs="Times New Roman"/>
          <w:sz w:val="24"/>
          <w:szCs w:val="24"/>
        </w:rPr>
      </w:pPr>
      <w:r w:rsidRPr="00AC6F42">
        <w:rPr>
          <w:rFonts w:ascii="Times New Roman" w:hAnsi="Times New Roman" w:cs="Times New Roman"/>
          <w:sz w:val="24"/>
          <w:szCs w:val="24"/>
          <w:u w:val="single"/>
        </w:rPr>
        <w:t>Lõikes 2</w:t>
      </w:r>
      <w:r>
        <w:rPr>
          <w:rFonts w:ascii="Times New Roman" w:hAnsi="Times New Roman" w:cs="Times New Roman"/>
          <w:sz w:val="24"/>
          <w:szCs w:val="24"/>
        </w:rPr>
        <w:t xml:space="preserve"> sätestatud</w:t>
      </w:r>
      <w:r w:rsidR="00A1515F" w:rsidRPr="00A1515F">
        <w:rPr>
          <w:rFonts w:ascii="Times New Roman" w:hAnsi="Times New Roman" w:cs="Times New Roman"/>
          <w:sz w:val="24"/>
          <w:szCs w:val="24"/>
        </w:rPr>
        <w:t xml:space="preserve"> </w:t>
      </w:r>
      <w:r>
        <w:rPr>
          <w:rFonts w:ascii="Times New Roman" w:hAnsi="Times New Roman" w:cs="Times New Roman"/>
          <w:sz w:val="24"/>
          <w:szCs w:val="24"/>
        </w:rPr>
        <w:t>n</w:t>
      </w:r>
      <w:r w:rsidR="00A1515F" w:rsidRPr="00A1515F">
        <w:rPr>
          <w:rFonts w:ascii="Times New Roman" w:hAnsi="Times New Roman" w:cs="Times New Roman"/>
          <w:sz w:val="24"/>
          <w:szCs w:val="24"/>
        </w:rPr>
        <w:t>õue esitada muutmistaotlus vähemalt 30 kalendripäeva enne abikõlblikkuse perioodi lõppu annab toetuse andjale piisavalt aega muudatuste läbivaatamiseks ning otsuse tegemiseks, vähendades viivituste riski projekti elluviimisel.</w:t>
      </w:r>
    </w:p>
    <w:p w14:paraId="7FFE549B" w14:textId="7750EEAB" w:rsidR="00244AE6" w:rsidRDefault="00244AE6" w:rsidP="00A1515F">
      <w:pPr>
        <w:tabs>
          <w:tab w:val="left" w:pos="541"/>
          <w:tab w:val="left" w:pos="2799"/>
        </w:tabs>
        <w:spacing w:line="240" w:lineRule="auto"/>
        <w:jc w:val="both"/>
        <w:rPr>
          <w:rFonts w:ascii="Times New Roman" w:hAnsi="Times New Roman" w:cs="Times New Roman"/>
          <w:sz w:val="24"/>
          <w:szCs w:val="24"/>
        </w:rPr>
      </w:pPr>
      <w:r w:rsidRPr="00244AE6">
        <w:rPr>
          <w:rFonts w:ascii="Times New Roman" w:hAnsi="Times New Roman" w:cs="Times New Roman"/>
          <w:sz w:val="24"/>
          <w:szCs w:val="24"/>
        </w:rPr>
        <w:t>Toetuse andjal on õigus keelduda taotluse muutmisest, kui soovitav muudatus kahjustaks projekti sisu või eesmärke, seab ohtu projekti tulemuste saavutamise, ei ole kooskõlas määruse nõuetega või ületab taotlusvooru eelarvepiire. Selline reguleerimine tagab, et toetus kasutatakse eesmärgipäraselt ning projekti elluviimine on jätkusuutlik ja õiguspärane. Viie tööpäeva</w:t>
      </w:r>
      <w:r w:rsidR="00EF3A6F">
        <w:rPr>
          <w:rFonts w:ascii="Times New Roman" w:hAnsi="Times New Roman" w:cs="Times New Roman"/>
          <w:sz w:val="24"/>
          <w:szCs w:val="24"/>
        </w:rPr>
        <w:t xml:space="preserve"> pikkune</w:t>
      </w:r>
      <w:r w:rsidRPr="00244AE6">
        <w:rPr>
          <w:rFonts w:ascii="Times New Roman" w:hAnsi="Times New Roman" w:cs="Times New Roman"/>
          <w:sz w:val="24"/>
          <w:szCs w:val="24"/>
        </w:rPr>
        <w:t xml:space="preserve"> tähtaeg toetuse andjal otsuse tegemiseks muudatusettepaneku</w:t>
      </w:r>
      <w:r w:rsidR="00EF3A6F">
        <w:rPr>
          <w:rFonts w:ascii="Times New Roman" w:hAnsi="Times New Roman" w:cs="Times New Roman"/>
          <w:sz w:val="24"/>
          <w:szCs w:val="24"/>
        </w:rPr>
        <w:t xml:space="preserve"> kohta</w:t>
      </w:r>
      <w:r w:rsidRPr="00244AE6">
        <w:rPr>
          <w:rFonts w:ascii="Times New Roman" w:hAnsi="Times New Roman" w:cs="Times New Roman"/>
          <w:sz w:val="24"/>
          <w:szCs w:val="24"/>
        </w:rPr>
        <w:t xml:space="preserve"> aitab tagada protsessi efektiivsuse ning toetuse saajale kiire selguse</w:t>
      </w:r>
      <w:r w:rsidR="00EF3A6F">
        <w:rPr>
          <w:rFonts w:ascii="Times New Roman" w:hAnsi="Times New Roman" w:cs="Times New Roman"/>
          <w:sz w:val="24"/>
          <w:szCs w:val="24"/>
        </w:rPr>
        <w:t xml:space="preserve"> saamise</w:t>
      </w:r>
      <w:r w:rsidRPr="00244AE6">
        <w:rPr>
          <w:rFonts w:ascii="Times New Roman" w:hAnsi="Times New Roman" w:cs="Times New Roman"/>
          <w:sz w:val="24"/>
          <w:szCs w:val="24"/>
        </w:rPr>
        <w:t xml:space="preserve"> projekti jätkumise kohta.</w:t>
      </w:r>
    </w:p>
    <w:p w14:paraId="37456B70" w14:textId="76E1035D" w:rsidR="00244AE6" w:rsidRDefault="00244AE6" w:rsidP="00A1515F">
      <w:pPr>
        <w:tabs>
          <w:tab w:val="left" w:pos="541"/>
          <w:tab w:val="left" w:pos="2799"/>
        </w:tabs>
        <w:spacing w:line="240" w:lineRule="auto"/>
        <w:jc w:val="both"/>
        <w:rPr>
          <w:rFonts w:ascii="Times New Roman" w:hAnsi="Times New Roman" w:cs="Times New Roman"/>
          <w:sz w:val="24"/>
          <w:szCs w:val="24"/>
        </w:rPr>
      </w:pPr>
      <w:r>
        <w:rPr>
          <w:rFonts w:ascii="Times New Roman" w:hAnsi="Times New Roman" w:cs="Times New Roman"/>
          <w:sz w:val="24"/>
          <w:szCs w:val="24"/>
        </w:rPr>
        <w:t>Taotluse rahuldamise o</w:t>
      </w:r>
      <w:r w:rsidRPr="00244AE6">
        <w:rPr>
          <w:rFonts w:ascii="Times New Roman" w:hAnsi="Times New Roman" w:cs="Times New Roman"/>
          <w:sz w:val="24"/>
          <w:szCs w:val="24"/>
        </w:rPr>
        <w:t>tsuse kehtetuks tunnistamine on ette nähtud olukordades, kus ilmneb asjaolu, mille korral taotlust ei oleks rahuldatud, toetuse saaja taotletud muudatusi ei rahuldata ja projekti ei saa esialgsel kujul ellu viia või toetuse saaja soovib toetuse kasutamisest loobuda. See kaitseb toetuse andja huve ning tagab, et riigi rahalis</w:t>
      </w:r>
      <w:r w:rsidR="00DC7B14">
        <w:rPr>
          <w:rFonts w:ascii="Times New Roman" w:hAnsi="Times New Roman" w:cs="Times New Roman"/>
          <w:sz w:val="24"/>
          <w:szCs w:val="24"/>
        </w:rPr>
        <w:t>i</w:t>
      </w:r>
      <w:r w:rsidRPr="00244AE6">
        <w:rPr>
          <w:rFonts w:ascii="Times New Roman" w:hAnsi="Times New Roman" w:cs="Times New Roman"/>
          <w:sz w:val="24"/>
          <w:szCs w:val="24"/>
        </w:rPr>
        <w:t xml:space="preserve"> vahend</w:t>
      </w:r>
      <w:r w:rsidR="00DC7B14">
        <w:rPr>
          <w:rFonts w:ascii="Times New Roman" w:hAnsi="Times New Roman" w:cs="Times New Roman"/>
          <w:sz w:val="24"/>
          <w:szCs w:val="24"/>
        </w:rPr>
        <w:t>e</w:t>
      </w:r>
      <w:r w:rsidRPr="00244AE6">
        <w:rPr>
          <w:rFonts w:ascii="Times New Roman" w:hAnsi="Times New Roman" w:cs="Times New Roman"/>
          <w:sz w:val="24"/>
          <w:szCs w:val="24"/>
        </w:rPr>
        <w:t>id ei kulutata eesmärgipäratult.</w:t>
      </w:r>
    </w:p>
    <w:p w14:paraId="482A37DA" w14:textId="314B00B2" w:rsidR="00A1515F" w:rsidRPr="00A1515F" w:rsidRDefault="00244AE6" w:rsidP="00A1515F">
      <w:pPr>
        <w:tabs>
          <w:tab w:val="left" w:pos="541"/>
          <w:tab w:val="left" w:pos="2799"/>
        </w:tabs>
        <w:spacing w:line="240" w:lineRule="auto"/>
        <w:jc w:val="both"/>
        <w:rPr>
          <w:rFonts w:ascii="Times New Roman" w:hAnsi="Times New Roman" w:cs="Times New Roman"/>
          <w:sz w:val="24"/>
          <w:szCs w:val="24"/>
        </w:rPr>
      </w:pPr>
      <w:r w:rsidRPr="00244AE6">
        <w:rPr>
          <w:rFonts w:ascii="Times New Roman" w:hAnsi="Times New Roman" w:cs="Times New Roman"/>
          <w:sz w:val="24"/>
          <w:szCs w:val="24"/>
        </w:rPr>
        <w:t>Kohustus tagastada toetus 30 kalendripäeva jooksul pärast otsuse kehtetuks tunnistamist loob selged reeglid finantskohustuste täitmiseks ja tagab toetuse eesmärgipärase kasutamise.</w:t>
      </w:r>
    </w:p>
    <w:p w14:paraId="79C66162" w14:textId="1AE6BEF0" w:rsidR="00356100" w:rsidRPr="00A1515F" w:rsidRDefault="00A1515F" w:rsidP="00A1515F">
      <w:pPr>
        <w:tabs>
          <w:tab w:val="left" w:pos="541"/>
          <w:tab w:val="left" w:pos="2799"/>
        </w:tabs>
        <w:spacing w:line="240" w:lineRule="auto"/>
        <w:jc w:val="both"/>
        <w:rPr>
          <w:rFonts w:ascii="Times New Roman" w:hAnsi="Times New Roman" w:cs="Times New Roman"/>
          <w:sz w:val="24"/>
          <w:szCs w:val="24"/>
        </w:rPr>
      </w:pPr>
      <w:r w:rsidRPr="00A1515F">
        <w:rPr>
          <w:rFonts w:ascii="Times New Roman" w:hAnsi="Times New Roman" w:cs="Times New Roman"/>
          <w:sz w:val="24"/>
          <w:szCs w:val="24"/>
        </w:rPr>
        <w:lastRenderedPageBreak/>
        <w:t xml:space="preserve">Kokkuvõttes loob </w:t>
      </w:r>
      <w:r w:rsidR="00DC7B14">
        <w:rPr>
          <w:rFonts w:ascii="Times New Roman" w:hAnsi="Times New Roman" w:cs="Times New Roman"/>
          <w:sz w:val="24"/>
          <w:szCs w:val="24"/>
        </w:rPr>
        <w:t>§</w:t>
      </w:r>
      <w:r w:rsidRPr="00A1515F">
        <w:rPr>
          <w:rFonts w:ascii="Times New Roman" w:hAnsi="Times New Roman" w:cs="Times New Roman"/>
          <w:sz w:val="24"/>
          <w:szCs w:val="24"/>
        </w:rPr>
        <w:t xml:space="preserve"> 18 selge ja õiguspärase raamistiku, mis võimaldab põhjendatud muudatusi projektis, tagab otsuste läbipaistvuse ja tõhususe ning kaitseb projekti tulemusi ja riigi vahendite korrektset kasutamist.</w:t>
      </w:r>
    </w:p>
    <w:p w14:paraId="6EBB8702" w14:textId="2DE638E6" w:rsidR="002A584B" w:rsidRDefault="00EC1C79" w:rsidP="00EC1C79">
      <w:pPr>
        <w:tabs>
          <w:tab w:val="left" w:pos="541"/>
          <w:tab w:val="left" w:pos="2799"/>
        </w:tabs>
        <w:spacing w:line="240" w:lineRule="auto"/>
        <w:jc w:val="both"/>
        <w:rPr>
          <w:rFonts w:ascii="Times New Roman" w:hAnsi="Times New Roman" w:cs="Times New Roman"/>
          <w:bCs/>
          <w:sz w:val="24"/>
          <w:szCs w:val="24"/>
        </w:rPr>
      </w:pPr>
      <w:r>
        <w:rPr>
          <w:rFonts w:ascii="Times New Roman" w:hAnsi="Times New Roman" w:cs="Times New Roman"/>
          <w:b/>
          <w:sz w:val="24"/>
          <w:szCs w:val="24"/>
        </w:rPr>
        <w:t>Paragrahv</w:t>
      </w:r>
      <w:r w:rsidRPr="00EC1C79">
        <w:rPr>
          <w:rFonts w:ascii="Times New Roman" w:hAnsi="Times New Roman" w:cs="Times New Roman"/>
          <w:bCs/>
          <w:sz w:val="24"/>
          <w:szCs w:val="24"/>
        </w:rPr>
        <w:t xml:space="preserve"> </w:t>
      </w:r>
      <w:r w:rsidRPr="00EC1C79">
        <w:rPr>
          <w:rFonts w:ascii="Times New Roman" w:hAnsi="Times New Roman" w:cs="Times New Roman"/>
          <w:b/>
          <w:sz w:val="24"/>
          <w:szCs w:val="24"/>
        </w:rPr>
        <w:t>19</w:t>
      </w:r>
      <w:r w:rsidRPr="00EC1C79">
        <w:rPr>
          <w:rFonts w:ascii="Times New Roman" w:hAnsi="Times New Roman" w:cs="Times New Roman"/>
          <w:bCs/>
          <w:sz w:val="24"/>
          <w:szCs w:val="24"/>
        </w:rPr>
        <w:t xml:space="preserve"> sätestab toetuse saaja teavituskohustuse, mille eesmärk on tagada toetuse kasutamise läbipaistvus ning suurendada </w:t>
      </w:r>
      <w:r>
        <w:rPr>
          <w:rFonts w:ascii="Times New Roman" w:hAnsi="Times New Roman" w:cs="Times New Roman"/>
          <w:bCs/>
          <w:sz w:val="24"/>
          <w:szCs w:val="24"/>
        </w:rPr>
        <w:t xml:space="preserve">laiema avalikkuse </w:t>
      </w:r>
      <w:r w:rsidRPr="00EC1C79">
        <w:rPr>
          <w:rFonts w:ascii="Times New Roman" w:hAnsi="Times New Roman" w:cs="Times New Roman"/>
          <w:bCs/>
          <w:sz w:val="24"/>
          <w:szCs w:val="24"/>
        </w:rPr>
        <w:t xml:space="preserve">teadlikkust projekti eesmärkidest, tegevustest ja </w:t>
      </w:r>
      <w:r>
        <w:rPr>
          <w:rFonts w:ascii="Times New Roman" w:hAnsi="Times New Roman" w:cs="Times New Roman"/>
          <w:bCs/>
          <w:sz w:val="24"/>
          <w:szCs w:val="24"/>
        </w:rPr>
        <w:t xml:space="preserve">planeeritud </w:t>
      </w:r>
      <w:r w:rsidRPr="00EC1C79">
        <w:rPr>
          <w:rFonts w:ascii="Times New Roman" w:hAnsi="Times New Roman" w:cs="Times New Roman"/>
          <w:bCs/>
          <w:sz w:val="24"/>
          <w:szCs w:val="24"/>
        </w:rPr>
        <w:t>tulemustest. Nõuete kohaselt peab toetuse saaja avalikustama teabe toetuse ja projekti kohta seotud infokanalites</w:t>
      </w:r>
      <w:r w:rsidR="00C64387">
        <w:rPr>
          <w:rFonts w:ascii="Times New Roman" w:hAnsi="Times New Roman" w:cs="Times New Roman"/>
          <w:bCs/>
          <w:sz w:val="24"/>
          <w:szCs w:val="24"/>
        </w:rPr>
        <w:t xml:space="preserve"> ning</w:t>
      </w:r>
      <w:r w:rsidRPr="00EC1C79">
        <w:rPr>
          <w:rFonts w:ascii="Times New Roman" w:hAnsi="Times New Roman" w:cs="Times New Roman"/>
          <w:bCs/>
          <w:sz w:val="24"/>
          <w:szCs w:val="24"/>
        </w:rPr>
        <w:t xml:space="preserve"> viitama toetuse andjale ja Siseministeeriumile</w:t>
      </w:r>
      <w:r w:rsidR="00117CEC">
        <w:rPr>
          <w:rFonts w:ascii="Times New Roman" w:hAnsi="Times New Roman" w:cs="Times New Roman"/>
          <w:bCs/>
          <w:sz w:val="24"/>
          <w:szCs w:val="24"/>
        </w:rPr>
        <w:t xml:space="preserve"> nii suuliselt kui kirjalikult</w:t>
      </w:r>
      <w:r w:rsidRPr="00EC1C79">
        <w:rPr>
          <w:rFonts w:ascii="Times New Roman" w:hAnsi="Times New Roman" w:cs="Times New Roman"/>
          <w:bCs/>
          <w:sz w:val="24"/>
          <w:szCs w:val="24"/>
        </w:rPr>
        <w:t xml:space="preserve">. </w:t>
      </w:r>
      <w:r>
        <w:rPr>
          <w:rFonts w:ascii="Times New Roman" w:hAnsi="Times New Roman" w:cs="Times New Roman"/>
          <w:bCs/>
          <w:sz w:val="24"/>
          <w:szCs w:val="24"/>
        </w:rPr>
        <w:t xml:space="preserve">Toetuse andja ametlikud logod on leitavad </w:t>
      </w:r>
      <w:proofErr w:type="spellStart"/>
      <w:r>
        <w:rPr>
          <w:rFonts w:ascii="Times New Roman" w:hAnsi="Times New Roman" w:cs="Times New Roman"/>
          <w:bCs/>
          <w:sz w:val="24"/>
          <w:szCs w:val="24"/>
        </w:rPr>
        <w:t>KÜSKi</w:t>
      </w:r>
      <w:proofErr w:type="spellEnd"/>
      <w:r>
        <w:rPr>
          <w:rFonts w:ascii="Times New Roman" w:hAnsi="Times New Roman" w:cs="Times New Roman"/>
          <w:bCs/>
          <w:sz w:val="24"/>
          <w:szCs w:val="24"/>
        </w:rPr>
        <w:t xml:space="preserve"> kodulehel aadressil: </w:t>
      </w:r>
      <w:hyperlink r:id="rId9" w:history="1">
        <w:r w:rsidRPr="00ED02E6">
          <w:rPr>
            <w:rStyle w:val="Hyperlink"/>
            <w:rFonts w:ascii="Times New Roman" w:hAnsi="Times New Roman"/>
            <w:bCs/>
            <w:sz w:val="24"/>
            <w:szCs w:val="24"/>
          </w:rPr>
          <w:t>https://kysk.ee/taotlejale/</w:t>
        </w:r>
      </w:hyperlink>
      <w:r>
        <w:rPr>
          <w:rFonts w:ascii="Times New Roman" w:hAnsi="Times New Roman" w:cs="Times New Roman"/>
          <w:bCs/>
          <w:sz w:val="24"/>
          <w:szCs w:val="24"/>
        </w:rPr>
        <w:t xml:space="preserve">. Siseministeeriumi ametlikud logod on leitavad aadressil: </w:t>
      </w:r>
      <w:hyperlink r:id="rId10" w:history="1">
        <w:r w:rsidRPr="00ED02E6">
          <w:rPr>
            <w:rStyle w:val="Hyperlink"/>
            <w:rFonts w:ascii="Times New Roman" w:hAnsi="Times New Roman"/>
            <w:bCs/>
            <w:sz w:val="24"/>
            <w:szCs w:val="24"/>
          </w:rPr>
          <w:t>https://riigikantselei.ee/valitsuslogo</w:t>
        </w:r>
      </w:hyperlink>
      <w:r>
        <w:rPr>
          <w:rFonts w:ascii="Times New Roman" w:hAnsi="Times New Roman" w:cs="Times New Roman"/>
          <w:bCs/>
          <w:sz w:val="24"/>
          <w:szCs w:val="24"/>
        </w:rPr>
        <w:t xml:space="preserve">. </w:t>
      </w:r>
    </w:p>
    <w:p w14:paraId="684BFAC0" w14:textId="741A0033" w:rsidR="002A584B" w:rsidRDefault="002A584B" w:rsidP="002A584B">
      <w:pPr>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Paragrahviga</w:t>
      </w:r>
      <w:r w:rsidRPr="00431EFD">
        <w:rPr>
          <w:rFonts w:ascii="Times New Roman" w:hAnsi="Times New Roman" w:cs="Times New Roman"/>
          <w:b/>
          <w:sz w:val="24"/>
          <w:szCs w:val="24"/>
        </w:rPr>
        <w:t xml:space="preserve"> </w:t>
      </w:r>
      <w:r>
        <w:rPr>
          <w:rFonts w:ascii="Times New Roman" w:hAnsi="Times New Roman" w:cs="Times New Roman"/>
          <w:b/>
          <w:sz w:val="24"/>
          <w:szCs w:val="24"/>
        </w:rPr>
        <w:t xml:space="preserve">20 </w:t>
      </w:r>
      <w:r>
        <w:rPr>
          <w:rFonts w:ascii="Times New Roman" w:hAnsi="Times New Roman" w:cs="Times New Roman"/>
          <w:bCs/>
          <w:sz w:val="24"/>
          <w:szCs w:val="24"/>
        </w:rPr>
        <w:t>sätestatakse toetuse kasutamisega seotud aruandluskohustus</w:t>
      </w:r>
      <w:r w:rsidR="00DC7B14">
        <w:rPr>
          <w:rFonts w:ascii="Times New Roman" w:hAnsi="Times New Roman" w:cs="Times New Roman"/>
          <w:bCs/>
          <w:sz w:val="24"/>
          <w:szCs w:val="24"/>
        </w:rPr>
        <w:t xml:space="preserve"> ja sellega seotud</w:t>
      </w:r>
      <w:r>
        <w:rPr>
          <w:rFonts w:ascii="Times New Roman" w:hAnsi="Times New Roman" w:cs="Times New Roman"/>
          <w:bCs/>
          <w:sz w:val="24"/>
          <w:szCs w:val="24"/>
        </w:rPr>
        <w:t xml:space="preserve"> nõuded,</w:t>
      </w:r>
      <w:r w:rsidRPr="009433F1">
        <w:rPr>
          <w:rFonts w:ascii="Times New Roman" w:hAnsi="Times New Roman" w:cs="Times New Roman"/>
          <w:bCs/>
          <w:sz w:val="24"/>
          <w:szCs w:val="24"/>
        </w:rPr>
        <w:t xml:space="preserve"> tähtajad, aruannete kontrollimise kord ja võimalikud tagajärjed, kui aruandlus või projektitegevused ei vasta nõuetele.</w:t>
      </w:r>
    </w:p>
    <w:p w14:paraId="45DF9302" w14:textId="77777777" w:rsidR="002A584B" w:rsidRDefault="002A584B" w:rsidP="002A584B">
      <w:pPr>
        <w:spacing w:after="0" w:line="240" w:lineRule="auto"/>
        <w:jc w:val="both"/>
        <w:rPr>
          <w:rFonts w:ascii="Times New Roman" w:hAnsi="Times New Roman" w:cs="Times New Roman"/>
          <w:bCs/>
          <w:sz w:val="24"/>
          <w:szCs w:val="24"/>
        </w:rPr>
      </w:pPr>
    </w:p>
    <w:p w14:paraId="2D1785D9" w14:textId="244F67BA" w:rsidR="002A584B" w:rsidRPr="009433F1" w:rsidRDefault="002A584B" w:rsidP="002A584B">
      <w:pPr>
        <w:spacing w:after="0" w:line="240" w:lineRule="auto"/>
        <w:jc w:val="both"/>
        <w:rPr>
          <w:rFonts w:ascii="Times New Roman" w:hAnsi="Times New Roman" w:cs="Times New Roman"/>
          <w:sz w:val="24"/>
          <w:szCs w:val="24"/>
        </w:rPr>
      </w:pPr>
      <w:r w:rsidRPr="009433F1">
        <w:rPr>
          <w:rFonts w:ascii="Times New Roman" w:hAnsi="Times New Roman" w:cs="Times New Roman"/>
          <w:bCs/>
          <w:sz w:val="24"/>
          <w:szCs w:val="24"/>
        </w:rPr>
        <w:t>Toetuse saaja kohustub esitama aruande</w:t>
      </w:r>
      <w:r>
        <w:rPr>
          <w:rFonts w:ascii="Times New Roman" w:hAnsi="Times New Roman" w:cs="Times New Roman"/>
          <w:bCs/>
          <w:sz w:val="24"/>
          <w:szCs w:val="24"/>
        </w:rPr>
        <w:t xml:space="preserve"> toetuse rahuldamise otsuses määratud tähtajaks</w:t>
      </w:r>
      <w:r w:rsidRPr="009433F1">
        <w:rPr>
          <w:rFonts w:ascii="Times New Roman" w:hAnsi="Times New Roman" w:cs="Times New Roman"/>
          <w:bCs/>
          <w:sz w:val="24"/>
          <w:szCs w:val="24"/>
        </w:rPr>
        <w:t>.</w:t>
      </w:r>
      <w:r>
        <w:rPr>
          <w:rFonts w:ascii="Times New Roman" w:hAnsi="Times New Roman" w:cs="Times New Roman"/>
          <w:bCs/>
          <w:sz w:val="24"/>
          <w:szCs w:val="24"/>
        </w:rPr>
        <w:t xml:space="preserve"> Aruanne</w:t>
      </w:r>
      <w:r w:rsidRPr="009433F1">
        <w:rPr>
          <w:rFonts w:ascii="Times New Roman" w:hAnsi="Times New Roman" w:cs="Times New Roman"/>
          <w:bCs/>
          <w:sz w:val="24"/>
          <w:szCs w:val="24"/>
        </w:rPr>
        <w:t xml:space="preserve"> võimalda</w:t>
      </w:r>
      <w:r>
        <w:rPr>
          <w:rFonts w:ascii="Times New Roman" w:hAnsi="Times New Roman" w:cs="Times New Roman"/>
          <w:bCs/>
          <w:sz w:val="24"/>
          <w:szCs w:val="24"/>
        </w:rPr>
        <w:t>b</w:t>
      </w:r>
      <w:r w:rsidRPr="009433F1">
        <w:rPr>
          <w:rFonts w:ascii="Times New Roman" w:hAnsi="Times New Roman" w:cs="Times New Roman"/>
          <w:bCs/>
          <w:sz w:val="24"/>
          <w:szCs w:val="24"/>
        </w:rPr>
        <w:t xml:space="preserve"> toetuse andjal hinnata, kuidas projekti tegevused ja eesmärgid on </w:t>
      </w:r>
      <w:r>
        <w:rPr>
          <w:rFonts w:ascii="Times New Roman" w:hAnsi="Times New Roman" w:cs="Times New Roman"/>
          <w:bCs/>
          <w:sz w:val="24"/>
          <w:szCs w:val="24"/>
        </w:rPr>
        <w:t xml:space="preserve">projekti kestel </w:t>
      </w:r>
      <w:r w:rsidRPr="009433F1">
        <w:rPr>
          <w:rFonts w:ascii="Times New Roman" w:hAnsi="Times New Roman" w:cs="Times New Roman"/>
          <w:bCs/>
          <w:sz w:val="24"/>
          <w:szCs w:val="24"/>
        </w:rPr>
        <w:t>ellu viidud</w:t>
      </w:r>
      <w:r>
        <w:rPr>
          <w:rFonts w:ascii="Times New Roman" w:hAnsi="Times New Roman" w:cs="Times New Roman"/>
          <w:bCs/>
          <w:sz w:val="24"/>
          <w:szCs w:val="24"/>
        </w:rPr>
        <w:t>,</w:t>
      </w:r>
      <w:r>
        <w:rPr>
          <w:rFonts w:ascii="Times New Roman" w:hAnsi="Times New Roman" w:cs="Times New Roman"/>
          <w:sz w:val="24"/>
          <w:szCs w:val="24"/>
        </w:rPr>
        <w:t xml:space="preserve"> ning</w:t>
      </w:r>
      <w:r w:rsidRPr="009433F1">
        <w:rPr>
          <w:rFonts w:ascii="Times New Roman" w:hAnsi="Times New Roman" w:cs="Times New Roman"/>
          <w:sz w:val="24"/>
          <w:szCs w:val="24"/>
        </w:rPr>
        <w:t xml:space="preserve"> tuvastada võimalikke kõrvalekaldeid. </w:t>
      </w:r>
      <w:r w:rsidR="00C64387">
        <w:rPr>
          <w:rFonts w:ascii="Times New Roman" w:hAnsi="Times New Roman" w:cs="Times New Roman"/>
          <w:sz w:val="24"/>
          <w:szCs w:val="24"/>
        </w:rPr>
        <w:t>Aruanne</w:t>
      </w:r>
      <w:r w:rsidRPr="009433F1">
        <w:rPr>
          <w:rFonts w:ascii="Times New Roman" w:hAnsi="Times New Roman" w:cs="Times New Roman"/>
          <w:sz w:val="24"/>
          <w:szCs w:val="24"/>
        </w:rPr>
        <w:t xml:space="preserve"> </w:t>
      </w:r>
      <w:r w:rsidR="00C64387">
        <w:rPr>
          <w:rFonts w:ascii="Times New Roman" w:hAnsi="Times New Roman" w:cs="Times New Roman"/>
          <w:sz w:val="24"/>
          <w:szCs w:val="24"/>
        </w:rPr>
        <w:t>peab andma</w:t>
      </w:r>
      <w:r w:rsidRPr="009433F1">
        <w:rPr>
          <w:rFonts w:ascii="Times New Roman" w:hAnsi="Times New Roman" w:cs="Times New Roman"/>
          <w:sz w:val="24"/>
          <w:szCs w:val="24"/>
        </w:rPr>
        <w:t xml:space="preserve"> </w:t>
      </w:r>
      <w:r w:rsidR="00915FFF">
        <w:rPr>
          <w:rFonts w:ascii="Times New Roman" w:hAnsi="Times New Roman" w:cs="Times New Roman"/>
          <w:sz w:val="24"/>
          <w:szCs w:val="24"/>
        </w:rPr>
        <w:t>toetuse andjale</w:t>
      </w:r>
      <w:r w:rsidRPr="009433F1">
        <w:rPr>
          <w:rFonts w:ascii="Times New Roman" w:hAnsi="Times New Roman" w:cs="Times New Roman"/>
          <w:sz w:val="24"/>
          <w:szCs w:val="24"/>
        </w:rPr>
        <w:t xml:space="preserve"> ülevaate </w:t>
      </w:r>
      <w:r>
        <w:rPr>
          <w:rFonts w:ascii="Times New Roman" w:hAnsi="Times New Roman" w:cs="Times New Roman"/>
          <w:sz w:val="24"/>
          <w:szCs w:val="24"/>
        </w:rPr>
        <w:t>kavandatud</w:t>
      </w:r>
      <w:r w:rsidRPr="009433F1">
        <w:rPr>
          <w:rFonts w:ascii="Times New Roman" w:hAnsi="Times New Roman" w:cs="Times New Roman"/>
          <w:sz w:val="24"/>
          <w:szCs w:val="24"/>
        </w:rPr>
        <w:t xml:space="preserve"> tegevuste üldisest tulemuslikkusest</w:t>
      </w:r>
      <w:r w:rsidR="00915FFF">
        <w:rPr>
          <w:rFonts w:ascii="Times New Roman" w:hAnsi="Times New Roman" w:cs="Times New Roman"/>
          <w:sz w:val="24"/>
          <w:szCs w:val="24"/>
        </w:rPr>
        <w:t xml:space="preserve">, </w:t>
      </w:r>
      <w:r>
        <w:rPr>
          <w:rFonts w:ascii="Times New Roman" w:hAnsi="Times New Roman" w:cs="Times New Roman"/>
          <w:sz w:val="24"/>
          <w:szCs w:val="24"/>
        </w:rPr>
        <w:t>nende</w:t>
      </w:r>
      <w:r w:rsidRPr="009433F1">
        <w:rPr>
          <w:rFonts w:ascii="Times New Roman" w:hAnsi="Times New Roman" w:cs="Times New Roman"/>
          <w:sz w:val="24"/>
          <w:szCs w:val="24"/>
        </w:rPr>
        <w:t xml:space="preserve"> mõjust</w:t>
      </w:r>
      <w:r w:rsidR="00915FFF">
        <w:rPr>
          <w:rFonts w:ascii="Times New Roman" w:hAnsi="Times New Roman" w:cs="Times New Roman"/>
          <w:sz w:val="24"/>
          <w:szCs w:val="24"/>
        </w:rPr>
        <w:t xml:space="preserve"> ja tegevuste jätkusuutlikkusest</w:t>
      </w:r>
      <w:r w:rsidRPr="009433F1">
        <w:rPr>
          <w:rFonts w:ascii="Times New Roman" w:hAnsi="Times New Roman" w:cs="Times New Roman"/>
          <w:sz w:val="24"/>
          <w:szCs w:val="24"/>
        </w:rPr>
        <w:t xml:space="preserve">. </w:t>
      </w:r>
      <w:r>
        <w:rPr>
          <w:rFonts w:ascii="Times New Roman" w:hAnsi="Times New Roman" w:cs="Times New Roman"/>
          <w:sz w:val="24"/>
          <w:szCs w:val="24"/>
        </w:rPr>
        <w:t>Taoline järelevalve</w:t>
      </w:r>
      <w:r w:rsidRPr="009433F1">
        <w:rPr>
          <w:rFonts w:ascii="Times New Roman" w:hAnsi="Times New Roman" w:cs="Times New Roman"/>
          <w:sz w:val="24"/>
          <w:szCs w:val="24"/>
        </w:rPr>
        <w:t xml:space="preserve"> suurendab läbipaistvust ja aitab tagada avalike vahendite tõhusa kasutamise. </w:t>
      </w:r>
      <w:r>
        <w:rPr>
          <w:rFonts w:ascii="Times New Roman" w:hAnsi="Times New Roman" w:cs="Times New Roman"/>
          <w:sz w:val="24"/>
          <w:szCs w:val="24"/>
        </w:rPr>
        <w:t>Aruande</w:t>
      </w:r>
      <w:r w:rsidRPr="009433F1">
        <w:rPr>
          <w:rFonts w:ascii="Times New Roman" w:hAnsi="Times New Roman" w:cs="Times New Roman"/>
          <w:sz w:val="24"/>
          <w:szCs w:val="24"/>
        </w:rPr>
        <w:t xml:space="preserve"> eesmärk on tagada, et tegevused on ellu viidud tulemuslikult, toetuse vahend</w:t>
      </w:r>
      <w:r>
        <w:rPr>
          <w:rFonts w:ascii="Times New Roman" w:hAnsi="Times New Roman" w:cs="Times New Roman"/>
          <w:sz w:val="24"/>
          <w:szCs w:val="24"/>
        </w:rPr>
        <w:t>e</w:t>
      </w:r>
      <w:r w:rsidRPr="009433F1">
        <w:rPr>
          <w:rFonts w:ascii="Times New Roman" w:hAnsi="Times New Roman" w:cs="Times New Roman"/>
          <w:sz w:val="24"/>
          <w:szCs w:val="24"/>
        </w:rPr>
        <w:t xml:space="preserve">id on kasutatud </w:t>
      </w:r>
      <w:r>
        <w:rPr>
          <w:rFonts w:ascii="Times New Roman" w:hAnsi="Times New Roman" w:cs="Times New Roman"/>
          <w:sz w:val="24"/>
          <w:szCs w:val="24"/>
        </w:rPr>
        <w:t>eesmärgipäraselt</w:t>
      </w:r>
      <w:r w:rsidRPr="009433F1">
        <w:rPr>
          <w:rFonts w:ascii="Times New Roman" w:hAnsi="Times New Roman" w:cs="Times New Roman"/>
          <w:sz w:val="24"/>
          <w:szCs w:val="24"/>
        </w:rPr>
        <w:t xml:space="preserve"> ja kõik tegevused vastavad </w:t>
      </w:r>
      <w:r>
        <w:rPr>
          <w:rFonts w:ascii="Times New Roman" w:hAnsi="Times New Roman" w:cs="Times New Roman"/>
          <w:sz w:val="24"/>
          <w:szCs w:val="24"/>
        </w:rPr>
        <w:t>tegevus- ja</w:t>
      </w:r>
      <w:r w:rsidRPr="009433F1">
        <w:rPr>
          <w:rFonts w:ascii="Times New Roman" w:hAnsi="Times New Roman" w:cs="Times New Roman"/>
          <w:sz w:val="24"/>
          <w:szCs w:val="24"/>
        </w:rPr>
        <w:t xml:space="preserve"> ajakavale.</w:t>
      </w:r>
    </w:p>
    <w:p w14:paraId="7A76B2AA" w14:textId="77777777" w:rsidR="002A584B" w:rsidRPr="00B85E58" w:rsidRDefault="002A584B" w:rsidP="002A584B">
      <w:pPr>
        <w:spacing w:after="0" w:line="240" w:lineRule="auto"/>
        <w:jc w:val="both"/>
        <w:rPr>
          <w:rFonts w:ascii="Times New Roman" w:hAnsi="Times New Roman" w:cs="Times New Roman"/>
          <w:sz w:val="24"/>
          <w:szCs w:val="24"/>
          <w:highlight w:val="yellow"/>
        </w:rPr>
      </w:pPr>
    </w:p>
    <w:p w14:paraId="36B125FC" w14:textId="6CA0196E" w:rsidR="002A584B" w:rsidRDefault="002A584B" w:rsidP="002A584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w:t>
      </w:r>
      <w:r w:rsidRPr="009433F1">
        <w:rPr>
          <w:rFonts w:ascii="Times New Roman" w:hAnsi="Times New Roman" w:cs="Times New Roman"/>
          <w:bCs/>
          <w:sz w:val="24"/>
          <w:szCs w:val="24"/>
        </w:rPr>
        <w:t xml:space="preserve">ruanded </w:t>
      </w:r>
      <w:r>
        <w:rPr>
          <w:rFonts w:ascii="Times New Roman" w:hAnsi="Times New Roman" w:cs="Times New Roman"/>
          <w:bCs/>
          <w:sz w:val="24"/>
          <w:szCs w:val="24"/>
        </w:rPr>
        <w:t>peab digitaalselt</w:t>
      </w:r>
      <w:r w:rsidRPr="009433F1">
        <w:rPr>
          <w:rFonts w:ascii="Times New Roman" w:hAnsi="Times New Roman" w:cs="Times New Roman"/>
          <w:bCs/>
          <w:sz w:val="24"/>
          <w:szCs w:val="24"/>
        </w:rPr>
        <w:t xml:space="preserve"> allkirjasta</w:t>
      </w:r>
      <w:r>
        <w:rPr>
          <w:rFonts w:ascii="Times New Roman" w:hAnsi="Times New Roman" w:cs="Times New Roman"/>
          <w:bCs/>
          <w:sz w:val="24"/>
          <w:szCs w:val="24"/>
        </w:rPr>
        <w:t>m</w:t>
      </w:r>
      <w:r w:rsidRPr="009433F1">
        <w:rPr>
          <w:rFonts w:ascii="Times New Roman" w:hAnsi="Times New Roman" w:cs="Times New Roman"/>
          <w:bCs/>
          <w:sz w:val="24"/>
          <w:szCs w:val="24"/>
        </w:rPr>
        <w:t>a esindusõiguslik isik</w:t>
      </w:r>
      <w:r>
        <w:rPr>
          <w:rFonts w:ascii="Times New Roman" w:hAnsi="Times New Roman" w:cs="Times New Roman"/>
          <w:bCs/>
          <w:sz w:val="24"/>
          <w:szCs w:val="24"/>
        </w:rPr>
        <w:t xml:space="preserve"> ja</w:t>
      </w:r>
      <w:r w:rsidRPr="009433F1">
        <w:rPr>
          <w:rFonts w:ascii="Times New Roman" w:hAnsi="Times New Roman" w:cs="Times New Roman"/>
          <w:bCs/>
          <w:sz w:val="24"/>
          <w:szCs w:val="24"/>
        </w:rPr>
        <w:t xml:space="preserve"> </w:t>
      </w:r>
      <w:r>
        <w:rPr>
          <w:rFonts w:ascii="Times New Roman" w:hAnsi="Times New Roman" w:cs="Times New Roman"/>
          <w:bCs/>
          <w:sz w:val="24"/>
          <w:szCs w:val="24"/>
        </w:rPr>
        <w:t>aruannete koostamiseks</w:t>
      </w:r>
      <w:r w:rsidRPr="009D75D5">
        <w:rPr>
          <w:rFonts w:ascii="Times New Roman" w:hAnsi="Times New Roman" w:cs="Times New Roman"/>
          <w:bCs/>
          <w:sz w:val="24"/>
          <w:szCs w:val="24"/>
        </w:rPr>
        <w:t xml:space="preserve"> </w:t>
      </w:r>
      <w:r>
        <w:rPr>
          <w:rFonts w:ascii="Times New Roman" w:hAnsi="Times New Roman" w:cs="Times New Roman"/>
          <w:bCs/>
          <w:sz w:val="24"/>
          <w:szCs w:val="24"/>
        </w:rPr>
        <w:t>tuleb kasutada TMS-</w:t>
      </w:r>
      <w:proofErr w:type="spellStart"/>
      <w:r>
        <w:rPr>
          <w:rFonts w:ascii="Times New Roman" w:hAnsi="Times New Roman" w:cs="Times New Roman"/>
          <w:bCs/>
          <w:sz w:val="24"/>
          <w:szCs w:val="24"/>
        </w:rPr>
        <w:t>is</w:t>
      </w:r>
      <w:proofErr w:type="spellEnd"/>
      <w:r w:rsidRPr="009D75D5">
        <w:rPr>
          <w:rFonts w:ascii="Times New Roman" w:hAnsi="Times New Roman" w:cs="Times New Roman"/>
          <w:bCs/>
          <w:sz w:val="24"/>
          <w:szCs w:val="24"/>
        </w:rPr>
        <w:t xml:space="preserve"> olevaid aruandevorme.</w:t>
      </w:r>
      <w:r>
        <w:rPr>
          <w:rFonts w:ascii="Times New Roman" w:hAnsi="Times New Roman" w:cs="Times New Roman"/>
          <w:bCs/>
          <w:sz w:val="24"/>
          <w:szCs w:val="24"/>
        </w:rPr>
        <w:t xml:space="preserve"> </w:t>
      </w:r>
      <w:r w:rsidRPr="009433F1">
        <w:rPr>
          <w:rFonts w:ascii="Times New Roman" w:hAnsi="Times New Roman" w:cs="Times New Roman"/>
          <w:bCs/>
          <w:sz w:val="24"/>
          <w:szCs w:val="24"/>
        </w:rPr>
        <w:t>Kui aruande kontrollimisel ilmnevad puudused (n</w:t>
      </w:r>
      <w:r>
        <w:rPr>
          <w:rFonts w:ascii="Times New Roman" w:hAnsi="Times New Roman" w:cs="Times New Roman"/>
          <w:bCs/>
          <w:sz w:val="24"/>
          <w:szCs w:val="24"/>
        </w:rPr>
        <w:t>äiteks</w:t>
      </w:r>
      <w:r w:rsidRPr="009433F1">
        <w:rPr>
          <w:rFonts w:ascii="Times New Roman" w:hAnsi="Times New Roman" w:cs="Times New Roman"/>
          <w:bCs/>
          <w:sz w:val="24"/>
          <w:szCs w:val="24"/>
        </w:rPr>
        <w:t xml:space="preserve"> ebatäpsused, lisadokumentide puudumine), on toetuse andjal õigus teha ettepanek nende kõrvaldamiseks.</w:t>
      </w:r>
    </w:p>
    <w:p w14:paraId="450B02B2" w14:textId="77777777" w:rsidR="002A584B" w:rsidRDefault="002A584B" w:rsidP="002A584B">
      <w:pPr>
        <w:spacing w:after="0" w:line="240" w:lineRule="auto"/>
        <w:jc w:val="both"/>
        <w:rPr>
          <w:rFonts w:ascii="Times New Roman" w:hAnsi="Times New Roman" w:cs="Times New Roman"/>
          <w:bCs/>
          <w:sz w:val="24"/>
          <w:szCs w:val="24"/>
        </w:rPr>
      </w:pPr>
    </w:p>
    <w:p w14:paraId="2F9F9AB8" w14:textId="04B0132B" w:rsidR="002A584B" w:rsidRPr="002A584B" w:rsidRDefault="002A584B" w:rsidP="002A584B">
      <w:pPr>
        <w:spacing w:line="240" w:lineRule="auto"/>
        <w:jc w:val="both"/>
        <w:rPr>
          <w:rFonts w:ascii="Times New Roman" w:hAnsi="Times New Roman" w:cs="Times New Roman"/>
          <w:sz w:val="24"/>
          <w:szCs w:val="24"/>
        </w:rPr>
      </w:pPr>
      <w:r w:rsidRPr="009433F1">
        <w:rPr>
          <w:rFonts w:ascii="Times New Roman" w:hAnsi="Times New Roman" w:cs="Times New Roman"/>
          <w:sz w:val="24"/>
          <w:szCs w:val="24"/>
        </w:rPr>
        <w:t xml:space="preserve">Kui toetuse saaja aruandluses või toetuse kasutamisega seotud dokumentides on esitatud ebaõigeid või puudulikke andmeid või kui projekti tegevusi ei ole </w:t>
      </w:r>
      <w:r>
        <w:rPr>
          <w:rFonts w:ascii="Times New Roman" w:hAnsi="Times New Roman" w:cs="Times New Roman"/>
          <w:sz w:val="24"/>
          <w:szCs w:val="24"/>
        </w:rPr>
        <w:t>taotluse rahuldamise otsuses kokku lepitud</w:t>
      </w:r>
      <w:r w:rsidRPr="009433F1">
        <w:rPr>
          <w:rFonts w:ascii="Times New Roman" w:hAnsi="Times New Roman" w:cs="Times New Roman"/>
          <w:sz w:val="24"/>
          <w:szCs w:val="24"/>
        </w:rPr>
        <w:t xml:space="preserve"> tähtajaks</w:t>
      </w:r>
      <w:r>
        <w:rPr>
          <w:rFonts w:ascii="Times New Roman" w:hAnsi="Times New Roman" w:cs="Times New Roman"/>
          <w:sz w:val="24"/>
          <w:szCs w:val="24"/>
        </w:rPr>
        <w:t xml:space="preserve"> ja tingimustel</w:t>
      </w:r>
      <w:r w:rsidRPr="009433F1">
        <w:rPr>
          <w:rFonts w:ascii="Times New Roman" w:hAnsi="Times New Roman" w:cs="Times New Roman"/>
          <w:sz w:val="24"/>
          <w:szCs w:val="24"/>
        </w:rPr>
        <w:t xml:space="preserve"> ellu viidud või need ei ole tõendatud, on toetuse andjal õigus aruannet mitte kinnitada. Se</w:t>
      </w:r>
      <w:r>
        <w:rPr>
          <w:rFonts w:ascii="Times New Roman" w:hAnsi="Times New Roman" w:cs="Times New Roman"/>
          <w:sz w:val="24"/>
          <w:szCs w:val="24"/>
        </w:rPr>
        <w:t>lle</w:t>
      </w:r>
      <w:r w:rsidRPr="009433F1">
        <w:rPr>
          <w:rFonts w:ascii="Times New Roman" w:hAnsi="Times New Roman" w:cs="Times New Roman"/>
          <w:sz w:val="24"/>
          <w:szCs w:val="24"/>
        </w:rPr>
        <w:t xml:space="preserve"> sät</w:t>
      </w:r>
      <w:r>
        <w:rPr>
          <w:rFonts w:ascii="Times New Roman" w:hAnsi="Times New Roman" w:cs="Times New Roman"/>
          <w:sz w:val="24"/>
          <w:szCs w:val="24"/>
        </w:rPr>
        <w:t>tega</w:t>
      </w:r>
      <w:r w:rsidRPr="009433F1">
        <w:rPr>
          <w:rFonts w:ascii="Times New Roman" w:hAnsi="Times New Roman" w:cs="Times New Roman"/>
          <w:sz w:val="24"/>
          <w:szCs w:val="24"/>
        </w:rPr>
        <w:t xml:space="preserve"> taga</w:t>
      </w:r>
      <w:r>
        <w:rPr>
          <w:rFonts w:ascii="Times New Roman" w:hAnsi="Times New Roman" w:cs="Times New Roman"/>
          <w:sz w:val="24"/>
          <w:szCs w:val="24"/>
        </w:rPr>
        <w:t>takse</w:t>
      </w:r>
      <w:r w:rsidRPr="009433F1">
        <w:rPr>
          <w:rFonts w:ascii="Times New Roman" w:hAnsi="Times New Roman" w:cs="Times New Roman"/>
          <w:sz w:val="24"/>
          <w:szCs w:val="24"/>
        </w:rPr>
        <w:t>, et toetuse kasutamine on läbipaistev ja vastab kehtestatud nõuetele</w:t>
      </w:r>
      <w:r>
        <w:rPr>
          <w:rFonts w:ascii="Times New Roman" w:hAnsi="Times New Roman" w:cs="Times New Roman"/>
          <w:sz w:val="24"/>
          <w:szCs w:val="24"/>
        </w:rPr>
        <w:t>,</w:t>
      </w:r>
      <w:r w:rsidRPr="009433F1">
        <w:rPr>
          <w:rFonts w:ascii="Times New Roman" w:hAnsi="Times New Roman" w:cs="Times New Roman"/>
          <w:sz w:val="24"/>
          <w:szCs w:val="24"/>
        </w:rPr>
        <w:t xml:space="preserve"> ning kaits</w:t>
      </w:r>
      <w:r>
        <w:rPr>
          <w:rFonts w:ascii="Times New Roman" w:hAnsi="Times New Roman" w:cs="Times New Roman"/>
          <w:sz w:val="24"/>
          <w:szCs w:val="24"/>
        </w:rPr>
        <w:t xml:space="preserve">takse </w:t>
      </w:r>
      <w:r w:rsidRPr="009433F1">
        <w:rPr>
          <w:rFonts w:ascii="Times New Roman" w:hAnsi="Times New Roman" w:cs="Times New Roman"/>
          <w:sz w:val="24"/>
          <w:szCs w:val="24"/>
        </w:rPr>
        <w:t>toetuse andja õigust rikkumiste korral</w:t>
      </w:r>
      <w:r>
        <w:rPr>
          <w:rFonts w:ascii="Times New Roman" w:hAnsi="Times New Roman" w:cs="Times New Roman"/>
          <w:sz w:val="24"/>
          <w:szCs w:val="24"/>
        </w:rPr>
        <w:t xml:space="preserve"> sekkuda</w:t>
      </w:r>
      <w:r w:rsidRPr="009433F1">
        <w:rPr>
          <w:rFonts w:ascii="Times New Roman" w:hAnsi="Times New Roman" w:cs="Times New Roman"/>
          <w:sz w:val="24"/>
          <w:szCs w:val="24"/>
        </w:rPr>
        <w:t>.</w:t>
      </w:r>
    </w:p>
    <w:p w14:paraId="60634415" w14:textId="7CEA7AC6" w:rsidR="00135154" w:rsidRDefault="00135154" w:rsidP="00135154">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Paragrahviga</w:t>
      </w:r>
      <w:r w:rsidRPr="005905DE">
        <w:rPr>
          <w:rFonts w:ascii="Times New Roman" w:hAnsi="Times New Roman" w:cs="Times New Roman"/>
          <w:b/>
          <w:bCs/>
          <w:sz w:val="24"/>
          <w:szCs w:val="24"/>
        </w:rPr>
        <w:t xml:space="preserve"> </w:t>
      </w:r>
      <w:r>
        <w:rPr>
          <w:rFonts w:ascii="Times New Roman" w:hAnsi="Times New Roman" w:cs="Times New Roman"/>
          <w:b/>
          <w:bCs/>
          <w:sz w:val="24"/>
          <w:szCs w:val="24"/>
        </w:rPr>
        <w:t>21</w:t>
      </w:r>
      <w:r w:rsidRPr="005905DE">
        <w:rPr>
          <w:rFonts w:ascii="Times New Roman" w:hAnsi="Times New Roman" w:cs="Times New Roman"/>
          <w:b/>
          <w:bCs/>
          <w:sz w:val="24"/>
          <w:szCs w:val="24"/>
        </w:rPr>
        <w:t xml:space="preserve"> </w:t>
      </w:r>
      <w:r w:rsidRPr="005905DE">
        <w:rPr>
          <w:rFonts w:ascii="Times New Roman" w:hAnsi="Times New Roman" w:cs="Times New Roman"/>
          <w:sz w:val="24"/>
          <w:szCs w:val="24"/>
        </w:rPr>
        <w:t>sätesta</w:t>
      </w:r>
      <w:r>
        <w:rPr>
          <w:rFonts w:ascii="Times New Roman" w:hAnsi="Times New Roman" w:cs="Times New Roman"/>
          <w:sz w:val="24"/>
          <w:szCs w:val="24"/>
        </w:rPr>
        <w:t>takse</w:t>
      </w:r>
      <w:r w:rsidRPr="005905DE">
        <w:rPr>
          <w:rFonts w:ascii="Times New Roman" w:hAnsi="Times New Roman" w:cs="Times New Roman"/>
          <w:sz w:val="24"/>
          <w:szCs w:val="24"/>
        </w:rPr>
        <w:t xml:space="preserve"> toetuse tagasinõudmis</w:t>
      </w:r>
      <w:r>
        <w:rPr>
          <w:rFonts w:ascii="Times New Roman" w:hAnsi="Times New Roman" w:cs="Times New Roman"/>
          <w:sz w:val="24"/>
          <w:szCs w:val="24"/>
        </w:rPr>
        <w:t>e</w:t>
      </w:r>
      <w:r w:rsidRPr="005905DE">
        <w:rPr>
          <w:rFonts w:ascii="Times New Roman" w:hAnsi="Times New Roman" w:cs="Times New Roman"/>
          <w:sz w:val="24"/>
          <w:szCs w:val="24"/>
        </w:rPr>
        <w:t xml:space="preserve"> ja -maksmis</w:t>
      </w:r>
      <w:r>
        <w:rPr>
          <w:rFonts w:ascii="Times New Roman" w:hAnsi="Times New Roman" w:cs="Times New Roman"/>
          <w:sz w:val="24"/>
          <w:szCs w:val="24"/>
        </w:rPr>
        <w:t>e</w:t>
      </w:r>
      <w:r w:rsidRPr="005905DE">
        <w:rPr>
          <w:rFonts w:ascii="Times New Roman" w:hAnsi="Times New Roman" w:cs="Times New Roman"/>
          <w:sz w:val="24"/>
          <w:szCs w:val="24"/>
        </w:rPr>
        <w:t xml:space="preserve"> ning ajatamis</w:t>
      </w:r>
      <w:r>
        <w:rPr>
          <w:rFonts w:ascii="Times New Roman" w:hAnsi="Times New Roman" w:cs="Times New Roman"/>
          <w:sz w:val="24"/>
          <w:szCs w:val="24"/>
        </w:rPr>
        <w:t>e kord</w:t>
      </w:r>
      <w:r w:rsidRPr="005905DE">
        <w:rPr>
          <w:rFonts w:ascii="Times New Roman" w:hAnsi="Times New Roman" w:cs="Times New Roman"/>
          <w:sz w:val="24"/>
          <w:szCs w:val="24"/>
        </w:rPr>
        <w:t>.</w:t>
      </w:r>
    </w:p>
    <w:p w14:paraId="5B37C7FF" w14:textId="77777777" w:rsidR="00135154" w:rsidRPr="005905DE" w:rsidRDefault="00135154" w:rsidP="00135154">
      <w:pPr>
        <w:spacing w:after="0" w:line="240" w:lineRule="auto"/>
        <w:jc w:val="both"/>
        <w:rPr>
          <w:rFonts w:ascii="Times New Roman" w:hAnsi="Times New Roman" w:cs="Times New Roman"/>
          <w:sz w:val="24"/>
          <w:szCs w:val="24"/>
        </w:rPr>
      </w:pPr>
    </w:p>
    <w:p w14:paraId="060070D6" w14:textId="77777777" w:rsidR="00135154" w:rsidRPr="005905DE" w:rsidRDefault="00135154" w:rsidP="001351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Paragrahvis</w:t>
      </w:r>
      <w:r w:rsidRPr="005905DE">
        <w:rPr>
          <w:rFonts w:ascii="Times New Roman" w:hAnsi="Times New Roman" w:cs="Times New Roman"/>
          <w:sz w:val="24"/>
          <w:szCs w:val="24"/>
        </w:rPr>
        <w:t xml:space="preserve"> sätesta</w:t>
      </w:r>
      <w:r>
        <w:rPr>
          <w:rFonts w:ascii="Times New Roman" w:hAnsi="Times New Roman" w:cs="Times New Roman"/>
          <w:sz w:val="24"/>
          <w:szCs w:val="24"/>
        </w:rPr>
        <w:t>takse</w:t>
      </w:r>
      <w:r w:rsidRPr="005905DE">
        <w:rPr>
          <w:rFonts w:ascii="Times New Roman" w:hAnsi="Times New Roman" w:cs="Times New Roman"/>
          <w:sz w:val="24"/>
          <w:szCs w:val="24"/>
        </w:rPr>
        <w:t xml:space="preserve"> tingimused, mille korral on toetuse andjal õigus nõuda makstud toetus osaliselt või täielikult tagasi. Need tingimused on mõeldud </w:t>
      </w:r>
      <w:r>
        <w:rPr>
          <w:rFonts w:ascii="Times New Roman" w:hAnsi="Times New Roman" w:cs="Times New Roman"/>
          <w:sz w:val="24"/>
          <w:szCs w:val="24"/>
        </w:rPr>
        <w:t>selleks</w:t>
      </w:r>
      <w:r w:rsidRPr="005905DE">
        <w:rPr>
          <w:rFonts w:ascii="Times New Roman" w:hAnsi="Times New Roman" w:cs="Times New Roman"/>
          <w:sz w:val="24"/>
          <w:szCs w:val="24"/>
        </w:rPr>
        <w:t>, et toetust kasutataks sihipäraselt, läbipaistvalt ja kooskõlas määruses sätestatud nõuetega.</w:t>
      </w:r>
    </w:p>
    <w:p w14:paraId="59F56422" w14:textId="77777777" w:rsidR="00135154" w:rsidRPr="00B85E58" w:rsidRDefault="00135154" w:rsidP="00135154">
      <w:pPr>
        <w:spacing w:after="0" w:line="240" w:lineRule="auto"/>
        <w:jc w:val="both"/>
        <w:rPr>
          <w:rFonts w:ascii="Times New Roman" w:hAnsi="Times New Roman" w:cs="Times New Roman"/>
          <w:sz w:val="24"/>
          <w:szCs w:val="24"/>
          <w:highlight w:val="yellow"/>
        </w:rPr>
      </w:pPr>
    </w:p>
    <w:p w14:paraId="360F5481" w14:textId="77777777" w:rsidR="00135154" w:rsidRDefault="00135154" w:rsidP="00135154">
      <w:pPr>
        <w:spacing w:after="0" w:line="240" w:lineRule="auto"/>
        <w:jc w:val="both"/>
        <w:rPr>
          <w:rFonts w:ascii="Times New Roman" w:hAnsi="Times New Roman" w:cs="Times New Roman"/>
          <w:sz w:val="24"/>
          <w:szCs w:val="24"/>
        </w:rPr>
      </w:pPr>
      <w:r w:rsidRPr="005905DE">
        <w:rPr>
          <w:rFonts w:ascii="Times New Roman" w:hAnsi="Times New Roman" w:cs="Times New Roman"/>
          <w:sz w:val="24"/>
          <w:szCs w:val="24"/>
        </w:rPr>
        <w:t>Toetus nõutakse täielikult või osaliselt tagasi, kui ei ole tõendatud</w:t>
      </w:r>
      <w:r>
        <w:rPr>
          <w:rFonts w:ascii="Times New Roman" w:hAnsi="Times New Roman" w:cs="Times New Roman"/>
          <w:sz w:val="24"/>
          <w:szCs w:val="24"/>
        </w:rPr>
        <w:t>, et</w:t>
      </w:r>
      <w:r w:rsidRPr="005905DE">
        <w:rPr>
          <w:rFonts w:ascii="Times New Roman" w:hAnsi="Times New Roman" w:cs="Times New Roman"/>
          <w:sz w:val="24"/>
          <w:szCs w:val="24"/>
        </w:rPr>
        <w:t xml:space="preserve"> heakskiidetud taotluses kavandatud tegevuste tulemus</w:t>
      </w:r>
      <w:r>
        <w:rPr>
          <w:rFonts w:ascii="Times New Roman" w:hAnsi="Times New Roman" w:cs="Times New Roman"/>
          <w:sz w:val="24"/>
          <w:szCs w:val="24"/>
        </w:rPr>
        <w:t>ed</w:t>
      </w:r>
      <w:r w:rsidRPr="005905DE">
        <w:rPr>
          <w:rFonts w:ascii="Times New Roman" w:hAnsi="Times New Roman" w:cs="Times New Roman"/>
          <w:sz w:val="24"/>
          <w:szCs w:val="24"/>
        </w:rPr>
        <w:t xml:space="preserve"> ja eesmär</w:t>
      </w:r>
      <w:r>
        <w:rPr>
          <w:rFonts w:ascii="Times New Roman" w:hAnsi="Times New Roman" w:cs="Times New Roman"/>
          <w:sz w:val="24"/>
          <w:szCs w:val="24"/>
        </w:rPr>
        <w:t>gid on</w:t>
      </w:r>
      <w:r w:rsidRPr="005905DE">
        <w:rPr>
          <w:rFonts w:ascii="Times New Roman" w:hAnsi="Times New Roman" w:cs="Times New Roman"/>
          <w:sz w:val="24"/>
          <w:szCs w:val="24"/>
        </w:rPr>
        <w:t xml:space="preserve"> saavut</w:t>
      </w:r>
      <w:r>
        <w:rPr>
          <w:rFonts w:ascii="Times New Roman" w:hAnsi="Times New Roman" w:cs="Times New Roman"/>
          <w:sz w:val="24"/>
          <w:szCs w:val="24"/>
        </w:rPr>
        <w:t>atud,</w:t>
      </w:r>
      <w:r w:rsidRPr="005905DE">
        <w:rPr>
          <w:rFonts w:ascii="Times New Roman" w:hAnsi="Times New Roman" w:cs="Times New Roman"/>
          <w:sz w:val="24"/>
          <w:szCs w:val="24"/>
        </w:rPr>
        <w:t xml:space="preserve"> või kui toetust ei ole kasutatud otsuses ettenähtud korras ja tingimustel. Samuti on tagasinõudmine põhjendatud juhul, kui toetuse saaja ei esita nõutavaid sisu- ja finantsaruandeid, mis kinnitavad</w:t>
      </w:r>
      <w:r>
        <w:rPr>
          <w:rFonts w:ascii="Times New Roman" w:hAnsi="Times New Roman" w:cs="Times New Roman"/>
          <w:sz w:val="24"/>
          <w:szCs w:val="24"/>
        </w:rPr>
        <w:t>, et</w:t>
      </w:r>
      <w:r w:rsidRPr="005905DE">
        <w:rPr>
          <w:rFonts w:ascii="Times New Roman" w:hAnsi="Times New Roman" w:cs="Times New Roman"/>
          <w:sz w:val="24"/>
          <w:szCs w:val="24"/>
        </w:rPr>
        <w:t xml:space="preserve"> toetus</w:t>
      </w:r>
      <w:r>
        <w:rPr>
          <w:rFonts w:ascii="Times New Roman" w:hAnsi="Times New Roman" w:cs="Times New Roman"/>
          <w:sz w:val="24"/>
          <w:szCs w:val="24"/>
        </w:rPr>
        <w:t>t on kasutatud</w:t>
      </w:r>
      <w:r w:rsidRPr="005905DE">
        <w:rPr>
          <w:rFonts w:ascii="Times New Roman" w:hAnsi="Times New Roman" w:cs="Times New Roman"/>
          <w:sz w:val="24"/>
          <w:szCs w:val="24"/>
        </w:rPr>
        <w:t xml:space="preserve"> korrekts</w:t>
      </w:r>
      <w:r>
        <w:rPr>
          <w:rFonts w:ascii="Times New Roman" w:hAnsi="Times New Roman" w:cs="Times New Roman"/>
          <w:sz w:val="24"/>
          <w:szCs w:val="24"/>
        </w:rPr>
        <w:t>elt</w:t>
      </w:r>
      <w:r w:rsidRPr="005905DE">
        <w:rPr>
          <w:rFonts w:ascii="Times New Roman" w:hAnsi="Times New Roman" w:cs="Times New Roman"/>
          <w:sz w:val="24"/>
          <w:szCs w:val="24"/>
        </w:rPr>
        <w:t>.</w:t>
      </w:r>
    </w:p>
    <w:p w14:paraId="05299EC6" w14:textId="77777777" w:rsidR="00135154" w:rsidRPr="00B85E58" w:rsidRDefault="00135154" w:rsidP="00135154">
      <w:pPr>
        <w:spacing w:after="0" w:line="240" w:lineRule="auto"/>
        <w:jc w:val="both"/>
        <w:rPr>
          <w:rFonts w:ascii="Times New Roman" w:hAnsi="Times New Roman" w:cs="Times New Roman"/>
          <w:sz w:val="24"/>
          <w:szCs w:val="24"/>
          <w:highlight w:val="yellow"/>
        </w:rPr>
      </w:pPr>
    </w:p>
    <w:p w14:paraId="28BCD777" w14:textId="58368300" w:rsidR="00135154" w:rsidRDefault="00135154" w:rsidP="00135154">
      <w:pPr>
        <w:spacing w:after="0" w:line="240" w:lineRule="auto"/>
        <w:jc w:val="both"/>
        <w:rPr>
          <w:rFonts w:ascii="Times New Roman" w:hAnsi="Times New Roman" w:cs="Times New Roman"/>
          <w:bCs/>
          <w:sz w:val="24"/>
          <w:szCs w:val="24"/>
        </w:rPr>
      </w:pPr>
      <w:r w:rsidRPr="005905DE">
        <w:rPr>
          <w:rFonts w:ascii="Times New Roman" w:hAnsi="Times New Roman" w:cs="Times New Roman"/>
          <w:sz w:val="24"/>
          <w:szCs w:val="24"/>
        </w:rPr>
        <w:t>Olulised rikkumised teavitusnõuetes või tähtaegade ületamine võivad samuti põhjustada tagasinõude. Sellised rikkumised võivad kahjustada projekti avalikku nähtavust või mõjutada teiste seotud osa</w:t>
      </w:r>
      <w:r>
        <w:rPr>
          <w:rFonts w:ascii="Times New Roman" w:hAnsi="Times New Roman" w:cs="Times New Roman"/>
          <w:sz w:val="24"/>
          <w:szCs w:val="24"/>
        </w:rPr>
        <w:t>liste</w:t>
      </w:r>
      <w:r w:rsidRPr="005905DE">
        <w:rPr>
          <w:rFonts w:ascii="Times New Roman" w:hAnsi="Times New Roman" w:cs="Times New Roman"/>
          <w:sz w:val="24"/>
          <w:szCs w:val="24"/>
        </w:rPr>
        <w:t xml:space="preserve"> tööd ja eesmärke. Teavitusnõuded tulenevad käesoleva määruse </w:t>
      </w:r>
      <w:r w:rsidRPr="005905DE">
        <w:rPr>
          <w:rFonts w:ascii="Times New Roman" w:hAnsi="Times New Roman" w:cs="Times New Roman"/>
          <w:bCs/>
          <w:sz w:val="24"/>
          <w:szCs w:val="24"/>
        </w:rPr>
        <w:t>§</w:t>
      </w:r>
      <w:r>
        <w:rPr>
          <w:rFonts w:ascii="Times New Roman" w:hAnsi="Times New Roman" w:cs="Times New Roman"/>
          <w:bCs/>
          <w:sz w:val="24"/>
          <w:szCs w:val="24"/>
        </w:rPr>
        <w:t>-st</w:t>
      </w:r>
      <w:r w:rsidR="00B82663">
        <w:rPr>
          <w:rFonts w:ascii="Times New Roman" w:hAnsi="Times New Roman" w:cs="Times New Roman"/>
          <w:bCs/>
          <w:sz w:val="24"/>
          <w:szCs w:val="24"/>
        </w:rPr>
        <w:t xml:space="preserve"> </w:t>
      </w:r>
      <w:r>
        <w:rPr>
          <w:rFonts w:ascii="Times New Roman" w:hAnsi="Times New Roman" w:cs="Times New Roman"/>
          <w:bCs/>
          <w:sz w:val="24"/>
          <w:szCs w:val="24"/>
        </w:rPr>
        <w:t>19</w:t>
      </w:r>
      <w:r w:rsidRPr="005905DE">
        <w:rPr>
          <w:rFonts w:ascii="Times New Roman" w:hAnsi="Times New Roman" w:cs="Times New Roman"/>
          <w:bCs/>
          <w:sz w:val="24"/>
          <w:szCs w:val="24"/>
        </w:rPr>
        <w:t>.</w:t>
      </w:r>
    </w:p>
    <w:p w14:paraId="6FA2B948" w14:textId="77777777" w:rsidR="00135154" w:rsidRPr="00B85E58" w:rsidRDefault="00135154" w:rsidP="00135154">
      <w:pPr>
        <w:spacing w:after="0" w:line="240" w:lineRule="auto"/>
        <w:jc w:val="both"/>
        <w:rPr>
          <w:rFonts w:ascii="Times New Roman" w:hAnsi="Times New Roman" w:cs="Times New Roman"/>
          <w:sz w:val="24"/>
          <w:szCs w:val="24"/>
          <w:highlight w:val="yellow"/>
        </w:rPr>
      </w:pPr>
    </w:p>
    <w:p w14:paraId="50AB032E" w14:textId="77777777" w:rsidR="00135154" w:rsidRPr="005905DE" w:rsidRDefault="00135154" w:rsidP="00135154">
      <w:pPr>
        <w:spacing w:after="0" w:line="240" w:lineRule="auto"/>
        <w:jc w:val="both"/>
        <w:rPr>
          <w:rFonts w:ascii="Times New Roman" w:hAnsi="Times New Roman" w:cs="Times New Roman"/>
          <w:sz w:val="24"/>
          <w:szCs w:val="24"/>
        </w:rPr>
      </w:pPr>
      <w:r w:rsidRPr="005905DE">
        <w:rPr>
          <w:rFonts w:ascii="Times New Roman" w:hAnsi="Times New Roman" w:cs="Times New Roman"/>
          <w:sz w:val="24"/>
          <w:szCs w:val="24"/>
        </w:rPr>
        <w:lastRenderedPageBreak/>
        <w:t xml:space="preserve">Toetus tuleb tagasi maksta, kui selgub, et taotlus rahuldati valeandmete põhjal või kui toetuse saaja on varjanud olulist teavet. </w:t>
      </w:r>
      <w:r>
        <w:rPr>
          <w:rFonts w:ascii="Times New Roman" w:hAnsi="Times New Roman" w:cs="Times New Roman"/>
          <w:sz w:val="24"/>
          <w:szCs w:val="24"/>
        </w:rPr>
        <w:t>T</w:t>
      </w:r>
      <w:r w:rsidRPr="005905DE">
        <w:rPr>
          <w:rFonts w:ascii="Times New Roman" w:hAnsi="Times New Roman" w:cs="Times New Roman"/>
          <w:sz w:val="24"/>
          <w:szCs w:val="24"/>
        </w:rPr>
        <w:t xml:space="preserve">agasinõudmine </w:t>
      </w:r>
      <w:r>
        <w:rPr>
          <w:rFonts w:ascii="Times New Roman" w:hAnsi="Times New Roman" w:cs="Times New Roman"/>
          <w:sz w:val="24"/>
          <w:szCs w:val="24"/>
        </w:rPr>
        <w:t xml:space="preserve">on </w:t>
      </w:r>
      <w:r w:rsidRPr="005905DE">
        <w:rPr>
          <w:rFonts w:ascii="Times New Roman" w:hAnsi="Times New Roman" w:cs="Times New Roman"/>
          <w:sz w:val="24"/>
          <w:szCs w:val="24"/>
        </w:rPr>
        <w:t>võimalik</w:t>
      </w:r>
      <w:r>
        <w:rPr>
          <w:rFonts w:ascii="Times New Roman" w:hAnsi="Times New Roman" w:cs="Times New Roman"/>
          <w:sz w:val="24"/>
          <w:szCs w:val="24"/>
        </w:rPr>
        <w:t xml:space="preserve"> ka</w:t>
      </w:r>
      <w:r w:rsidRPr="005905DE">
        <w:rPr>
          <w:rFonts w:ascii="Times New Roman" w:hAnsi="Times New Roman" w:cs="Times New Roman"/>
          <w:sz w:val="24"/>
          <w:szCs w:val="24"/>
        </w:rPr>
        <w:t xml:space="preserve"> juhul, kui toetuse saajal on toetuse andja ees muid täitmata rahalisi kohustusi, mis näitavad ebausaldusväärsust rahaliste kohustuste täitmisel.</w:t>
      </w:r>
    </w:p>
    <w:p w14:paraId="4BA5D7A6" w14:textId="77777777" w:rsidR="00135154" w:rsidRPr="005905DE" w:rsidRDefault="00135154" w:rsidP="00135154">
      <w:pPr>
        <w:spacing w:after="0" w:line="240" w:lineRule="auto"/>
        <w:jc w:val="both"/>
        <w:rPr>
          <w:rFonts w:ascii="Times New Roman" w:hAnsi="Times New Roman" w:cs="Times New Roman"/>
          <w:sz w:val="24"/>
          <w:szCs w:val="24"/>
        </w:rPr>
      </w:pPr>
    </w:p>
    <w:p w14:paraId="344ED046" w14:textId="77777777" w:rsidR="00135154" w:rsidRDefault="00135154" w:rsidP="00135154">
      <w:pPr>
        <w:spacing w:after="0" w:line="240" w:lineRule="auto"/>
        <w:jc w:val="both"/>
        <w:rPr>
          <w:rFonts w:ascii="Times New Roman" w:hAnsi="Times New Roman" w:cs="Times New Roman"/>
          <w:sz w:val="24"/>
          <w:szCs w:val="24"/>
        </w:rPr>
      </w:pPr>
      <w:r w:rsidRPr="005905DE">
        <w:rPr>
          <w:rFonts w:ascii="Times New Roman" w:hAnsi="Times New Roman" w:cs="Times New Roman"/>
          <w:sz w:val="24"/>
          <w:szCs w:val="24"/>
        </w:rPr>
        <w:t xml:space="preserve">Kui toetus jääb otsuses määratud tähtajaks kasutamata või toetuse saaja esitab avalduse toetuse kasutamisest loobumise kohta, on toetuse tagasinõudmine loogiline samm, et vältida vahendite </w:t>
      </w:r>
      <w:r>
        <w:rPr>
          <w:rFonts w:ascii="Times New Roman" w:hAnsi="Times New Roman" w:cs="Times New Roman"/>
          <w:sz w:val="24"/>
          <w:szCs w:val="24"/>
        </w:rPr>
        <w:t xml:space="preserve">eesmärgitut </w:t>
      </w:r>
      <w:r w:rsidRPr="005905DE">
        <w:rPr>
          <w:rFonts w:ascii="Times New Roman" w:hAnsi="Times New Roman" w:cs="Times New Roman"/>
          <w:sz w:val="24"/>
          <w:szCs w:val="24"/>
        </w:rPr>
        <w:t>kasutamist.</w:t>
      </w:r>
      <w:r>
        <w:rPr>
          <w:rFonts w:ascii="Times New Roman" w:hAnsi="Times New Roman" w:cs="Times New Roman"/>
          <w:sz w:val="24"/>
          <w:szCs w:val="24"/>
        </w:rPr>
        <w:t xml:space="preserve"> Selle sätestamine on vajalik, kuna</w:t>
      </w:r>
      <w:r w:rsidRPr="00071C71">
        <w:rPr>
          <w:rFonts w:ascii="Times New Roman" w:hAnsi="Times New Roman" w:cs="Times New Roman"/>
          <w:sz w:val="24"/>
          <w:szCs w:val="24"/>
        </w:rPr>
        <w:t xml:space="preserve"> </w:t>
      </w:r>
      <w:proofErr w:type="spellStart"/>
      <w:r w:rsidRPr="00071C71">
        <w:rPr>
          <w:rFonts w:ascii="Times New Roman" w:hAnsi="Times New Roman" w:cs="Times New Roman"/>
          <w:sz w:val="24"/>
          <w:szCs w:val="24"/>
        </w:rPr>
        <w:t>KÜSKi</w:t>
      </w:r>
      <w:proofErr w:type="spellEnd"/>
      <w:r>
        <w:rPr>
          <w:rFonts w:ascii="Times New Roman" w:hAnsi="Times New Roman" w:cs="Times New Roman"/>
          <w:sz w:val="24"/>
          <w:szCs w:val="24"/>
        </w:rPr>
        <w:t xml:space="preserve"> teistes</w:t>
      </w:r>
      <w:r w:rsidRPr="00071C71">
        <w:rPr>
          <w:rFonts w:ascii="Times New Roman" w:hAnsi="Times New Roman" w:cs="Times New Roman"/>
          <w:sz w:val="24"/>
          <w:szCs w:val="24"/>
        </w:rPr>
        <w:t xml:space="preserve"> taotlusvoorudes</w:t>
      </w:r>
      <w:r>
        <w:rPr>
          <w:rFonts w:ascii="Times New Roman" w:hAnsi="Times New Roman" w:cs="Times New Roman"/>
          <w:sz w:val="24"/>
          <w:szCs w:val="24"/>
        </w:rPr>
        <w:t xml:space="preserve"> on selliseid olukordi esinenud.</w:t>
      </w:r>
    </w:p>
    <w:p w14:paraId="4E98E685" w14:textId="77777777" w:rsidR="00135154" w:rsidRPr="005905DE" w:rsidRDefault="00135154" w:rsidP="00135154">
      <w:pPr>
        <w:spacing w:after="0" w:line="240" w:lineRule="auto"/>
        <w:jc w:val="both"/>
        <w:rPr>
          <w:rFonts w:ascii="Times New Roman" w:hAnsi="Times New Roman" w:cs="Times New Roman"/>
          <w:sz w:val="24"/>
          <w:szCs w:val="24"/>
        </w:rPr>
      </w:pPr>
    </w:p>
    <w:p w14:paraId="5AD05508" w14:textId="70A558FB" w:rsidR="00135154" w:rsidRDefault="00135154" w:rsidP="00135154">
      <w:pPr>
        <w:spacing w:after="0" w:line="240" w:lineRule="auto"/>
        <w:jc w:val="both"/>
        <w:rPr>
          <w:rFonts w:ascii="Times New Roman" w:hAnsi="Times New Roman" w:cs="Times New Roman"/>
          <w:sz w:val="24"/>
          <w:szCs w:val="24"/>
        </w:rPr>
      </w:pPr>
      <w:r w:rsidRPr="005905DE">
        <w:rPr>
          <w:rFonts w:ascii="Times New Roman" w:hAnsi="Times New Roman" w:cs="Times New Roman"/>
          <w:sz w:val="24"/>
          <w:szCs w:val="24"/>
        </w:rPr>
        <w:t xml:space="preserve">Need tingimused tagavad, et toetust kasutatakse läbipaistvalt ja tulemuslikult, toetades </w:t>
      </w:r>
      <w:r w:rsidR="00593F04">
        <w:rPr>
          <w:rFonts w:ascii="Times New Roman" w:hAnsi="Times New Roman" w:cs="Times New Roman"/>
          <w:sz w:val="24"/>
          <w:szCs w:val="24"/>
        </w:rPr>
        <w:t>taotlusvooru</w:t>
      </w:r>
      <w:r w:rsidRPr="005905DE">
        <w:rPr>
          <w:rFonts w:ascii="Times New Roman" w:hAnsi="Times New Roman" w:cs="Times New Roman"/>
          <w:sz w:val="24"/>
          <w:szCs w:val="24"/>
        </w:rPr>
        <w:t xml:space="preserve"> eesmärke </w:t>
      </w:r>
      <w:r w:rsidR="00593F04">
        <w:rPr>
          <w:rFonts w:ascii="Times New Roman" w:hAnsi="Times New Roman" w:cs="Times New Roman"/>
          <w:sz w:val="24"/>
          <w:szCs w:val="24"/>
        </w:rPr>
        <w:t xml:space="preserve">parimal viisil </w:t>
      </w:r>
      <w:r w:rsidRPr="005905DE">
        <w:rPr>
          <w:rFonts w:ascii="Times New Roman" w:hAnsi="Times New Roman" w:cs="Times New Roman"/>
          <w:sz w:val="24"/>
          <w:szCs w:val="24"/>
        </w:rPr>
        <w:t>ning minimeerides väärkasutuse riski.</w:t>
      </w:r>
    </w:p>
    <w:p w14:paraId="055AF026" w14:textId="77777777" w:rsidR="00135154" w:rsidRPr="005905DE" w:rsidRDefault="00135154" w:rsidP="00135154">
      <w:pPr>
        <w:spacing w:after="0" w:line="240" w:lineRule="auto"/>
        <w:jc w:val="both"/>
        <w:rPr>
          <w:rFonts w:ascii="Times New Roman" w:hAnsi="Times New Roman" w:cs="Times New Roman"/>
          <w:b/>
          <w:bCs/>
          <w:sz w:val="24"/>
          <w:szCs w:val="24"/>
        </w:rPr>
      </w:pPr>
    </w:p>
    <w:p w14:paraId="0CBB85EC" w14:textId="1785E347" w:rsidR="00135154" w:rsidRPr="00D111D9" w:rsidRDefault="00135154" w:rsidP="00135154">
      <w:pPr>
        <w:spacing w:after="0" w:line="240" w:lineRule="auto"/>
        <w:jc w:val="both"/>
        <w:rPr>
          <w:rFonts w:ascii="Times New Roman" w:hAnsi="Times New Roman" w:cs="Times New Roman"/>
          <w:sz w:val="24"/>
          <w:szCs w:val="24"/>
        </w:rPr>
      </w:pPr>
      <w:r w:rsidRPr="00D111D9">
        <w:rPr>
          <w:rFonts w:ascii="Times New Roman" w:hAnsi="Times New Roman" w:cs="Times New Roman"/>
          <w:sz w:val="24"/>
          <w:szCs w:val="24"/>
        </w:rPr>
        <w:t xml:space="preserve">Toetuse andja otsustab toetuse täieliku tagasinõudmise kaalutlusõiguse kohaselt. Kui toetuse saaja on eiranud oma kohustusi või talle kehtestatud nõudeid ja rikkumine tõi kaasa rahalise mõju, kuid toetuse andjal ei ole võimalik rahalise mõju suurust hinnata, vähendatakse toetust protsentuaalselt olenevalt rikkumise raskusest ja mõjust kulu abikõlblikkusele. Toetuse tagasinõudmine või toetussumma vähendamine otsustatakse käesoleva määruse </w:t>
      </w:r>
      <w:r w:rsidRPr="00D111D9">
        <w:rPr>
          <w:rFonts w:ascii="Times New Roman" w:hAnsi="Times New Roman" w:cs="Times New Roman"/>
          <w:bCs/>
          <w:sz w:val="24"/>
          <w:szCs w:val="24"/>
        </w:rPr>
        <w:t>§-s</w:t>
      </w:r>
      <w:r w:rsidR="00B82663">
        <w:rPr>
          <w:rFonts w:ascii="Times New Roman" w:hAnsi="Times New Roman" w:cs="Times New Roman"/>
          <w:bCs/>
          <w:sz w:val="24"/>
          <w:szCs w:val="24"/>
        </w:rPr>
        <w:t xml:space="preserve"> </w:t>
      </w:r>
      <w:r w:rsidR="00593F04">
        <w:rPr>
          <w:rFonts w:ascii="Times New Roman" w:hAnsi="Times New Roman" w:cs="Times New Roman"/>
          <w:bCs/>
          <w:sz w:val="24"/>
          <w:szCs w:val="24"/>
        </w:rPr>
        <w:t>20</w:t>
      </w:r>
      <w:r w:rsidRPr="00D111D9">
        <w:rPr>
          <w:rFonts w:ascii="Times New Roman" w:hAnsi="Times New Roman" w:cs="Times New Roman"/>
          <w:bCs/>
          <w:sz w:val="24"/>
          <w:szCs w:val="24"/>
        </w:rPr>
        <w:t xml:space="preserve"> sätestatud aruandluse käigus.</w:t>
      </w:r>
    </w:p>
    <w:p w14:paraId="110D7758" w14:textId="77777777" w:rsidR="00135154" w:rsidRPr="00D111D9" w:rsidRDefault="00135154" w:rsidP="00135154">
      <w:pPr>
        <w:spacing w:after="0" w:line="240" w:lineRule="auto"/>
        <w:jc w:val="both"/>
        <w:rPr>
          <w:rFonts w:ascii="Times New Roman" w:hAnsi="Times New Roman" w:cs="Times New Roman"/>
          <w:sz w:val="24"/>
          <w:szCs w:val="24"/>
        </w:rPr>
      </w:pPr>
    </w:p>
    <w:p w14:paraId="4CA81ED2" w14:textId="77777777" w:rsidR="00135154" w:rsidRPr="00D111D9" w:rsidRDefault="00135154" w:rsidP="00135154">
      <w:pPr>
        <w:spacing w:after="0" w:line="240" w:lineRule="auto"/>
        <w:jc w:val="both"/>
        <w:rPr>
          <w:rFonts w:ascii="Times New Roman" w:hAnsi="Times New Roman" w:cs="Times New Roman"/>
          <w:sz w:val="24"/>
          <w:szCs w:val="24"/>
        </w:rPr>
      </w:pPr>
      <w:r w:rsidRPr="00D111D9">
        <w:rPr>
          <w:rFonts w:ascii="Times New Roman" w:hAnsi="Times New Roman" w:cs="Times New Roman"/>
          <w:sz w:val="24"/>
          <w:szCs w:val="24"/>
        </w:rPr>
        <w:t>Toetuse tagasinõudmise otsust ei tehta, kui puudus kõrvaldatakse või kohustus või nõue täidetakse poolte vahel kokkulepitud aja jooksul või kui toetuse saaja avastas ja teatas toetuse andjale esimesel võimalusel, et talle on hüvitatud mitteabikõlblik kulu, ning tagastas toetuse.</w:t>
      </w:r>
    </w:p>
    <w:p w14:paraId="68B32C70" w14:textId="77777777" w:rsidR="00135154" w:rsidRPr="00D111D9" w:rsidRDefault="00135154" w:rsidP="00135154">
      <w:pPr>
        <w:spacing w:after="0" w:line="240" w:lineRule="auto"/>
        <w:jc w:val="both"/>
        <w:rPr>
          <w:rFonts w:ascii="Times New Roman" w:hAnsi="Times New Roman" w:cs="Times New Roman"/>
          <w:b/>
          <w:bCs/>
          <w:sz w:val="24"/>
          <w:szCs w:val="24"/>
        </w:rPr>
      </w:pPr>
    </w:p>
    <w:p w14:paraId="3CBCAFD6" w14:textId="18D256CD" w:rsidR="00135154" w:rsidRPr="00D111D9" w:rsidRDefault="00135154" w:rsidP="00135154">
      <w:pPr>
        <w:spacing w:after="0" w:line="240" w:lineRule="auto"/>
        <w:jc w:val="both"/>
        <w:rPr>
          <w:rFonts w:ascii="Times New Roman" w:hAnsi="Times New Roman" w:cs="Times New Roman"/>
          <w:sz w:val="24"/>
          <w:szCs w:val="24"/>
        </w:rPr>
      </w:pPr>
      <w:r w:rsidRPr="00D111D9">
        <w:rPr>
          <w:rFonts w:ascii="Times New Roman" w:hAnsi="Times New Roman" w:cs="Times New Roman"/>
          <w:sz w:val="24"/>
          <w:szCs w:val="24"/>
        </w:rPr>
        <w:t>Tagasimaks</w:t>
      </w:r>
      <w:r>
        <w:rPr>
          <w:rFonts w:ascii="Times New Roman" w:hAnsi="Times New Roman" w:cs="Times New Roman"/>
          <w:sz w:val="24"/>
          <w:szCs w:val="24"/>
        </w:rPr>
        <w:t>tava</w:t>
      </w:r>
      <w:r w:rsidRPr="00D111D9">
        <w:rPr>
          <w:rFonts w:ascii="Times New Roman" w:hAnsi="Times New Roman" w:cs="Times New Roman"/>
          <w:sz w:val="24"/>
          <w:szCs w:val="24"/>
        </w:rPr>
        <w:t xml:space="preserve"> toetuse võib toetuse saaja põhjendatud ajatamistaotluse alusel</w:t>
      </w:r>
      <w:r w:rsidRPr="0046254C">
        <w:rPr>
          <w:rFonts w:ascii="Times New Roman" w:hAnsi="Times New Roman" w:cs="Times New Roman"/>
          <w:sz w:val="24"/>
          <w:szCs w:val="24"/>
        </w:rPr>
        <w:t xml:space="preserve"> ajatada</w:t>
      </w:r>
      <w:r w:rsidRPr="00D111D9">
        <w:rPr>
          <w:rFonts w:ascii="Times New Roman" w:hAnsi="Times New Roman" w:cs="Times New Roman"/>
          <w:sz w:val="24"/>
          <w:szCs w:val="24"/>
        </w:rPr>
        <w:t>. Toetuse tagasimaksmise ajatamiseks esitab toetuse saaja toetuse andjale hiljemalt 15</w:t>
      </w:r>
      <w:r w:rsidR="00353558">
        <w:rPr>
          <w:rFonts w:ascii="Times New Roman" w:hAnsi="Times New Roman" w:cs="Times New Roman"/>
          <w:sz w:val="24"/>
          <w:szCs w:val="24"/>
        </w:rPr>
        <w:t xml:space="preserve"> </w:t>
      </w:r>
      <w:r w:rsidR="00593F04">
        <w:rPr>
          <w:rFonts w:ascii="Times New Roman" w:hAnsi="Times New Roman" w:cs="Times New Roman"/>
          <w:sz w:val="24"/>
          <w:szCs w:val="24"/>
        </w:rPr>
        <w:t>töö</w:t>
      </w:r>
      <w:r w:rsidRPr="00D111D9">
        <w:rPr>
          <w:rFonts w:ascii="Times New Roman" w:hAnsi="Times New Roman" w:cs="Times New Roman"/>
          <w:sz w:val="24"/>
          <w:szCs w:val="24"/>
        </w:rPr>
        <w:t xml:space="preserve">päeva jooksul toetuse tagasinõudmise otsuse kättesaamisest arvates ajatamistaotluse, milles on </w:t>
      </w:r>
      <w:r>
        <w:rPr>
          <w:rFonts w:ascii="Times New Roman" w:hAnsi="Times New Roman" w:cs="Times New Roman"/>
          <w:sz w:val="24"/>
          <w:szCs w:val="24"/>
        </w:rPr>
        <w:t>esitatud</w:t>
      </w:r>
      <w:r w:rsidRPr="00D111D9">
        <w:rPr>
          <w:rFonts w:ascii="Times New Roman" w:hAnsi="Times New Roman" w:cs="Times New Roman"/>
          <w:sz w:val="24"/>
          <w:szCs w:val="24"/>
        </w:rPr>
        <w:t xml:space="preserve"> ajatamise vajaduse põhjendus ja soovitud tagasimaksmise ajatamiskava. Ajatamistaotlusele peab toetuse saaja lisama finantsseisu kajastavad dokumendid (näiteks kontoväljavõtted, laenulepingute koopiad, teenuseosutamise lepingud, muid tulusid ja kulusid kajastavad lepingud).</w:t>
      </w:r>
    </w:p>
    <w:p w14:paraId="2DB274D8" w14:textId="77777777" w:rsidR="00135154" w:rsidRPr="00D111D9" w:rsidRDefault="00135154" w:rsidP="00135154">
      <w:pPr>
        <w:spacing w:after="0" w:line="240" w:lineRule="auto"/>
        <w:jc w:val="both"/>
        <w:rPr>
          <w:rFonts w:ascii="Times New Roman" w:hAnsi="Times New Roman" w:cs="Times New Roman"/>
          <w:sz w:val="24"/>
          <w:szCs w:val="24"/>
        </w:rPr>
      </w:pPr>
    </w:p>
    <w:p w14:paraId="32393C9D" w14:textId="5BE167EE" w:rsidR="00135154" w:rsidRPr="00D111D9" w:rsidRDefault="00135154" w:rsidP="00135154">
      <w:pPr>
        <w:spacing w:after="0" w:line="240" w:lineRule="auto"/>
        <w:jc w:val="both"/>
        <w:rPr>
          <w:rFonts w:ascii="Times New Roman" w:hAnsi="Times New Roman" w:cs="Times New Roman"/>
          <w:sz w:val="24"/>
          <w:szCs w:val="24"/>
        </w:rPr>
      </w:pPr>
      <w:r w:rsidRPr="00D111D9">
        <w:rPr>
          <w:rFonts w:ascii="Times New Roman" w:hAnsi="Times New Roman" w:cs="Times New Roman"/>
          <w:sz w:val="24"/>
          <w:szCs w:val="24"/>
        </w:rPr>
        <w:t>Ajatamistaotluse rahuldamise või rahuldamata jätmise kohta teeb toetuse andja otsuse 20</w:t>
      </w:r>
      <w:r w:rsidR="00353558">
        <w:rPr>
          <w:rFonts w:ascii="Times New Roman" w:hAnsi="Times New Roman" w:cs="Times New Roman"/>
          <w:sz w:val="24"/>
          <w:szCs w:val="24"/>
        </w:rPr>
        <w:t xml:space="preserve"> </w:t>
      </w:r>
      <w:r w:rsidR="00593F04">
        <w:rPr>
          <w:rFonts w:ascii="Times New Roman" w:hAnsi="Times New Roman" w:cs="Times New Roman"/>
          <w:sz w:val="24"/>
          <w:szCs w:val="24"/>
        </w:rPr>
        <w:t>töö</w:t>
      </w:r>
      <w:r w:rsidRPr="00D111D9">
        <w:rPr>
          <w:rFonts w:ascii="Times New Roman" w:hAnsi="Times New Roman" w:cs="Times New Roman"/>
          <w:sz w:val="24"/>
          <w:szCs w:val="24"/>
        </w:rPr>
        <w:t>päeva jooksul ajatamistaotluse saamisest arvates. Põhjendatud juhul võib otsuse tegemise tähtaega pikendada mõistliku aja võrra, teavitades sellest toetuse saajat.</w:t>
      </w:r>
    </w:p>
    <w:p w14:paraId="58D72B13" w14:textId="77777777" w:rsidR="00135154" w:rsidRPr="00D111D9" w:rsidRDefault="00135154" w:rsidP="00135154">
      <w:pPr>
        <w:spacing w:after="0" w:line="240" w:lineRule="auto"/>
        <w:jc w:val="both"/>
        <w:rPr>
          <w:rFonts w:ascii="Times New Roman" w:hAnsi="Times New Roman" w:cs="Times New Roman"/>
          <w:sz w:val="24"/>
          <w:szCs w:val="24"/>
        </w:rPr>
      </w:pPr>
    </w:p>
    <w:p w14:paraId="519C6226" w14:textId="77777777" w:rsidR="00135154" w:rsidRPr="00D111D9" w:rsidRDefault="00135154" w:rsidP="00135154">
      <w:pPr>
        <w:spacing w:after="0" w:line="240" w:lineRule="auto"/>
        <w:jc w:val="both"/>
        <w:rPr>
          <w:rFonts w:ascii="Times New Roman" w:hAnsi="Times New Roman" w:cs="Times New Roman"/>
          <w:sz w:val="24"/>
          <w:szCs w:val="24"/>
        </w:rPr>
      </w:pPr>
      <w:r w:rsidRPr="00D111D9">
        <w:rPr>
          <w:rFonts w:ascii="Times New Roman" w:hAnsi="Times New Roman" w:cs="Times New Roman"/>
          <w:sz w:val="24"/>
          <w:szCs w:val="24"/>
        </w:rPr>
        <w:t>Toetuse tagasimaksmise ajatamise perioodi määrab toetuse andja, arvestades võimaluse korral toetuse saaja esitatud tagasimaksmise ajatamiskava. Kui esitatud tagasimaksmise ajatamiskava ei ole võimalik arvestada (näiteks on soovitud ajatamiskava esitatud ebamõistlikult pikale perioodile), peab toetuse andja ajatamise perioodi määramist põhjendama, kuna tegemist võib olla toetuse saaja kahjuks tehtava otsusega.</w:t>
      </w:r>
    </w:p>
    <w:p w14:paraId="776E3B5F" w14:textId="77777777" w:rsidR="00135154" w:rsidRPr="00D111D9" w:rsidRDefault="00135154" w:rsidP="00135154">
      <w:pPr>
        <w:spacing w:after="0" w:line="240" w:lineRule="auto"/>
        <w:jc w:val="both"/>
        <w:rPr>
          <w:rFonts w:ascii="Times New Roman" w:hAnsi="Times New Roman" w:cs="Times New Roman"/>
          <w:sz w:val="24"/>
          <w:szCs w:val="24"/>
        </w:rPr>
      </w:pPr>
    </w:p>
    <w:p w14:paraId="5AE8971C" w14:textId="77777777" w:rsidR="00135154" w:rsidRPr="00D111D9" w:rsidRDefault="00135154" w:rsidP="00135154">
      <w:pPr>
        <w:spacing w:after="0" w:line="240" w:lineRule="auto"/>
        <w:jc w:val="both"/>
        <w:rPr>
          <w:rFonts w:ascii="Times New Roman" w:hAnsi="Times New Roman" w:cs="Times New Roman"/>
          <w:sz w:val="24"/>
          <w:szCs w:val="24"/>
        </w:rPr>
      </w:pPr>
      <w:r w:rsidRPr="00D111D9">
        <w:rPr>
          <w:rFonts w:ascii="Times New Roman" w:hAnsi="Times New Roman" w:cs="Times New Roman"/>
          <w:sz w:val="24"/>
          <w:szCs w:val="24"/>
        </w:rPr>
        <w:t xml:space="preserve">Ajatamise otsuse võib tunnistada kehtetuks, kui toetuse saaja ei maksa ajatamiskava kohaselt toetust tagasi. </w:t>
      </w:r>
      <w:r>
        <w:rPr>
          <w:rFonts w:ascii="Times New Roman" w:hAnsi="Times New Roman" w:cs="Times New Roman"/>
          <w:sz w:val="24"/>
          <w:szCs w:val="24"/>
        </w:rPr>
        <w:t>Kui a</w:t>
      </w:r>
      <w:r w:rsidRPr="00D111D9">
        <w:rPr>
          <w:rFonts w:ascii="Times New Roman" w:hAnsi="Times New Roman" w:cs="Times New Roman"/>
          <w:sz w:val="24"/>
          <w:szCs w:val="24"/>
        </w:rPr>
        <w:t>jatamise otsus</w:t>
      </w:r>
      <w:r>
        <w:rPr>
          <w:rFonts w:ascii="Times New Roman" w:hAnsi="Times New Roman" w:cs="Times New Roman"/>
          <w:sz w:val="24"/>
          <w:szCs w:val="24"/>
        </w:rPr>
        <w:t xml:space="preserve"> tunnistatakse</w:t>
      </w:r>
      <w:r w:rsidRPr="00D111D9">
        <w:rPr>
          <w:rFonts w:ascii="Times New Roman" w:hAnsi="Times New Roman" w:cs="Times New Roman"/>
          <w:sz w:val="24"/>
          <w:szCs w:val="24"/>
        </w:rPr>
        <w:t xml:space="preserve"> kehtetuks</w:t>
      </w:r>
      <w:r>
        <w:rPr>
          <w:rFonts w:ascii="Times New Roman" w:hAnsi="Times New Roman" w:cs="Times New Roman"/>
          <w:sz w:val="24"/>
          <w:szCs w:val="24"/>
        </w:rPr>
        <w:t>,</w:t>
      </w:r>
      <w:r w:rsidRPr="00D111D9">
        <w:rPr>
          <w:rFonts w:ascii="Times New Roman" w:hAnsi="Times New Roman" w:cs="Times New Roman"/>
          <w:sz w:val="24"/>
          <w:szCs w:val="24"/>
        </w:rPr>
        <w:t xml:space="preserve"> peab toetuse saaja maksma kogu toetuse tagasi 30 kalendripäeva jooksul ajatamise otsuse kehtetuks tunnistamise otsuse jõustumisest arvates.</w:t>
      </w:r>
    </w:p>
    <w:p w14:paraId="27F9E0B8" w14:textId="77777777" w:rsidR="00135154" w:rsidRPr="00D111D9" w:rsidRDefault="00135154" w:rsidP="00135154">
      <w:pPr>
        <w:spacing w:after="0" w:line="240" w:lineRule="auto"/>
        <w:jc w:val="both"/>
        <w:rPr>
          <w:rFonts w:ascii="Times New Roman" w:hAnsi="Times New Roman" w:cs="Times New Roman"/>
          <w:sz w:val="24"/>
          <w:szCs w:val="24"/>
        </w:rPr>
      </w:pPr>
    </w:p>
    <w:p w14:paraId="382EBAA0" w14:textId="77777777" w:rsidR="00135154" w:rsidRDefault="00135154" w:rsidP="001351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w:t>
      </w:r>
      <w:r w:rsidRPr="00D111D9">
        <w:rPr>
          <w:rFonts w:ascii="Times New Roman" w:hAnsi="Times New Roman" w:cs="Times New Roman"/>
          <w:sz w:val="24"/>
          <w:szCs w:val="24"/>
        </w:rPr>
        <w:t>ui tagasimaks</w:t>
      </w:r>
      <w:r>
        <w:rPr>
          <w:rFonts w:ascii="Times New Roman" w:hAnsi="Times New Roman" w:cs="Times New Roman"/>
          <w:sz w:val="24"/>
          <w:szCs w:val="24"/>
        </w:rPr>
        <w:t>tavat</w:t>
      </w:r>
      <w:r w:rsidRPr="00D111D9">
        <w:rPr>
          <w:rFonts w:ascii="Times New Roman" w:hAnsi="Times New Roman" w:cs="Times New Roman"/>
          <w:sz w:val="24"/>
          <w:szCs w:val="24"/>
        </w:rPr>
        <w:t xml:space="preserve"> toetust tähtajaks tagasi ei maksta, nõuab toetuse andja tagasimaks</w:t>
      </w:r>
      <w:r>
        <w:rPr>
          <w:rFonts w:ascii="Times New Roman" w:hAnsi="Times New Roman" w:cs="Times New Roman"/>
          <w:sz w:val="24"/>
          <w:szCs w:val="24"/>
        </w:rPr>
        <w:t>tava</w:t>
      </w:r>
      <w:r w:rsidRPr="00D111D9">
        <w:rPr>
          <w:rFonts w:ascii="Times New Roman" w:hAnsi="Times New Roman" w:cs="Times New Roman"/>
          <w:sz w:val="24"/>
          <w:szCs w:val="24"/>
        </w:rPr>
        <w:t xml:space="preserve"> toetuse tagasi võlaõigusseaduse 52. peatüki (§-d 1027–1042) ehk alusetu rikastumise sätete </w:t>
      </w:r>
      <w:r w:rsidRPr="00D111D9">
        <w:rPr>
          <w:rFonts w:ascii="Times New Roman" w:hAnsi="Times New Roman" w:cs="Times New Roman"/>
          <w:sz w:val="24"/>
          <w:szCs w:val="24"/>
        </w:rPr>
        <w:lastRenderedPageBreak/>
        <w:t xml:space="preserve">kohaselt. Sellisel juhul teavitatakse </w:t>
      </w:r>
      <w:r w:rsidRPr="00403B63">
        <w:rPr>
          <w:rFonts w:ascii="Times New Roman" w:hAnsi="Times New Roman" w:cs="Times New Roman"/>
          <w:sz w:val="24"/>
          <w:szCs w:val="24"/>
        </w:rPr>
        <w:t>toetuse saajat</w:t>
      </w:r>
      <w:r w:rsidRPr="00E051C4">
        <w:rPr>
          <w:rFonts w:ascii="Times New Roman" w:hAnsi="Times New Roman" w:cs="Times New Roman"/>
          <w:sz w:val="24"/>
          <w:szCs w:val="24"/>
        </w:rPr>
        <w:t xml:space="preserve"> toetuse tagasinõudmisel</w:t>
      </w:r>
      <w:r w:rsidRPr="00403B63">
        <w:rPr>
          <w:rFonts w:ascii="Times New Roman" w:hAnsi="Times New Roman" w:cs="Times New Roman"/>
          <w:sz w:val="24"/>
          <w:szCs w:val="24"/>
        </w:rPr>
        <w:t xml:space="preserve"> ettevõetavatest sammudest kirjalikul</w:t>
      </w:r>
      <w:r w:rsidRPr="00D111D9">
        <w:rPr>
          <w:rFonts w:ascii="Times New Roman" w:hAnsi="Times New Roman" w:cs="Times New Roman"/>
          <w:sz w:val="24"/>
          <w:szCs w:val="24"/>
        </w:rPr>
        <w:t>t.</w:t>
      </w:r>
    </w:p>
    <w:p w14:paraId="56CA217C" w14:textId="77777777" w:rsidR="00A95CA9" w:rsidRDefault="00A95CA9" w:rsidP="00A95CA9">
      <w:pPr>
        <w:pStyle w:val="Default"/>
        <w:jc w:val="both"/>
        <w:rPr>
          <w:b/>
          <w:bCs/>
          <w:color w:val="auto"/>
        </w:rPr>
      </w:pPr>
    </w:p>
    <w:p w14:paraId="6216EBA4" w14:textId="570786C5" w:rsidR="00A95CA9" w:rsidRPr="0043713A" w:rsidRDefault="00A95CA9" w:rsidP="00A95CA9">
      <w:pPr>
        <w:pStyle w:val="Default"/>
        <w:jc w:val="both"/>
        <w:rPr>
          <w:b/>
          <w:bCs/>
          <w:color w:val="auto"/>
        </w:rPr>
      </w:pPr>
      <w:r>
        <w:rPr>
          <w:b/>
          <w:bCs/>
          <w:color w:val="auto"/>
        </w:rPr>
        <w:t>6. peatükk. Poolte õigused ja kohustused</w:t>
      </w:r>
    </w:p>
    <w:p w14:paraId="245ADEC7" w14:textId="77777777" w:rsidR="00A95CA9" w:rsidRPr="00800186" w:rsidRDefault="00A95CA9" w:rsidP="00A95CA9">
      <w:pPr>
        <w:pStyle w:val="Default"/>
        <w:jc w:val="both"/>
        <w:rPr>
          <w:color w:val="auto"/>
        </w:rPr>
      </w:pPr>
    </w:p>
    <w:p w14:paraId="4D2136DC" w14:textId="580F8F7E" w:rsidR="00A95CA9" w:rsidRDefault="00A95CA9" w:rsidP="00A95CA9">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Paragrahviga</w:t>
      </w:r>
      <w:r w:rsidRPr="00800186">
        <w:rPr>
          <w:rFonts w:ascii="Times New Roman" w:hAnsi="Times New Roman" w:cs="Times New Roman"/>
          <w:b/>
          <w:bCs/>
          <w:sz w:val="24"/>
          <w:szCs w:val="24"/>
        </w:rPr>
        <w:t xml:space="preserve"> </w:t>
      </w:r>
      <w:r>
        <w:rPr>
          <w:rFonts w:ascii="Times New Roman" w:hAnsi="Times New Roman" w:cs="Times New Roman"/>
          <w:b/>
          <w:sz w:val="24"/>
          <w:szCs w:val="24"/>
        </w:rPr>
        <w:t>22</w:t>
      </w:r>
      <w:r w:rsidRPr="00800186">
        <w:rPr>
          <w:rFonts w:ascii="Times New Roman" w:hAnsi="Times New Roman" w:cs="Times New Roman"/>
          <w:b/>
          <w:sz w:val="24"/>
          <w:szCs w:val="24"/>
        </w:rPr>
        <w:t xml:space="preserve"> </w:t>
      </w:r>
      <w:r w:rsidRPr="00800186">
        <w:rPr>
          <w:rFonts w:ascii="Times New Roman" w:hAnsi="Times New Roman" w:cs="Times New Roman"/>
          <w:sz w:val="24"/>
          <w:szCs w:val="24"/>
        </w:rPr>
        <w:t>sätesta</w:t>
      </w:r>
      <w:r>
        <w:rPr>
          <w:rFonts w:ascii="Times New Roman" w:hAnsi="Times New Roman" w:cs="Times New Roman"/>
          <w:sz w:val="24"/>
          <w:szCs w:val="24"/>
        </w:rPr>
        <w:t>takse</w:t>
      </w:r>
      <w:r w:rsidRPr="00800186">
        <w:rPr>
          <w:rFonts w:ascii="Times New Roman" w:hAnsi="Times New Roman" w:cs="Times New Roman"/>
          <w:sz w:val="24"/>
          <w:szCs w:val="24"/>
        </w:rPr>
        <w:t xml:space="preserve"> toetuse saaja õigused ja kohustused. </w:t>
      </w:r>
      <w:r>
        <w:rPr>
          <w:rFonts w:ascii="Times New Roman" w:hAnsi="Times New Roman" w:cs="Times New Roman"/>
          <w:sz w:val="24"/>
          <w:szCs w:val="24"/>
        </w:rPr>
        <w:t>Selles p</w:t>
      </w:r>
      <w:r w:rsidRPr="00800186">
        <w:rPr>
          <w:rFonts w:ascii="Times New Roman" w:hAnsi="Times New Roman" w:cs="Times New Roman"/>
          <w:sz w:val="24"/>
          <w:szCs w:val="24"/>
        </w:rPr>
        <w:t>aragrahvis sätestatakse toetuse saaja üldised õigused ja kohustused, mis tagavad</w:t>
      </w:r>
      <w:r>
        <w:rPr>
          <w:rFonts w:ascii="Times New Roman" w:hAnsi="Times New Roman" w:cs="Times New Roman"/>
          <w:sz w:val="24"/>
          <w:szCs w:val="24"/>
        </w:rPr>
        <w:t>, et</w:t>
      </w:r>
      <w:r w:rsidRPr="00800186">
        <w:rPr>
          <w:rFonts w:ascii="Times New Roman" w:hAnsi="Times New Roman" w:cs="Times New Roman"/>
          <w:sz w:val="24"/>
          <w:szCs w:val="24"/>
        </w:rPr>
        <w:t xml:space="preserve"> toetuse andmi</w:t>
      </w:r>
      <w:r>
        <w:rPr>
          <w:rFonts w:ascii="Times New Roman" w:hAnsi="Times New Roman" w:cs="Times New Roman"/>
          <w:sz w:val="24"/>
          <w:szCs w:val="24"/>
        </w:rPr>
        <w:t>n</w:t>
      </w:r>
      <w:r w:rsidRPr="00800186">
        <w:rPr>
          <w:rFonts w:ascii="Times New Roman" w:hAnsi="Times New Roman" w:cs="Times New Roman"/>
          <w:sz w:val="24"/>
          <w:szCs w:val="24"/>
        </w:rPr>
        <w:t>e vasta</w:t>
      </w:r>
      <w:r>
        <w:rPr>
          <w:rFonts w:ascii="Times New Roman" w:hAnsi="Times New Roman" w:cs="Times New Roman"/>
          <w:sz w:val="24"/>
          <w:szCs w:val="24"/>
        </w:rPr>
        <w:t>b</w:t>
      </w:r>
      <w:r w:rsidRPr="00800186">
        <w:rPr>
          <w:rFonts w:ascii="Times New Roman" w:hAnsi="Times New Roman" w:cs="Times New Roman"/>
          <w:sz w:val="24"/>
          <w:szCs w:val="24"/>
        </w:rPr>
        <w:t xml:space="preserve"> haldusmenetluse põhimõtetele</w:t>
      </w:r>
      <w:r>
        <w:rPr>
          <w:rFonts w:ascii="Times New Roman" w:hAnsi="Times New Roman" w:cs="Times New Roman"/>
          <w:sz w:val="24"/>
          <w:szCs w:val="24"/>
        </w:rPr>
        <w:t>,</w:t>
      </w:r>
      <w:r w:rsidRPr="00800186">
        <w:rPr>
          <w:rFonts w:ascii="Times New Roman" w:hAnsi="Times New Roman" w:cs="Times New Roman"/>
          <w:sz w:val="24"/>
          <w:szCs w:val="24"/>
        </w:rPr>
        <w:t xml:space="preserve"> </w:t>
      </w:r>
      <w:r>
        <w:rPr>
          <w:rFonts w:ascii="Times New Roman" w:hAnsi="Times New Roman" w:cs="Times New Roman"/>
          <w:sz w:val="24"/>
          <w:szCs w:val="24"/>
        </w:rPr>
        <w:t>ning</w:t>
      </w:r>
      <w:r w:rsidRPr="00800186">
        <w:rPr>
          <w:rFonts w:ascii="Times New Roman" w:hAnsi="Times New Roman" w:cs="Times New Roman"/>
          <w:sz w:val="24"/>
          <w:szCs w:val="24"/>
        </w:rPr>
        <w:t xml:space="preserve"> aitavad täita haldusorgani kohustusi toetuse saajate ees </w:t>
      </w:r>
      <w:r>
        <w:rPr>
          <w:rFonts w:ascii="Times New Roman" w:hAnsi="Times New Roman" w:cs="Times New Roman"/>
          <w:sz w:val="24"/>
          <w:szCs w:val="24"/>
        </w:rPr>
        <w:t>ja</w:t>
      </w:r>
      <w:r w:rsidRPr="00800186">
        <w:rPr>
          <w:rFonts w:ascii="Times New Roman" w:hAnsi="Times New Roman" w:cs="Times New Roman"/>
          <w:sz w:val="24"/>
          <w:szCs w:val="24"/>
        </w:rPr>
        <w:t xml:space="preserve"> tagada toetuse andmise järelevalve.</w:t>
      </w:r>
    </w:p>
    <w:p w14:paraId="0E42631A" w14:textId="77777777" w:rsidR="00A95CA9" w:rsidRPr="00800186" w:rsidRDefault="00A95CA9" w:rsidP="00A95CA9">
      <w:pPr>
        <w:pStyle w:val="Default"/>
        <w:jc w:val="both"/>
        <w:rPr>
          <w:color w:val="auto"/>
        </w:rPr>
      </w:pPr>
    </w:p>
    <w:p w14:paraId="23E0935F" w14:textId="77777777" w:rsidR="00A95CA9" w:rsidRPr="00800186" w:rsidRDefault="00A95CA9" w:rsidP="00A95CA9">
      <w:pPr>
        <w:spacing w:after="0" w:line="240" w:lineRule="auto"/>
        <w:jc w:val="both"/>
        <w:rPr>
          <w:rFonts w:ascii="Times New Roman" w:hAnsi="Times New Roman" w:cs="Times New Roman"/>
          <w:sz w:val="24"/>
          <w:szCs w:val="24"/>
        </w:rPr>
      </w:pPr>
      <w:r w:rsidRPr="00800186">
        <w:rPr>
          <w:rFonts w:ascii="Times New Roman" w:hAnsi="Times New Roman" w:cs="Times New Roman"/>
          <w:sz w:val="24"/>
          <w:szCs w:val="24"/>
          <w:u w:val="single"/>
        </w:rPr>
        <w:t>Lõike 1</w:t>
      </w:r>
      <w:r w:rsidRPr="00800186">
        <w:rPr>
          <w:rFonts w:ascii="Times New Roman" w:hAnsi="Times New Roman" w:cs="Times New Roman"/>
          <w:sz w:val="24"/>
          <w:szCs w:val="24"/>
        </w:rPr>
        <w:t xml:space="preserve"> järgi on toetuse saajal õigus saada toetuse andjalt teavet ja nõuandeid, mis on seotud määruses või taotluse rahuldamise otsuses sätestatud nõuete ja toetuse saaja kohustustega. Samuti on toetuse saajal igal ajal õigus toetusest loobuda või </w:t>
      </w:r>
      <w:r>
        <w:rPr>
          <w:rFonts w:ascii="Times New Roman" w:hAnsi="Times New Roman" w:cs="Times New Roman"/>
          <w:sz w:val="24"/>
          <w:szCs w:val="24"/>
        </w:rPr>
        <w:t>see</w:t>
      </w:r>
      <w:r w:rsidRPr="00800186">
        <w:rPr>
          <w:rFonts w:ascii="Times New Roman" w:hAnsi="Times New Roman" w:cs="Times New Roman"/>
          <w:sz w:val="24"/>
          <w:szCs w:val="24"/>
        </w:rPr>
        <w:t xml:space="preserve"> tagastada.</w:t>
      </w:r>
    </w:p>
    <w:p w14:paraId="79825C74" w14:textId="77777777" w:rsidR="00A95CA9" w:rsidRPr="00800186" w:rsidRDefault="00A95CA9" w:rsidP="00A95CA9">
      <w:pPr>
        <w:spacing w:after="0" w:line="240" w:lineRule="auto"/>
        <w:jc w:val="both"/>
        <w:rPr>
          <w:rFonts w:ascii="Times New Roman" w:hAnsi="Times New Roman" w:cs="Times New Roman"/>
          <w:sz w:val="24"/>
          <w:szCs w:val="24"/>
        </w:rPr>
      </w:pPr>
    </w:p>
    <w:p w14:paraId="6A2D2CA7" w14:textId="143B5F22" w:rsidR="00A95CA9" w:rsidRPr="00A95CA9" w:rsidRDefault="00A95CA9" w:rsidP="00A95CA9">
      <w:pPr>
        <w:spacing w:line="240" w:lineRule="auto"/>
        <w:jc w:val="both"/>
        <w:rPr>
          <w:rFonts w:ascii="Times New Roman" w:hAnsi="Times New Roman" w:cs="Times New Roman"/>
          <w:sz w:val="24"/>
          <w:szCs w:val="24"/>
        </w:rPr>
      </w:pPr>
      <w:r w:rsidRPr="00800186">
        <w:rPr>
          <w:rFonts w:ascii="Times New Roman" w:hAnsi="Times New Roman" w:cs="Times New Roman"/>
          <w:sz w:val="24"/>
          <w:szCs w:val="24"/>
          <w:u w:val="single"/>
        </w:rPr>
        <w:t>Lõikes 2</w:t>
      </w:r>
      <w:r w:rsidRPr="00800186">
        <w:rPr>
          <w:rFonts w:ascii="Times New Roman" w:hAnsi="Times New Roman" w:cs="Times New Roman"/>
          <w:sz w:val="24"/>
          <w:szCs w:val="24"/>
        </w:rPr>
        <w:t xml:space="preserve"> on sätestatud toetuse saaja kohustused. Kohustus</w:t>
      </w:r>
      <w:r>
        <w:rPr>
          <w:rFonts w:ascii="Times New Roman" w:hAnsi="Times New Roman" w:cs="Times New Roman"/>
          <w:sz w:val="24"/>
          <w:szCs w:val="24"/>
        </w:rPr>
        <w:t>i</w:t>
      </w:r>
      <w:r w:rsidRPr="00800186">
        <w:rPr>
          <w:rFonts w:ascii="Times New Roman" w:hAnsi="Times New Roman" w:cs="Times New Roman"/>
          <w:sz w:val="24"/>
          <w:szCs w:val="24"/>
        </w:rPr>
        <w:t xml:space="preserve"> rakend</w:t>
      </w:r>
      <w:r>
        <w:rPr>
          <w:rFonts w:ascii="Times New Roman" w:hAnsi="Times New Roman" w:cs="Times New Roman"/>
          <w:sz w:val="24"/>
          <w:szCs w:val="24"/>
        </w:rPr>
        <w:t>atakse</w:t>
      </w:r>
      <w:r w:rsidRPr="00800186">
        <w:rPr>
          <w:rFonts w:ascii="Times New Roman" w:hAnsi="Times New Roman" w:cs="Times New Roman"/>
          <w:sz w:val="24"/>
          <w:szCs w:val="24"/>
        </w:rPr>
        <w:t xml:space="preserve"> alates taotluse rahuldamise otsusest. Toetuse saaja peab tagama </w:t>
      </w:r>
      <w:r>
        <w:rPr>
          <w:rFonts w:ascii="Times New Roman" w:hAnsi="Times New Roman" w:cs="Times New Roman"/>
          <w:sz w:val="24"/>
          <w:szCs w:val="24"/>
        </w:rPr>
        <w:t>taotluses, määruses, toetuse rahuldamise otsuse käskkirjas ja teistes asjakohastes õigusaktides</w:t>
      </w:r>
      <w:r w:rsidRPr="00800186">
        <w:rPr>
          <w:rFonts w:ascii="Times New Roman" w:hAnsi="Times New Roman" w:cs="Times New Roman"/>
          <w:sz w:val="24"/>
          <w:szCs w:val="24"/>
        </w:rPr>
        <w:t xml:space="preserve"> sätestatud kohustuste täitmise </w:t>
      </w:r>
      <w:r>
        <w:rPr>
          <w:rFonts w:ascii="Times New Roman" w:hAnsi="Times New Roman" w:cs="Times New Roman"/>
          <w:sz w:val="24"/>
          <w:szCs w:val="24"/>
        </w:rPr>
        <w:t>ning</w:t>
      </w:r>
      <w:r w:rsidRPr="00800186">
        <w:rPr>
          <w:rFonts w:ascii="Times New Roman" w:hAnsi="Times New Roman" w:cs="Times New Roman"/>
          <w:sz w:val="24"/>
          <w:szCs w:val="24"/>
        </w:rPr>
        <w:t xml:space="preserve"> tegevuse eduka elluviimise</w:t>
      </w:r>
      <w:r w:rsidR="001832A5">
        <w:rPr>
          <w:rFonts w:ascii="Times New Roman" w:hAnsi="Times New Roman" w:cs="Times New Roman"/>
          <w:sz w:val="24"/>
          <w:szCs w:val="24"/>
        </w:rPr>
        <w:t xml:space="preserve">, sealhulgas </w:t>
      </w:r>
      <w:r w:rsidR="001832A5" w:rsidRPr="001832A5">
        <w:rPr>
          <w:rFonts w:ascii="Times New Roman" w:hAnsi="Times New Roman" w:cs="Times New Roman"/>
          <w:sz w:val="24"/>
          <w:szCs w:val="24"/>
        </w:rPr>
        <w:t>eristama abikõlblikke kulusid raamatupidamises, võimaldama järelevalvet, teavitama viivitamata asjaoludest, mis võivad mõjutada kohustuste täitmist, täitma teavitusnõudeid, tagastama kasutamata või tagasinõutud toetuse ning säilitama dokumentatsiooni seitse aastat. Need nõuded on vajalikud, et tagada toetuse läbipaistev ja korrektne kasutamine, võimaldada tõhusat järelevalvet ning kaitsta avalike vahendite sihipärast ja vastutustundlikku kasutamist.</w:t>
      </w:r>
    </w:p>
    <w:p w14:paraId="654C9E2C" w14:textId="2E7CB8F2" w:rsidR="00946F01" w:rsidRPr="00800186" w:rsidRDefault="00946F01" w:rsidP="00946F01">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Paragrahviga</w:t>
      </w:r>
      <w:r w:rsidRPr="00800186">
        <w:rPr>
          <w:rFonts w:ascii="Times New Roman" w:hAnsi="Times New Roman" w:cs="Times New Roman"/>
          <w:b/>
          <w:bCs/>
          <w:sz w:val="24"/>
          <w:szCs w:val="24"/>
        </w:rPr>
        <w:t xml:space="preserve"> 2</w:t>
      </w:r>
      <w:r>
        <w:rPr>
          <w:rFonts w:ascii="Times New Roman" w:hAnsi="Times New Roman" w:cs="Times New Roman"/>
          <w:b/>
          <w:bCs/>
          <w:sz w:val="24"/>
          <w:szCs w:val="24"/>
        </w:rPr>
        <w:t>3</w:t>
      </w:r>
      <w:r w:rsidRPr="00800186">
        <w:rPr>
          <w:rFonts w:ascii="Times New Roman" w:hAnsi="Times New Roman" w:cs="Times New Roman"/>
          <w:sz w:val="24"/>
          <w:szCs w:val="24"/>
        </w:rPr>
        <w:t xml:space="preserve"> sätestatakse toetuse andja õigused ja kohustused.</w:t>
      </w:r>
    </w:p>
    <w:p w14:paraId="475CE9E2" w14:textId="77777777" w:rsidR="00946F01" w:rsidRPr="00800186" w:rsidRDefault="00946F01" w:rsidP="00946F01">
      <w:pPr>
        <w:pStyle w:val="Default"/>
        <w:jc w:val="both"/>
        <w:rPr>
          <w:b/>
          <w:bCs/>
          <w:color w:val="auto"/>
          <w:lang w:eastAsia="et-EE"/>
        </w:rPr>
      </w:pPr>
    </w:p>
    <w:p w14:paraId="52854C28" w14:textId="77777777" w:rsidR="00946F01" w:rsidRDefault="00946F01" w:rsidP="00946F01">
      <w:pPr>
        <w:pStyle w:val="Default"/>
        <w:jc w:val="both"/>
        <w:rPr>
          <w:lang w:eastAsia="et-EE"/>
        </w:rPr>
      </w:pPr>
      <w:r w:rsidRPr="00800186">
        <w:rPr>
          <w:u w:val="single"/>
          <w:lang w:eastAsia="et-EE"/>
        </w:rPr>
        <w:t>Lõike 1</w:t>
      </w:r>
      <w:r w:rsidRPr="00800186">
        <w:rPr>
          <w:lang w:eastAsia="et-EE"/>
        </w:rPr>
        <w:t xml:space="preserve"> järgi on toetuse andjal õigus kontrollida toetuse kasutamise eesmärgipärasust, saada toetuse saajalt toetuse kasutamise kohta teavet</w:t>
      </w:r>
      <w:r>
        <w:rPr>
          <w:lang w:eastAsia="et-EE"/>
        </w:rPr>
        <w:t>,</w:t>
      </w:r>
      <w:r w:rsidRPr="00800186">
        <w:rPr>
          <w:lang w:eastAsia="et-EE"/>
        </w:rPr>
        <w:t xml:space="preserve"> tutvuda dokumentidega</w:t>
      </w:r>
      <w:r>
        <w:rPr>
          <w:lang w:eastAsia="et-EE"/>
        </w:rPr>
        <w:t>,</w:t>
      </w:r>
      <w:r w:rsidRPr="00800186">
        <w:rPr>
          <w:lang w:eastAsia="et-EE"/>
        </w:rPr>
        <w:t xml:space="preserve"> nõuda toetuse osalist või täielikku tagastamist</w:t>
      </w:r>
      <w:r>
        <w:rPr>
          <w:lang w:eastAsia="et-EE"/>
        </w:rPr>
        <w:t xml:space="preserve"> ning</w:t>
      </w:r>
      <w:r w:rsidRPr="00800186">
        <w:rPr>
          <w:lang w:eastAsia="et-EE"/>
        </w:rPr>
        <w:t xml:space="preserve"> keelduda toetuse maksmisest, kui toetuse saaja rikub määruses sätestatud tingimusi või kaldub määruses sätestatust muul viisil kõrvale.</w:t>
      </w:r>
    </w:p>
    <w:p w14:paraId="5EC77831" w14:textId="77777777" w:rsidR="00946F01" w:rsidRPr="00800186" w:rsidRDefault="00946F01" w:rsidP="00946F01">
      <w:pPr>
        <w:pStyle w:val="Default"/>
        <w:rPr>
          <w:lang w:eastAsia="et-EE"/>
        </w:rPr>
      </w:pPr>
    </w:p>
    <w:p w14:paraId="255ACB97" w14:textId="3B5EC911" w:rsidR="00946F01" w:rsidRPr="00800186" w:rsidRDefault="00946F01" w:rsidP="00946F01">
      <w:pPr>
        <w:pStyle w:val="Default"/>
        <w:jc w:val="both"/>
        <w:rPr>
          <w:lang w:eastAsia="et-EE"/>
        </w:rPr>
      </w:pPr>
      <w:r w:rsidRPr="00800186">
        <w:rPr>
          <w:u w:val="single"/>
          <w:lang w:eastAsia="et-EE"/>
        </w:rPr>
        <w:t>Lõike 2</w:t>
      </w:r>
      <w:r w:rsidRPr="00800186">
        <w:rPr>
          <w:lang w:eastAsia="et-EE"/>
        </w:rPr>
        <w:t xml:space="preserve"> kohaselt </w:t>
      </w:r>
      <w:r w:rsidRPr="00946F01">
        <w:rPr>
          <w:lang w:eastAsia="et-EE"/>
        </w:rPr>
        <w:t xml:space="preserve">juhendab </w:t>
      </w:r>
      <w:r>
        <w:rPr>
          <w:lang w:eastAsia="et-EE"/>
        </w:rPr>
        <w:t>t</w:t>
      </w:r>
      <w:r w:rsidRPr="00946F01">
        <w:rPr>
          <w:lang w:eastAsia="et-EE"/>
        </w:rPr>
        <w:t>oetuse andja taotlejat ja toetuse saajat toetuse andmise ning kasutamise küsimustes</w:t>
      </w:r>
      <w:r>
        <w:rPr>
          <w:lang w:eastAsia="et-EE"/>
        </w:rPr>
        <w:t xml:space="preserve"> </w:t>
      </w:r>
      <w:r w:rsidRPr="00946F01">
        <w:rPr>
          <w:lang w:eastAsia="et-EE"/>
        </w:rPr>
        <w:t xml:space="preserve">ning lahendab toetuse andja otsuse või toimingu peale esitatud vaide. </w:t>
      </w:r>
      <w:r>
        <w:rPr>
          <w:lang w:eastAsia="et-EE"/>
        </w:rPr>
        <w:t xml:space="preserve">Samuti </w:t>
      </w:r>
      <w:r w:rsidRPr="00800186">
        <w:rPr>
          <w:lang w:eastAsia="et-EE"/>
        </w:rPr>
        <w:t xml:space="preserve">peab toetuse andja edastama taotlejale või toetuse saajale määrusega reguleeritud otsused, kontrollima toetatavate tegevuste </w:t>
      </w:r>
      <w:r>
        <w:rPr>
          <w:lang w:eastAsia="et-EE"/>
        </w:rPr>
        <w:t>ellu</w:t>
      </w:r>
      <w:r w:rsidRPr="00800186">
        <w:rPr>
          <w:lang w:eastAsia="et-EE"/>
        </w:rPr>
        <w:t>viimist</w:t>
      </w:r>
      <w:r>
        <w:rPr>
          <w:lang w:eastAsia="et-EE"/>
        </w:rPr>
        <w:t xml:space="preserve"> ning</w:t>
      </w:r>
      <w:r w:rsidRPr="00800186">
        <w:rPr>
          <w:lang w:eastAsia="et-EE"/>
        </w:rPr>
        <w:t xml:space="preserve"> teavitama toetuse saajat määruses ja muudes toetuse kasutamist reguleerivates õigusaktides tehtud muudatustest.</w:t>
      </w:r>
      <w:r w:rsidR="00A95CA9">
        <w:rPr>
          <w:lang w:eastAsia="et-EE"/>
        </w:rPr>
        <w:t xml:space="preserve"> Rahastatud tegevuste elluviimise kontrolli vastavalt määruses ja toetuse andmise tingimustes sätestatud nõuetele</w:t>
      </w:r>
      <w:r w:rsidRPr="00800186">
        <w:rPr>
          <w:lang w:eastAsia="et-EE"/>
        </w:rPr>
        <w:t xml:space="preserve"> </w:t>
      </w:r>
      <w:r w:rsidR="00A95CA9">
        <w:rPr>
          <w:lang w:eastAsia="et-EE"/>
        </w:rPr>
        <w:t>teostab toetuse andja esitatud aruannete, vahetu suhtluse</w:t>
      </w:r>
      <w:r w:rsidR="00C64387">
        <w:rPr>
          <w:lang w:eastAsia="et-EE"/>
        </w:rPr>
        <w:t xml:space="preserve"> kaudu</w:t>
      </w:r>
      <w:r w:rsidR="00A95CA9">
        <w:rPr>
          <w:lang w:eastAsia="et-EE"/>
        </w:rPr>
        <w:t xml:space="preserve"> toetuse saajaga, kohakülastuste ja paikvaatluste põhiselt, mis dokumenteeritakse toetuse andja poolt. </w:t>
      </w:r>
      <w:r>
        <w:rPr>
          <w:lang w:eastAsia="et-EE"/>
        </w:rPr>
        <w:t>T</w:t>
      </w:r>
      <w:r w:rsidRPr="00AD2D5A">
        <w:rPr>
          <w:lang w:eastAsia="et-EE"/>
        </w:rPr>
        <w:t>oetuse andja</w:t>
      </w:r>
      <w:r>
        <w:rPr>
          <w:lang w:eastAsia="et-EE"/>
        </w:rPr>
        <w:t>l</w:t>
      </w:r>
      <w:r w:rsidRPr="00AD2D5A">
        <w:rPr>
          <w:lang w:eastAsia="et-EE"/>
        </w:rPr>
        <w:t xml:space="preserve"> </w:t>
      </w:r>
      <w:r>
        <w:rPr>
          <w:lang w:eastAsia="et-EE"/>
        </w:rPr>
        <w:t xml:space="preserve">tuleb </w:t>
      </w:r>
      <w:r w:rsidRPr="00B6108A">
        <w:rPr>
          <w:lang w:eastAsia="et-EE"/>
        </w:rPr>
        <w:t>taga</w:t>
      </w:r>
      <w:r>
        <w:rPr>
          <w:lang w:eastAsia="et-EE"/>
        </w:rPr>
        <w:t>d</w:t>
      </w:r>
      <w:r w:rsidRPr="00B6108A">
        <w:rPr>
          <w:lang w:eastAsia="et-EE"/>
        </w:rPr>
        <w:t>a</w:t>
      </w:r>
      <w:r>
        <w:rPr>
          <w:lang w:eastAsia="et-EE"/>
        </w:rPr>
        <w:t>, et</w:t>
      </w:r>
      <w:r w:rsidRPr="00B6108A">
        <w:rPr>
          <w:lang w:eastAsia="et-EE"/>
        </w:rPr>
        <w:t xml:space="preserve"> vähese tähtsusega abi andmisel </w:t>
      </w:r>
      <w:r>
        <w:rPr>
          <w:lang w:eastAsia="et-EE"/>
        </w:rPr>
        <w:t xml:space="preserve">kantakse </w:t>
      </w:r>
      <w:r w:rsidRPr="00B6108A">
        <w:rPr>
          <w:lang w:eastAsia="et-EE"/>
        </w:rPr>
        <w:t>andme</w:t>
      </w:r>
      <w:r>
        <w:rPr>
          <w:lang w:eastAsia="et-EE"/>
        </w:rPr>
        <w:t xml:space="preserve">d </w:t>
      </w:r>
      <w:r w:rsidRPr="00B6108A">
        <w:rPr>
          <w:lang w:eastAsia="et-EE"/>
        </w:rPr>
        <w:t xml:space="preserve">riigiabi ja vähese tähtsusega abi registrisse </w:t>
      </w:r>
      <w:r>
        <w:rPr>
          <w:lang w:eastAsia="et-EE"/>
        </w:rPr>
        <w:t>ning</w:t>
      </w:r>
      <w:r w:rsidRPr="00B6108A">
        <w:rPr>
          <w:lang w:eastAsia="et-EE"/>
        </w:rPr>
        <w:t xml:space="preserve"> </w:t>
      </w:r>
      <w:r>
        <w:rPr>
          <w:lang w:eastAsia="et-EE"/>
        </w:rPr>
        <w:t xml:space="preserve">täidetakse </w:t>
      </w:r>
      <w:r w:rsidRPr="00B6108A">
        <w:rPr>
          <w:lang w:eastAsia="et-EE"/>
        </w:rPr>
        <w:t>mu</w:t>
      </w:r>
      <w:r>
        <w:rPr>
          <w:lang w:eastAsia="et-EE"/>
        </w:rPr>
        <w:t>id</w:t>
      </w:r>
      <w:r w:rsidRPr="00B6108A">
        <w:rPr>
          <w:lang w:eastAsia="et-EE"/>
        </w:rPr>
        <w:t xml:space="preserve"> konkurentsiseaduse 6.</w:t>
      </w:r>
      <w:r w:rsidR="005C5313">
        <w:rPr>
          <w:lang w:eastAsia="et-EE"/>
        </w:rPr>
        <w:t xml:space="preserve"> </w:t>
      </w:r>
      <w:r w:rsidRPr="00B6108A">
        <w:rPr>
          <w:lang w:eastAsia="et-EE"/>
        </w:rPr>
        <w:t xml:space="preserve">peatükis </w:t>
      </w:r>
      <w:r>
        <w:rPr>
          <w:lang w:eastAsia="et-EE"/>
        </w:rPr>
        <w:t>nimetatud</w:t>
      </w:r>
      <w:r w:rsidRPr="00B6108A">
        <w:rPr>
          <w:lang w:eastAsia="et-EE"/>
        </w:rPr>
        <w:t xml:space="preserve"> kohustus</w:t>
      </w:r>
      <w:r>
        <w:rPr>
          <w:lang w:eastAsia="et-EE"/>
        </w:rPr>
        <w:t>i</w:t>
      </w:r>
      <w:r w:rsidRPr="00800186">
        <w:rPr>
          <w:lang w:eastAsia="et-EE"/>
        </w:rPr>
        <w:t>.</w:t>
      </w:r>
      <w:r>
        <w:rPr>
          <w:lang w:eastAsia="et-EE"/>
        </w:rPr>
        <w:t xml:space="preserve"> Toetuse andja ülesandeks on </w:t>
      </w:r>
      <w:r w:rsidRPr="00946F01">
        <w:rPr>
          <w:lang w:eastAsia="et-EE"/>
        </w:rPr>
        <w:t>korralda</w:t>
      </w:r>
      <w:r>
        <w:rPr>
          <w:lang w:eastAsia="et-EE"/>
        </w:rPr>
        <w:t>d</w:t>
      </w:r>
      <w:r w:rsidRPr="00946F01">
        <w:rPr>
          <w:lang w:eastAsia="et-EE"/>
        </w:rPr>
        <w:t>a taotluse vastuvõtmi</w:t>
      </w:r>
      <w:r>
        <w:rPr>
          <w:lang w:eastAsia="et-EE"/>
        </w:rPr>
        <w:t>n</w:t>
      </w:r>
      <w:r w:rsidRPr="00946F01">
        <w:rPr>
          <w:lang w:eastAsia="et-EE"/>
        </w:rPr>
        <w:t>e, registreerimi</w:t>
      </w:r>
      <w:r>
        <w:rPr>
          <w:lang w:eastAsia="et-EE"/>
        </w:rPr>
        <w:t>n</w:t>
      </w:r>
      <w:r w:rsidRPr="00946F01">
        <w:rPr>
          <w:lang w:eastAsia="et-EE"/>
        </w:rPr>
        <w:t>e, menetlemi</w:t>
      </w:r>
      <w:r>
        <w:rPr>
          <w:lang w:eastAsia="et-EE"/>
        </w:rPr>
        <w:t>n</w:t>
      </w:r>
      <w:r w:rsidRPr="00946F01">
        <w:rPr>
          <w:lang w:eastAsia="et-EE"/>
        </w:rPr>
        <w:t>e ja säilitami</w:t>
      </w:r>
      <w:r>
        <w:rPr>
          <w:lang w:eastAsia="et-EE"/>
        </w:rPr>
        <w:t>n</w:t>
      </w:r>
      <w:r w:rsidRPr="00946F01">
        <w:rPr>
          <w:lang w:eastAsia="et-EE"/>
        </w:rPr>
        <w:t>e</w:t>
      </w:r>
      <w:r>
        <w:rPr>
          <w:lang w:eastAsia="et-EE"/>
        </w:rPr>
        <w:t xml:space="preserve"> vastavalt andmekaitse, infoturbe ja sisekorra nõuetele taotluste menetlemisel</w:t>
      </w:r>
      <w:r w:rsidRPr="00946F01">
        <w:rPr>
          <w:lang w:eastAsia="et-EE"/>
        </w:rPr>
        <w:t xml:space="preserve">. </w:t>
      </w:r>
      <w:r>
        <w:rPr>
          <w:lang w:eastAsia="et-EE"/>
        </w:rPr>
        <w:t xml:space="preserve">Toetuse andja on kohustatud </w:t>
      </w:r>
      <w:r w:rsidRPr="00946F01">
        <w:rPr>
          <w:lang w:eastAsia="et-EE"/>
        </w:rPr>
        <w:t>säilitama toetuse taotlemise, andmise, kulu abikõlblikkust tõendavad ja muud asjakohased dokumendid kümme aastat alates taotluse rahuldamise otsuse tegemisest.</w:t>
      </w:r>
    </w:p>
    <w:p w14:paraId="0F85224C" w14:textId="77777777" w:rsidR="00B74924" w:rsidRDefault="00B74924"/>
    <w:p w14:paraId="351F9A2D" w14:textId="77777777" w:rsidR="003E49C4" w:rsidRDefault="003E49C4"/>
    <w:p w14:paraId="48589B39" w14:textId="77777777" w:rsidR="003E49C4" w:rsidRDefault="003E49C4"/>
    <w:p w14:paraId="2C918271" w14:textId="77777777" w:rsidR="002832B2" w:rsidRPr="006B2C6A" w:rsidRDefault="002832B2" w:rsidP="002832B2">
      <w:pPr>
        <w:pStyle w:val="Default"/>
        <w:jc w:val="both"/>
        <w:rPr>
          <w:b/>
          <w:bCs/>
          <w:lang w:eastAsia="et-EE"/>
        </w:rPr>
      </w:pPr>
      <w:r w:rsidRPr="006B2C6A">
        <w:rPr>
          <w:b/>
          <w:bCs/>
          <w:lang w:eastAsia="et-EE"/>
        </w:rPr>
        <w:lastRenderedPageBreak/>
        <w:t>7. peatükk. Vaidemenetlus</w:t>
      </w:r>
    </w:p>
    <w:p w14:paraId="6545EAD6" w14:textId="77777777" w:rsidR="002832B2" w:rsidRPr="00B85E58" w:rsidRDefault="002832B2" w:rsidP="002832B2">
      <w:pPr>
        <w:pStyle w:val="Default"/>
        <w:jc w:val="both"/>
        <w:rPr>
          <w:highlight w:val="yellow"/>
          <w:lang w:eastAsia="et-EE"/>
        </w:rPr>
      </w:pPr>
    </w:p>
    <w:p w14:paraId="464F0003" w14:textId="35229ED8" w:rsidR="002832B2" w:rsidRPr="00F43520" w:rsidRDefault="002832B2" w:rsidP="002832B2">
      <w:pPr>
        <w:pStyle w:val="Default"/>
        <w:jc w:val="both"/>
        <w:rPr>
          <w:lang w:eastAsia="et-EE"/>
        </w:rPr>
      </w:pPr>
      <w:r>
        <w:rPr>
          <w:b/>
          <w:bCs/>
          <w:lang w:eastAsia="et-EE"/>
        </w:rPr>
        <w:t>Paragrahviga</w:t>
      </w:r>
      <w:r w:rsidRPr="00FB1625">
        <w:rPr>
          <w:b/>
          <w:bCs/>
          <w:lang w:eastAsia="et-EE"/>
        </w:rPr>
        <w:t xml:space="preserve"> 2</w:t>
      </w:r>
      <w:r>
        <w:rPr>
          <w:b/>
          <w:bCs/>
          <w:lang w:eastAsia="et-EE"/>
        </w:rPr>
        <w:t>4</w:t>
      </w:r>
      <w:r w:rsidRPr="00FB1625">
        <w:rPr>
          <w:lang w:eastAsia="et-EE"/>
        </w:rPr>
        <w:t xml:space="preserve"> reguleeri</w:t>
      </w:r>
      <w:r>
        <w:rPr>
          <w:lang w:eastAsia="et-EE"/>
        </w:rPr>
        <w:t>takse</w:t>
      </w:r>
      <w:r w:rsidRPr="00FB1625">
        <w:rPr>
          <w:lang w:eastAsia="et-EE"/>
        </w:rPr>
        <w:t xml:space="preserve"> vaide esitamist ja menetlemist. Toetuse andja otsuse või toimingu peale võib esitada vaide haldusmenetluse seaduses sätestatud korras. Vaide lahendab toetuse andja.</w:t>
      </w:r>
    </w:p>
    <w:p w14:paraId="5FC05EFC" w14:textId="77777777" w:rsidR="002832B2" w:rsidRPr="00EE4E22" w:rsidRDefault="002832B2" w:rsidP="002832B2">
      <w:pPr>
        <w:spacing w:after="0" w:line="240" w:lineRule="auto"/>
        <w:jc w:val="both"/>
        <w:rPr>
          <w:rFonts w:ascii="Times New Roman" w:hAnsi="Times New Roman" w:cs="Times New Roman"/>
          <w:sz w:val="24"/>
          <w:szCs w:val="24"/>
        </w:rPr>
      </w:pPr>
    </w:p>
    <w:p w14:paraId="7208D8F6" w14:textId="77777777" w:rsidR="002832B2" w:rsidRDefault="002832B2" w:rsidP="002832B2">
      <w:pPr>
        <w:pStyle w:val="Default"/>
        <w:jc w:val="both"/>
        <w:rPr>
          <w:b/>
          <w:bCs/>
          <w:color w:val="auto"/>
          <w:lang w:eastAsia="et-EE"/>
        </w:rPr>
      </w:pPr>
      <w:r>
        <w:rPr>
          <w:b/>
          <w:bCs/>
          <w:color w:val="auto"/>
          <w:lang w:eastAsia="et-EE"/>
        </w:rPr>
        <w:t xml:space="preserve">4. </w:t>
      </w:r>
      <w:r w:rsidRPr="00AD2D5A">
        <w:rPr>
          <w:b/>
          <w:bCs/>
          <w:color w:val="auto"/>
          <w:lang w:eastAsia="et-EE"/>
        </w:rPr>
        <w:t>Eelnõu vastavus Euroopa Liidu õigusele</w:t>
      </w:r>
    </w:p>
    <w:p w14:paraId="58785964" w14:textId="77777777" w:rsidR="002832B2" w:rsidRDefault="002832B2" w:rsidP="002832B2">
      <w:pPr>
        <w:pStyle w:val="Default"/>
        <w:jc w:val="both"/>
        <w:rPr>
          <w:b/>
          <w:bCs/>
          <w:color w:val="auto"/>
          <w:lang w:eastAsia="et-EE"/>
        </w:rPr>
      </w:pPr>
    </w:p>
    <w:p w14:paraId="1C0A2D45" w14:textId="77777777" w:rsidR="002832B2" w:rsidRPr="00D53EA7" w:rsidRDefault="002832B2" w:rsidP="002832B2">
      <w:pPr>
        <w:pStyle w:val="Default"/>
        <w:jc w:val="both"/>
        <w:rPr>
          <w:color w:val="auto"/>
          <w:lang w:eastAsia="et-EE"/>
        </w:rPr>
      </w:pPr>
      <w:r w:rsidRPr="00AD2D5A">
        <w:rPr>
          <w:color w:val="auto"/>
          <w:lang w:eastAsia="et-EE"/>
        </w:rPr>
        <w:t>Eelnõuga ei võeta üle ega rakendata Euroopa Liidu õigust. Eelnõu on kooskõlas VTA määrusega</w:t>
      </w:r>
      <w:r>
        <w:rPr>
          <w:color w:val="auto"/>
          <w:lang w:eastAsia="et-EE"/>
        </w:rPr>
        <w:t>.</w:t>
      </w:r>
    </w:p>
    <w:p w14:paraId="48E3711E" w14:textId="77777777" w:rsidR="002832B2" w:rsidRDefault="002832B2" w:rsidP="002832B2">
      <w:pPr>
        <w:pStyle w:val="Default"/>
        <w:jc w:val="both"/>
        <w:rPr>
          <w:b/>
          <w:bCs/>
          <w:color w:val="auto"/>
          <w:lang w:eastAsia="et-EE"/>
        </w:rPr>
      </w:pPr>
    </w:p>
    <w:p w14:paraId="58776822" w14:textId="77777777" w:rsidR="002832B2" w:rsidRDefault="002832B2" w:rsidP="002832B2">
      <w:pPr>
        <w:pStyle w:val="Default"/>
        <w:jc w:val="both"/>
        <w:rPr>
          <w:b/>
          <w:bCs/>
          <w:color w:val="auto"/>
        </w:rPr>
      </w:pPr>
      <w:r>
        <w:rPr>
          <w:b/>
          <w:bCs/>
          <w:color w:val="auto"/>
        </w:rPr>
        <w:t xml:space="preserve">5. </w:t>
      </w:r>
      <w:r w:rsidRPr="00AD2D5A">
        <w:rPr>
          <w:b/>
          <w:bCs/>
          <w:color w:val="auto"/>
        </w:rPr>
        <w:t>Määruse mõjud</w:t>
      </w:r>
    </w:p>
    <w:p w14:paraId="77E2D131" w14:textId="77777777" w:rsidR="002832B2" w:rsidRPr="00AD2D5A" w:rsidRDefault="002832B2" w:rsidP="002832B2">
      <w:pPr>
        <w:pStyle w:val="Default"/>
        <w:jc w:val="both"/>
        <w:rPr>
          <w:b/>
          <w:bCs/>
          <w:color w:val="auto"/>
          <w:lang w:eastAsia="et-EE"/>
        </w:rPr>
      </w:pPr>
    </w:p>
    <w:p w14:paraId="538033C5" w14:textId="77777777" w:rsidR="002832B2" w:rsidRPr="006B2C6A" w:rsidRDefault="002832B2" w:rsidP="002832B2">
      <w:pPr>
        <w:tabs>
          <w:tab w:val="left" w:pos="541"/>
          <w:tab w:val="left" w:pos="2799"/>
        </w:tabs>
        <w:jc w:val="both"/>
        <w:rPr>
          <w:rFonts w:ascii="Times New Roman" w:hAnsi="Times New Roman" w:cs="Times New Roman"/>
          <w:b/>
          <w:bCs/>
          <w:sz w:val="24"/>
          <w:szCs w:val="24"/>
        </w:rPr>
      </w:pPr>
      <w:r>
        <w:rPr>
          <w:rFonts w:ascii="Times New Roman" w:hAnsi="Times New Roman" w:cs="Times New Roman"/>
          <w:b/>
          <w:bCs/>
          <w:sz w:val="24"/>
          <w:szCs w:val="24"/>
        </w:rPr>
        <w:t xml:space="preserve">5.1. </w:t>
      </w:r>
      <w:r w:rsidRPr="006B2C6A">
        <w:rPr>
          <w:rFonts w:ascii="Times New Roman" w:hAnsi="Times New Roman" w:cs="Times New Roman"/>
          <w:b/>
          <w:bCs/>
          <w:sz w:val="24"/>
          <w:szCs w:val="24"/>
        </w:rPr>
        <w:t>Sotsiaalne mõju</w:t>
      </w:r>
    </w:p>
    <w:p w14:paraId="784EE6DA" w14:textId="28153F32" w:rsidR="002832B2" w:rsidRPr="008A072E" w:rsidRDefault="002832B2" w:rsidP="002832B2">
      <w:pPr>
        <w:tabs>
          <w:tab w:val="left" w:pos="541"/>
          <w:tab w:val="left" w:pos="2799"/>
        </w:tabs>
        <w:jc w:val="both"/>
        <w:rPr>
          <w:rFonts w:ascii="Times New Roman" w:hAnsi="Times New Roman" w:cs="Times New Roman"/>
          <w:sz w:val="24"/>
          <w:szCs w:val="24"/>
        </w:rPr>
      </w:pPr>
      <w:r w:rsidRPr="008A072E">
        <w:rPr>
          <w:rFonts w:ascii="Times New Roman" w:hAnsi="Times New Roman" w:cs="Times New Roman"/>
          <w:sz w:val="24"/>
          <w:szCs w:val="24"/>
          <w:u w:val="single"/>
        </w:rPr>
        <w:t>Sihtrühm</w:t>
      </w:r>
      <w:r w:rsidRPr="008A072E">
        <w:rPr>
          <w:rFonts w:ascii="Times New Roman" w:hAnsi="Times New Roman" w:cs="Times New Roman"/>
          <w:sz w:val="24"/>
          <w:szCs w:val="24"/>
        </w:rPr>
        <w:t xml:space="preserve">: </w:t>
      </w:r>
      <w:r w:rsidR="00336830" w:rsidRPr="008A072E">
        <w:rPr>
          <w:rFonts w:ascii="Times New Roman" w:hAnsi="Times New Roman" w:cs="Times New Roman"/>
          <w:sz w:val="24"/>
          <w:szCs w:val="24"/>
        </w:rPr>
        <w:t xml:space="preserve">kogukonnafondi toetuse sihtrühmad on kohalikud mittetulundusühingud, sihtasutused ja kogukonnaalgatused, mis tegutsevad avalikes huvides ega ole riigi või kohaliku omavalitsuse, erakondade, äriühingute või ameti- ja kutseliitude valitseva mõju all. </w:t>
      </w:r>
      <w:r w:rsidR="008A072E">
        <w:rPr>
          <w:rFonts w:ascii="Times New Roman" w:hAnsi="Times New Roman" w:cs="Times New Roman"/>
          <w:sz w:val="24"/>
          <w:szCs w:val="24"/>
        </w:rPr>
        <w:t>Varasemalt on suursündmuste taotlusvoorust toetust saanud keskmiselt 5-6 taotlejat taotlusvooru kohta.</w:t>
      </w:r>
    </w:p>
    <w:p w14:paraId="52E984BF" w14:textId="444A88E2" w:rsidR="00655F2E" w:rsidRPr="00655F2E" w:rsidRDefault="002832B2" w:rsidP="00655F2E">
      <w:pPr>
        <w:shd w:val="clear" w:color="auto" w:fill="FFFFFF"/>
        <w:spacing w:before="100" w:beforeAutospacing="1" w:after="75" w:line="276" w:lineRule="auto"/>
        <w:jc w:val="both"/>
        <w:rPr>
          <w:rFonts w:ascii="Times New Roman" w:hAnsi="Times New Roman" w:cs="Times New Roman"/>
          <w:sz w:val="24"/>
          <w:szCs w:val="24"/>
        </w:rPr>
      </w:pPr>
      <w:r w:rsidRPr="008A072E">
        <w:rPr>
          <w:rFonts w:ascii="Times" w:hAnsi="Times" w:cs="Times"/>
          <w:sz w:val="24"/>
          <w:szCs w:val="24"/>
          <w:u w:val="single"/>
        </w:rPr>
        <w:t>Mõju ulatus</w:t>
      </w:r>
      <w:r w:rsidRPr="008A072E">
        <w:rPr>
          <w:rFonts w:ascii="Times" w:hAnsi="Times" w:cs="Times"/>
          <w:sz w:val="24"/>
          <w:szCs w:val="24"/>
        </w:rPr>
        <w:t xml:space="preserve">: </w:t>
      </w:r>
      <w:r w:rsidR="00655F2E" w:rsidRPr="00655F2E">
        <w:rPr>
          <w:rFonts w:ascii="Times New Roman" w:hAnsi="Times New Roman" w:cs="Times New Roman"/>
          <w:sz w:val="24"/>
          <w:szCs w:val="24"/>
        </w:rPr>
        <w:t xml:space="preserve">suursündmuste toetuse abil korraldatud projektid aitavad kaasa Eesti rahvusvahelise tuntuse kasvule, tugevdavad kohalikku identiteeti ning pakuvad elanikele osalemise ja eneseteostuse võimalusi. Toetused aitavad luua </w:t>
      </w:r>
      <w:r w:rsidR="00655F2E">
        <w:rPr>
          <w:rFonts w:ascii="Times New Roman" w:hAnsi="Times New Roman" w:cs="Times New Roman"/>
          <w:sz w:val="24"/>
          <w:szCs w:val="24"/>
        </w:rPr>
        <w:t xml:space="preserve">või läbi viia </w:t>
      </w:r>
      <w:r w:rsidR="00655F2E" w:rsidRPr="00655F2E">
        <w:rPr>
          <w:rFonts w:ascii="Times New Roman" w:hAnsi="Times New Roman" w:cs="Times New Roman"/>
          <w:sz w:val="24"/>
          <w:szCs w:val="24"/>
        </w:rPr>
        <w:t xml:space="preserve">kõrgetasemelisi </w:t>
      </w:r>
      <w:r w:rsidR="00655F2E">
        <w:rPr>
          <w:rFonts w:ascii="Times New Roman" w:hAnsi="Times New Roman" w:cs="Times New Roman"/>
          <w:sz w:val="24"/>
          <w:szCs w:val="24"/>
        </w:rPr>
        <w:t>kodanikuühiskonna sündmusi</w:t>
      </w:r>
      <w:r w:rsidR="00655F2E" w:rsidRPr="00655F2E">
        <w:rPr>
          <w:rFonts w:ascii="Times New Roman" w:hAnsi="Times New Roman" w:cs="Times New Roman"/>
          <w:sz w:val="24"/>
          <w:szCs w:val="24"/>
        </w:rPr>
        <w:t xml:space="preserve">, mis suurendavad elanike heaolu, toovad külastajaid erinevatest piirkondadest ja riikidest ning edendavad </w:t>
      </w:r>
      <w:r w:rsidR="00655F2E">
        <w:rPr>
          <w:rFonts w:ascii="Times New Roman" w:hAnsi="Times New Roman" w:cs="Times New Roman"/>
          <w:sz w:val="24"/>
          <w:szCs w:val="24"/>
        </w:rPr>
        <w:t xml:space="preserve">ka </w:t>
      </w:r>
      <w:r w:rsidR="00655F2E" w:rsidRPr="00655F2E">
        <w:rPr>
          <w:rFonts w:ascii="Times New Roman" w:hAnsi="Times New Roman" w:cs="Times New Roman"/>
          <w:sz w:val="24"/>
          <w:szCs w:val="24"/>
        </w:rPr>
        <w:t>Eesti majandust.</w:t>
      </w:r>
    </w:p>
    <w:p w14:paraId="63967098" w14:textId="77777777" w:rsidR="00655F2E" w:rsidRPr="00655F2E" w:rsidRDefault="00655F2E" w:rsidP="00655F2E">
      <w:pPr>
        <w:shd w:val="clear" w:color="auto" w:fill="FFFFFF"/>
        <w:spacing w:before="100" w:beforeAutospacing="1" w:after="75" w:line="276" w:lineRule="auto"/>
        <w:jc w:val="both"/>
        <w:rPr>
          <w:rFonts w:ascii="Times New Roman" w:hAnsi="Times New Roman" w:cs="Times New Roman"/>
          <w:sz w:val="24"/>
          <w:szCs w:val="24"/>
        </w:rPr>
      </w:pPr>
      <w:r w:rsidRPr="00655F2E">
        <w:rPr>
          <w:rFonts w:ascii="Times New Roman" w:hAnsi="Times New Roman" w:cs="Times New Roman"/>
          <w:sz w:val="24"/>
          <w:szCs w:val="24"/>
        </w:rPr>
        <w:t xml:space="preserve">Sotsiaalse mõjuna soodustavad suursündmused kogukondade koostööd, vabatahtlikkuse kasvu ja erinevate osapoolte </w:t>
      </w:r>
      <w:proofErr w:type="spellStart"/>
      <w:r w:rsidRPr="00655F2E">
        <w:rPr>
          <w:rFonts w:ascii="Times New Roman" w:hAnsi="Times New Roman" w:cs="Times New Roman"/>
          <w:sz w:val="24"/>
          <w:szCs w:val="24"/>
        </w:rPr>
        <w:t>kokkutoomist</w:t>
      </w:r>
      <w:proofErr w:type="spellEnd"/>
      <w:r w:rsidRPr="00655F2E">
        <w:rPr>
          <w:rFonts w:ascii="Times New Roman" w:hAnsi="Times New Roman" w:cs="Times New Roman"/>
          <w:sz w:val="24"/>
          <w:szCs w:val="24"/>
        </w:rPr>
        <w:t>. Sündmused loovad tugeva ühisosa, mis kasvatab elanike turvatunnet, sidusust ja usaldust nii üksteise kui ka avalike institutsioonide vastu. Elanikkonnakaitse kontekstis võib suurte sündmuste korraldamine tõsta korraldajate ja kogukondade valmisolekut kriisiolukordadeks, kuna see eeldab riskide hindamist, turvalisuse planeerimist ja tõhusat koostööd ametkondadega.</w:t>
      </w:r>
    </w:p>
    <w:p w14:paraId="1120B7E1" w14:textId="0FE5060F" w:rsidR="002832B2" w:rsidRDefault="00336830" w:rsidP="00655F2E">
      <w:pPr>
        <w:shd w:val="clear" w:color="auto" w:fill="FFFFFF"/>
        <w:spacing w:before="100" w:beforeAutospacing="1" w:after="75" w:line="276" w:lineRule="auto"/>
        <w:jc w:val="both"/>
        <w:rPr>
          <w:rFonts w:ascii="Times" w:hAnsi="Times" w:cs="Times"/>
          <w:sz w:val="24"/>
          <w:szCs w:val="24"/>
        </w:rPr>
      </w:pPr>
      <w:r w:rsidRPr="008A072E">
        <w:rPr>
          <w:rFonts w:ascii="Times" w:hAnsi="Times" w:cs="Times"/>
          <w:sz w:val="24"/>
          <w:szCs w:val="24"/>
        </w:rPr>
        <w:t xml:space="preserve">Ebasoovitava mõju risk on </w:t>
      </w:r>
      <w:r w:rsidRPr="008A072E">
        <w:rPr>
          <w:rFonts w:ascii="Times" w:hAnsi="Times" w:cs="Times"/>
          <w:b/>
          <w:bCs/>
          <w:sz w:val="24"/>
          <w:szCs w:val="24"/>
        </w:rPr>
        <w:t>väike</w:t>
      </w:r>
      <w:r w:rsidRPr="008A072E">
        <w:rPr>
          <w:rFonts w:ascii="Times" w:hAnsi="Times" w:cs="Times"/>
          <w:sz w:val="24"/>
          <w:szCs w:val="24"/>
        </w:rPr>
        <w:t>, kuna toetuste kasutamine on läbipaistev ja reguleeritud ning järelevalve kaudu ennetatakse võimalikke väärkasutusi või huvide konflikte. Võimalik risk võib seonduda ressursside ebaefektiivse kasutamisega, kuid seda maandatakse nõuetekohaste hindamiskriteeriumide ja aruandluse kaudu.</w:t>
      </w:r>
    </w:p>
    <w:p w14:paraId="532715D9" w14:textId="7B28A822" w:rsidR="00336830" w:rsidRDefault="002832B2" w:rsidP="00704E0E">
      <w:pPr>
        <w:shd w:val="clear" w:color="auto" w:fill="FFFFFF"/>
        <w:spacing w:before="100" w:beforeAutospacing="1" w:after="75" w:line="276" w:lineRule="auto"/>
        <w:jc w:val="both"/>
        <w:rPr>
          <w:rFonts w:ascii="Times" w:hAnsi="Times" w:cs="Times"/>
          <w:sz w:val="24"/>
          <w:szCs w:val="24"/>
        </w:rPr>
      </w:pPr>
      <w:r w:rsidRPr="00024441">
        <w:rPr>
          <w:rFonts w:ascii="Times" w:hAnsi="Times" w:cs="Times"/>
          <w:b/>
          <w:bCs/>
          <w:sz w:val="24"/>
          <w:szCs w:val="24"/>
        </w:rPr>
        <w:t>Järeldus mõju olulisuse kohta</w:t>
      </w:r>
      <w:r w:rsidRPr="00024441">
        <w:rPr>
          <w:rFonts w:ascii="Times" w:hAnsi="Times" w:cs="Times"/>
          <w:sz w:val="24"/>
          <w:szCs w:val="24"/>
        </w:rPr>
        <w:t xml:space="preserve">: mõju sihtrühmale on </w:t>
      </w:r>
      <w:r w:rsidRPr="006B3955">
        <w:rPr>
          <w:rFonts w:ascii="Times" w:hAnsi="Times" w:cs="Times"/>
          <w:b/>
          <w:bCs/>
          <w:sz w:val="24"/>
          <w:szCs w:val="24"/>
        </w:rPr>
        <w:t>oluline</w:t>
      </w:r>
      <w:r w:rsidR="005C5313">
        <w:rPr>
          <w:rFonts w:ascii="Times" w:hAnsi="Times" w:cs="Times"/>
          <w:sz w:val="24"/>
          <w:szCs w:val="24"/>
        </w:rPr>
        <w:t xml:space="preserve"> ja</w:t>
      </w:r>
      <w:r w:rsidRPr="00024441">
        <w:rPr>
          <w:rFonts w:ascii="Times" w:hAnsi="Times" w:cs="Times"/>
          <w:sz w:val="24"/>
          <w:szCs w:val="24"/>
        </w:rPr>
        <w:t xml:space="preserve"> positiivne</w:t>
      </w:r>
      <w:r>
        <w:rPr>
          <w:rFonts w:ascii="Times" w:hAnsi="Times" w:cs="Times"/>
          <w:sz w:val="24"/>
          <w:szCs w:val="24"/>
        </w:rPr>
        <w:t>.</w:t>
      </w:r>
    </w:p>
    <w:p w14:paraId="64B134B9" w14:textId="77777777" w:rsidR="002832B2" w:rsidRPr="003B68E5" w:rsidRDefault="002832B2" w:rsidP="00336830">
      <w:pPr>
        <w:tabs>
          <w:tab w:val="left" w:pos="541"/>
          <w:tab w:val="left" w:pos="2799"/>
        </w:tabs>
        <w:spacing w:before="240"/>
        <w:jc w:val="both"/>
        <w:rPr>
          <w:rFonts w:ascii="Times New Roman" w:hAnsi="Times New Roman" w:cs="Times New Roman"/>
          <w:b/>
          <w:bCs/>
          <w:sz w:val="28"/>
          <w:szCs w:val="28"/>
        </w:rPr>
      </w:pPr>
      <w:r>
        <w:rPr>
          <w:rFonts w:ascii="Times New Roman" w:hAnsi="Times New Roman" w:cs="Times New Roman"/>
          <w:b/>
          <w:sz w:val="24"/>
          <w:szCs w:val="24"/>
        </w:rPr>
        <w:t xml:space="preserve">5.2. </w:t>
      </w:r>
      <w:r w:rsidRPr="003B68E5">
        <w:rPr>
          <w:rFonts w:ascii="Times New Roman" w:hAnsi="Times New Roman" w:cs="Times New Roman"/>
          <w:b/>
          <w:sz w:val="24"/>
          <w:szCs w:val="24"/>
        </w:rPr>
        <w:t>Mõju riigiasutuste ja kohaliku omavalitsuse korraldusele</w:t>
      </w:r>
    </w:p>
    <w:p w14:paraId="7D408954" w14:textId="5BB64739" w:rsidR="002832B2" w:rsidRPr="00E0046F" w:rsidRDefault="002832B2" w:rsidP="002832B2">
      <w:pPr>
        <w:spacing w:after="0" w:line="276" w:lineRule="auto"/>
        <w:jc w:val="both"/>
        <w:rPr>
          <w:rFonts w:ascii="Times New Roman" w:hAnsi="Times New Roman" w:cs="Times New Roman"/>
          <w:sz w:val="24"/>
          <w:szCs w:val="24"/>
        </w:rPr>
      </w:pPr>
      <w:r w:rsidRPr="00E0046F">
        <w:rPr>
          <w:rFonts w:ascii="Times New Roman" w:hAnsi="Times New Roman" w:cs="Times New Roman"/>
          <w:sz w:val="24"/>
          <w:szCs w:val="24"/>
          <w:u w:val="single"/>
        </w:rPr>
        <w:t>Sihtrühm</w:t>
      </w:r>
      <w:r w:rsidRPr="00E0046F">
        <w:rPr>
          <w:rFonts w:ascii="Times New Roman" w:hAnsi="Times New Roman" w:cs="Times New Roman"/>
          <w:sz w:val="24"/>
          <w:szCs w:val="24"/>
        </w:rPr>
        <w:t xml:space="preserve">: </w:t>
      </w:r>
      <w:r>
        <w:rPr>
          <w:rFonts w:ascii="Times New Roman" w:hAnsi="Times New Roman" w:cs="Times New Roman"/>
          <w:sz w:val="24"/>
          <w:szCs w:val="24"/>
        </w:rPr>
        <w:t>Sihtasutuse Kodanikuühiskonna Sihtkapital</w:t>
      </w:r>
      <w:r w:rsidRPr="00E0046F">
        <w:rPr>
          <w:rFonts w:ascii="Times New Roman" w:hAnsi="Times New Roman" w:cs="Times New Roman"/>
          <w:sz w:val="24"/>
          <w:szCs w:val="24"/>
        </w:rPr>
        <w:t xml:space="preserve"> t</w:t>
      </w:r>
      <w:r>
        <w:rPr>
          <w:rFonts w:ascii="Times New Roman" w:hAnsi="Times New Roman" w:cs="Times New Roman"/>
          <w:sz w:val="24"/>
          <w:szCs w:val="24"/>
        </w:rPr>
        <w:t>öötajad</w:t>
      </w:r>
      <w:r w:rsidRPr="00E0046F">
        <w:rPr>
          <w:rFonts w:ascii="Times New Roman" w:hAnsi="Times New Roman" w:cs="Times New Roman"/>
          <w:sz w:val="24"/>
          <w:szCs w:val="24"/>
        </w:rPr>
        <w:t>, ke</w:t>
      </w:r>
      <w:r>
        <w:rPr>
          <w:rFonts w:ascii="Times New Roman" w:hAnsi="Times New Roman" w:cs="Times New Roman"/>
          <w:sz w:val="24"/>
          <w:szCs w:val="24"/>
        </w:rPr>
        <w:t>s taotlusi</w:t>
      </w:r>
      <w:r w:rsidRPr="00E0046F">
        <w:rPr>
          <w:rFonts w:ascii="Times New Roman" w:hAnsi="Times New Roman" w:cs="Times New Roman"/>
          <w:sz w:val="24"/>
          <w:szCs w:val="24"/>
        </w:rPr>
        <w:t xml:space="preserve"> menetle</w:t>
      </w:r>
      <w:r>
        <w:rPr>
          <w:rFonts w:ascii="Times New Roman" w:hAnsi="Times New Roman" w:cs="Times New Roman"/>
          <w:sz w:val="24"/>
          <w:szCs w:val="24"/>
        </w:rPr>
        <w:t>vad</w:t>
      </w:r>
      <w:r w:rsidR="00DE623E">
        <w:rPr>
          <w:rFonts w:ascii="Times New Roman" w:hAnsi="Times New Roman" w:cs="Times New Roman"/>
          <w:sz w:val="24"/>
          <w:szCs w:val="24"/>
        </w:rPr>
        <w:t xml:space="preserve"> ja </w:t>
      </w:r>
      <w:r>
        <w:rPr>
          <w:rFonts w:ascii="Times New Roman" w:hAnsi="Times New Roman" w:cs="Times New Roman"/>
          <w:sz w:val="24"/>
          <w:szCs w:val="24"/>
        </w:rPr>
        <w:t>toetuse andja hindamiskogu liikmed</w:t>
      </w:r>
      <w:r w:rsidR="00DE623E">
        <w:rPr>
          <w:rFonts w:ascii="Times New Roman" w:hAnsi="Times New Roman" w:cs="Times New Roman"/>
          <w:sz w:val="24"/>
          <w:szCs w:val="24"/>
        </w:rPr>
        <w:t>.</w:t>
      </w:r>
    </w:p>
    <w:p w14:paraId="2FE147DD" w14:textId="7AD73A8F" w:rsidR="002832B2" w:rsidRDefault="002832B2" w:rsidP="002832B2">
      <w:pPr>
        <w:spacing w:after="0" w:line="276" w:lineRule="auto"/>
        <w:jc w:val="both"/>
        <w:rPr>
          <w:rFonts w:ascii="Times New Roman" w:hAnsi="Times New Roman" w:cs="Times New Roman"/>
          <w:sz w:val="24"/>
          <w:szCs w:val="24"/>
        </w:rPr>
      </w:pPr>
      <w:proofErr w:type="spellStart"/>
      <w:r w:rsidRPr="006B3955">
        <w:rPr>
          <w:rFonts w:ascii="Times New Roman" w:hAnsi="Times New Roman" w:cs="Times New Roman"/>
          <w:sz w:val="24"/>
          <w:szCs w:val="24"/>
        </w:rPr>
        <w:t>KÜSKis</w:t>
      </w:r>
      <w:proofErr w:type="spellEnd"/>
      <w:r w:rsidRPr="006B3955">
        <w:rPr>
          <w:rFonts w:ascii="Times New Roman" w:hAnsi="Times New Roman" w:cs="Times New Roman"/>
          <w:sz w:val="24"/>
          <w:szCs w:val="24"/>
        </w:rPr>
        <w:t xml:space="preserve"> töötab 15 inimest. Toetuse taotluste menetlemise</w:t>
      </w:r>
      <w:r>
        <w:rPr>
          <w:rFonts w:ascii="Times New Roman" w:hAnsi="Times New Roman" w:cs="Times New Roman"/>
          <w:sz w:val="24"/>
          <w:szCs w:val="24"/>
        </w:rPr>
        <w:t xml:space="preserve">, sealhulgas hindamisega, puutub </w:t>
      </w:r>
      <w:r w:rsidRPr="006B3955">
        <w:rPr>
          <w:rFonts w:ascii="Times New Roman" w:hAnsi="Times New Roman" w:cs="Times New Roman"/>
          <w:sz w:val="24"/>
          <w:szCs w:val="24"/>
        </w:rPr>
        <w:t xml:space="preserve">kokku </w:t>
      </w:r>
      <w:r>
        <w:rPr>
          <w:rFonts w:ascii="Times New Roman" w:hAnsi="Times New Roman" w:cs="Times New Roman"/>
          <w:sz w:val="24"/>
          <w:szCs w:val="24"/>
        </w:rPr>
        <w:t>kõige rohkem</w:t>
      </w:r>
      <w:r w:rsidRPr="006B3955">
        <w:rPr>
          <w:rFonts w:ascii="Times New Roman" w:hAnsi="Times New Roman" w:cs="Times New Roman"/>
          <w:sz w:val="24"/>
          <w:szCs w:val="24"/>
        </w:rPr>
        <w:t xml:space="preserve"> </w:t>
      </w:r>
      <w:r w:rsidR="00872D56">
        <w:rPr>
          <w:rFonts w:ascii="Times New Roman" w:hAnsi="Times New Roman" w:cs="Times New Roman"/>
          <w:sz w:val="24"/>
          <w:szCs w:val="24"/>
        </w:rPr>
        <w:t>viis</w:t>
      </w:r>
      <w:r w:rsidRPr="006B3955">
        <w:rPr>
          <w:rFonts w:ascii="Times New Roman" w:hAnsi="Times New Roman" w:cs="Times New Roman"/>
          <w:sz w:val="24"/>
          <w:szCs w:val="24"/>
        </w:rPr>
        <w:t xml:space="preserve"> inimest. Seega on sihtrühm </w:t>
      </w:r>
      <w:r>
        <w:rPr>
          <w:rFonts w:ascii="Times New Roman" w:hAnsi="Times New Roman" w:cs="Times New Roman"/>
          <w:sz w:val="24"/>
          <w:szCs w:val="24"/>
        </w:rPr>
        <w:t>väga</w:t>
      </w:r>
      <w:r w:rsidRPr="006B3955">
        <w:rPr>
          <w:rFonts w:ascii="Times New Roman" w:hAnsi="Times New Roman" w:cs="Times New Roman"/>
          <w:b/>
          <w:bCs/>
          <w:sz w:val="24"/>
          <w:szCs w:val="24"/>
        </w:rPr>
        <w:t xml:space="preserve"> väike</w:t>
      </w:r>
      <w:r w:rsidRPr="006B3955">
        <w:rPr>
          <w:rFonts w:ascii="Times New Roman" w:hAnsi="Times New Roman" w:cs="Times New Roman"/>
          <w:sz w:val="24"/>
          <w:szCs w:val="24"/>
        </w:rPr>
        <w:t>.</w:t>
      </w:r>
    </w:p>
    <w:p w14:paraId="708EB5EF" w14:textId="77777777" w:rsidR="002832B2" w:rsidRPr="00800186" w:rsidRDefault="002832B2" w:rsidP="002832B2">
      <w:pPr>
        <w:spacing w:after="0" w:line="276" w:lineRule="auto"/>
        <w:jc w:val="both"/>
        <w:outlineLvl w:val="2"/>
        <w:rPr>
          <w:rFonts w:ascii="Times New Roman" w:hAnsi="Times New Roman" w:cs="Times New Roman"/>
          <w:sz w:val="24"/>
          <w:szCs w:val="24"/>
          <w:highlight w:val="yellow"/>
          <w:lang w:eastAsia="et-EE"/>
        </w:rPr>
      </w:pPr>
    </w:p>
    <w:p w14:paraId="2DE68B0F" w14:textId="2EC60BCD" w:rsidR="002832B2" w:rsidRDefault="002832B2" w:rsidP="002832B2">
      <w:pPr>
        <w:pStyle w:val="Default"/>
        <w:spacing w:line="276" w:lineRule="auto"/>
        <w:jc w:val="both"/>
        <w:rPr>
          <w:lang w:eastAsia="et-EE"/>
        </w:rPr>
      </w:pPr>
      <w:r w:rsidRPr="006B3955">
        <w:rPr>
          <w:u w:val="single"/>
          <w:lang w:eastAsia="et-EE"/>
        </w:rPr>
        <w:lastRenderedPageBreak/>
        <w:t>Mõju ulatus</w:t>
      </w:r>
      <w:r>
        <w:rPr>
          <w:lang w:eastAsia="et-EE"/>
        </w:rPr>
        <w:t>:</w:t>
      </w:r>
      <w:r w:rsidRPr="006B3955">
        <w:rPr>
          <w:b/>
          <w:bCs/>
          <w:lang w:eastAsia="et-EE"/>
        </w:rPr>
        <w:t xml:space="preserve"> </w:t>
      </w:r>
      <w:r>
        <w:rPr>
          <w:lang w:eastAsia="et-EE"/>
        </w:rPr>
        <w:t>määruse</w:t>
      </w:r>
      <w:r w:rsidRPr="006B3955">
        <w:rPr>
          <w:lang w:eastAsia="et-EE"/>
        </w:rPr>
        <w:t xml:space="preserve"> rakendamisega kaasneb mõningane töökoormus, kuid kuna taotlusvoorude läbiviimine </w:t>
      </w:r>
      <w:r w:rsidR="00872D56" w:rsidRPr="006B3955">
        <w:rPr>
          <w:lang w:eastAsia="et-EE"/>
        </w:rPr>
        <w:t>ei ole toetuse andja</w:t>
      </w:r>
      <w:r w:rsidR="00872D56">
        <w:rPr>
          <w:lang w:eastAsia="et-EE"/>
        </w:rPr>
        <w:t>le</w:t>
      </w:r>
      <w:r w:rsidR="00872D56" w:rsidRPr="006B3955">
        <w:rPr>
          <w:lang w:eastAsia="et-EE"/>
        </w:rPr>
        <w:t xml:space="preserve"> </w:t>
      </w:r>
      <w:r w:rsidRPr="006B3955">
        <w:rPr>
          <w:lang w:eastAsia="et-EE"/>
        </w:rPr>
        <w:t xml:space="preserve">uus tegevus, ei teki vajadust lisatöökohtade järele. Mõju avaldumise sagedus </w:t>
      </w:r>
      <w:r>
        <w:rPr>
          <w:lang w:eastAsia="et-EE"/>
        </w:rPr>
        <w:t>ja</w:t>
      </w:r>
      <w:r w:rsidRPr="006B3955">
        <w:rPr>
          <w:lang w:eastAsia="et-EE"/>
        </w:rPr>
        <w:t xml:space="preserve"> ebasoovitava mõju esinemise risk on väike, sest </w:t>
      </w:r>
      <w:proofErr w:type="spellStart"/>
      <w:r w:rsidRPr="006B3955">
        <w:rPr>
          <w:lang w:eastAsia="et-EE"/>
        </w:rPr>
        <w:t>KÜSKi</w:t>
      </w:r>
      <w:proofErr w:type="spellEnd"/>
      <w:r w:rsidRPr="006B3955">
        <w:rPr>
          <w:lang w:eastAsia="et-EE"/>
        </w:rPr>
        <w:t xml:space="preserve"> ülesandeid eelnõuga ei muudeta. Seega ei kaasne vajadust muudatustega kohaneda.</w:t>
      </w:r>
    </w:p>
    <w:p w14:paraId="00719465" w14:textId="77777777" w:rsidR="002832B2" w:rsidRPr="006B3955" w:rsidRDefault="002832B2" w:rsidP="002832B2">
      <w:pPr>
        <w:pStyle w:val="Default"/>
        <w:jc w:val="both"/>
        <w:rPr>
          <w:lang w:eastAsia="et-EE"/>
        </w:rPr>
      </w:pPr>
    </w:p>
    <w:p w14:paraId="68DCC600" w14:textId="4EB8C5A1" w:rsidR="002832B2" w:rsidRDefault="002832B2" w:rsidP="00704E0E">
      <w:pPr>
        <w:pStyle w:val="Default"/>
        <w:jc w:val="both"/>
        <w:rPr>
          <w:lang w:eastAsia="et-EE"/>
        </w:rPr>
      </w:pPr>
      <w:r w:rsidRPr="006B3955">
        <w:rPr>
          <w:b/>
          <w:bCs/>
          <w:lang w:eastAsia="et-EE"/>
        </w:rPr>
        <w:t>Järeldus mõju olulisuse kohta</w:t>
      </w:r>
      <w:r w:rsidRPr="006B3955">
        <w:rPr>
          <w:lang w:eastAsia="et-EE"/>
        </w:rPr>
        <w:t xml:space="preserve">: mõju sihtrühmale </w:t>
      </w:r>
      <w:r>
        <w:rPr>
          <w:b/>
          <w:bCs/>
          <w:lang w:eastAsia="et-EE"/>
        </w:rPr>
        <w:t xml:space="preserve">ei ole </w:t>
      </w:r>
      <w:r w:rsidRPr="006B3955">
        <w:rPr>
          <w:b/>
          <w:bCs/>
          <w:lang w:eastAsia="et-EE"/>
        </w:rPr>
        <w:t>oluline</w:t>
      </w:r>
      <w:r w:rsidRPr="006B3955">
        <w:rPr>
          <w:lang w:eastAsia="et-EE"/>
        </w:rPr>
        <w:t>.</w:t>
      </w:r>
    </w:p>
    <w:p w14:paraId="4B710BF9" w14:textId="77777777" w:rsidR="005C2D64" w:rsidRPr="00104837" w:rsidRDefault="005C2D64" w:rsidP="00704E0E">
      <w:pPr>
        <w:pStyle w:val="Default"/>
        <w:jc w:val="both"/>
        <w:rPr>
          <w:lang w:eastAsia="et-EE"/>
        </w:rPr>
      </w:pPr>
    </w:p>
    <w:p w14:paraId="78A4E608" w14:textId="77777777" w:rsidR="002832B2" w:rsidRPr="003B68E5" w:rsidRDefault="002832B2" w:rsidP="002832B2">
      <w:pPr>
        <w:tabs>
          <w:tab w:val="left" w:pos="541"/>
          <w:tab w:val="left" w:pos="2799"/>
        </w:tabs>
        <w:jc w:val="both"/>
        <w:rPr>
          <w:rFonts w:ascii="Times New Roman" w:hAnsi="Times New Roman" w:cs="Times New Roman"/>
          <w:b/>
          <w:bCs/>
          <w:sz w:val="24"/>
          <w:szCs w:val="24"/>
        </w:rPr>
      </w:pPr>
      <w:r>
        <w:rPr>
          <w:rFonts w:ascii="Times New Roman" w:hAnsi="Times New Roman" w:cs="Times New Roman"/>
          <w:b/>
          <w:bCs/>
          <w:sz w:val="24"/>
          <w:szCs w:val="24"/>
        </w:rPr>
        <w:t xml:space="preserve">6. </w:t>
      </w:r>
      <w:r w:rsidRPr="003B68E5">
        <w:rPr>
          <w:rFonts w:ascii="Times New Roman" w:hAnsi="Times New Roman" w:cs="Times New Roman"/>
          <w:b/>
          <w:bCs/>
          <w:sz w:val="24"/>
          <w:szCs w:val="24"/>
        </w:rPr>
        <w:t>Määruse rakendamisega seotud tegevused, vajalikud kulud ja määruse rakendamise eeldatavad tulud</w:t>
      </w:r>
    </w:p>
    <w:p w14:paraId="6919C0A8" w14:textId="77777777" w:rsidR="002832B2" w:rsidRDefault="002832B2" w:rsidP="002832B2">
      <w:pPr>
        <w:tabs>
          <w:tab w:val="left" w:pos="541"/>
          <w:tab w:val="left" w:pos="2799"/>
        </w:tabs>
        <w:jc w:val="both"/>
        <w:rPr>
          <w:rFonts w:ascii="Times New Roman" w:hAnsi="Times New Roman" w:cs="Times New Roman"/>
          <w:sz w:val="24"/>
          <w:szCs w:val="24"/>
        </w:rPr>
      </w:pPr>
      <w:r>
        <w:rPr>
          <w:rFonts w:ascii="Times New Roman" w:hAnsi="Times New Roman" w:cs="Times New Roman"/>
          <w:sz w:val="24"/>
          <w:szCs w:val="24"/>
        </w:rPr>
        <w:t>Sihtasutus Kodanikuühiskonna Sihtkapital teeb kõik tegevused seoses toetuse andmisega ehk korraldab taotlusvooru, menetleb toetuse taotlusi, nõustab taotlejaid ja toetuse saajaid ning tagab toetuse andmise ja kasutamise kontrolli kooskõlas määrusega.</w:t>
      </w:r>
    </w:p>
    <w:p w14:paraId="1C00E1B2" w14:textId="77777777" w:rsidR="002832B2" w:rsidRPr="0063349E" w:rsidRDefault="002832B2" w:rsidP="002832B2">
      <w:pPr>
        <w:tabs>
          <w:tab w:val="left" w:pos="541"/>
          <w:tab w:val="left" w:pos="2799"/>
        </w:tabs>
        <w:jc w:val="both"/>
        <w:rPr>
          <w:rFonts w:ascii="Times New Roman" w:hAnsi="Times New Roman" w:cs="Times New Roman"/>
          <w:sz w:val="24"/>
          <w:szCs w:val="24"/>
        </w:rPr>
      </w:pPr>
      <w:r w:rsidRPr="0063349E">
        <w:rPr>
          <w:rFonts w:ascii="Times New Roman" w:hAnsi="Times New Roman" w:cs="Times New Roman"/>
          <w:sz w:val="24"/>
          <w:szCs w:val="24"/>
        </w:rPr>
        <w:t>Toetus jaotatakse riigieelarve strateegiaga kodanikuühiskonna arendamiseks eraldatud eelarve alusel avatud taotlusvooru raames.</w:t>
      </w:r>
    </w:p>
    <w:p w14:paraId="68DF3C62" w14:textId="77777777" w:rsidR="002832B2" w:rsidRPr="00C47063" w:rsidRDefault="002832B2" w:rsidP="002832B2">
      <w:pPr>
        <w:tabs>
          <w:tab w:val="left" w:pos="541"/>
          <w:tab w:val="left" w:pos="2799"/>
        </w:tabs>
        <w:jc w:val="both"/>
        <w:rPr>
          <w:rFonts w:ascii="Times New Roman" w:hAnsi="Times New Roman" w:cs="Times New Roman"/>
          <w:sz w:val="24"/>
          <w:szCs w:val="24"/>
        </w:rPr>
      </w:pPr>
      <w:r w:rsidRPr="0063349E">
        <w:rPr>
          <w:rFonts w:ascii="Times New Roman" w:hAnsi="Times New Roman" w:cs="Times New Roman"/>
          <w:sz w:val="24"/>
          <w:szCs w:val="24"/>
        </w:rPr>
        <w:t>Eelnõul puudub vahetu mõju riigieelarve tuludele ja kuludele võrreldes toetuse senise rakendamisega.</w:t>
      </w:r>
    </w:p>
    <w:p w14:paraId="571C69D2" w14:textId="77777777" w:rsidR="002832B2" w:rsidRPr="003B68E5" w:rsidRDefault="002832B2" w:rsidP="002832B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7. </w:t>
      </w:r>
      <w:r w:rsidRPr="003B68E5">
        <w:rPr>
          <w:rFonts w:ascii="Times New Roman" w:hAnsi="Times New Roman" w:cs="Times New Roman"/>
          <w:b/>
          <w:bCs/>
          <w:sz w:val="24"/>
          <w:szCs w:val="24"/>
        </w:rPr>
        <w:t>Määruse jõustumine</w:t>
      </w:r>
    </w:p>
    <w:p w14:paraId="78147E8B" w14:textId="77777777" w:rsidR="002832B2" w:rsidRPr="00AD2D5A" w:rsidRDefault="002832B2" w:rsidP="002832B2">
      <w:pPr>
        <w:spacing w:after="0" w:line="240" w:lineRule="auto"/>
        <w:jc w:val="both"/>
        <w:rPr>
          <w:rFonts w:ascii="Times New Roman" w:hAnsi="Times New Roman" w:cs="Times New Roman"/>
          <w:b/>
          <w:bCs/>
          <w:sz w:val="24"/>
          <w:szCs w:val="24"/>
        </w:rPr>
      </w:pPr>
    </w:p>
    <w:p w14:paraId="37AAB499" w14:textId="2ADF243B" w:rsidR="002832B2" w:rsidRPr="002832B2" w:rsidRDefault="002832B2" w:rsidP="002832B2">
      <w:pPr>
        <w:pStyle w:val="Default"/>
        <w:spacing w:after="240"/>
        <w:jc w:val="both"/>
        <w:rPr>
          <w:color w:val="auto"/>
        </w:rPr>
      </w:pPr>
      <w:r w:rsidRPr="00AD2D5A">
        <w:rPr>
          <w:color w:val="auto"/>
        </w:rPr>
        <w:t xml:space="preserve">Määrus jõustub </w:t>
      </w:r>
      <w:r w:rsidRPr="00AD2D5A">
        <w:rPr>
          <w:b/>
          <w:bCs/>
          <w:color w:val="auto"/>
        </w:rPr>
        <w:t>üldises korras</w:t>
      </w:r>
      <w:r>
        <w:rPr>
          <w:color w:val="auto"/>
        </w:rPr>
        <w:t xml:space="preserve">, </w:t>
      </w:r>
      <w:r w:rsidRPr="00836EAF">
        <w:rPr>
          <w:color w:val="auto"/>
        </w:rPr>
        <w:t>s.o kolmandal päeval pärast Riigi Teatajas avaldamist</w:t>
      </w:r>
      <w:r>
        <w:rPr>
          <w:color w:val="auto"/>
        </w:rPr>
        <w:t>.</w:t>
      </w:r>
      <w:r w:rsidRPr="00AD2D5A">
        <w:rPr>
          <w:color w:val="auto"/>
        </w:rPr>
        <w:t xml:space="preserve"> Kuna määruse rakendamisega ei kaasne lisategevusi, </w:t>
      </w:r>
      <w:r>
        <w:rPr>
          <w:color w:val="auto"/>
        </w:rPr>
        <w:t>ei ole vaja</w:t>
      </w:r>
      <w:r w:rsidRPr="00AD2D5A">
        <w:rPr>
          <w:color w:val="auto"/>
        </w:rPr>
        <w:t xml:space="preserve"> planeerida </w:t>
      </w:r>
      <w:r>
        <w:rPr>
          <w:color w:val="auto"/>
        </w:rPr>
        <w:t>määruse</w:t>
      </w:r>
      <w:r w:rsidRPr="00AD2D5A">
        <w:rPr>
          <w:color w:val="auto"/>
        </w:rPr>
        <w:t>ga kohanemiseks lisaaega.</w:t>
      </w:r>
    </w:p>
    <w:p w14:paraId="2E5E3B31" w14:textId="77777777" w:rsidR="002832B2" w:rsidRPr="003B68E5" w:rsidRDefault="002832B2" w:rsidP="002832B2">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8. </w:t>
      </w:r>
      <w:r w:rsidRPr="003B68E5">
        <w:rPr>
          <w:rFonts w:ascii="Times New Roman" w:eastAsia="Calibri" w:hAnsi="Times New Roman" w:cs="Times New Roman"/>
          <w:b/>
          <w:bCs/>
          <w:sz w:val="24"/>
          <w:szCs w:val="24"/>
        </w:rPr>
        <w:t>Eelnõu kooskõlastamine, huvirühmade kaasamine ja avalik konsultatsioon</w:t>
      </w:r>
    </w:p>
    <w:p w14:paraId="70118B0F" w14:textId="77777777" w:rsidR="002832B2" w:rsidRPr="00AD2D5A" w:rsidRDefault="002832B2" w:rsidP="002832B2">
      <w:pPr>
        <w:spacing w:after="0" w:line="240" w:lineRule="auto"/>
        <w:jc w:val="both"/>
        <w:rPr>
          <w:rFonts w:ascii="Times New Roman" w:eastAsia="Calibri" w:hAnsi="Times New Roman" w:cs="Times New Roman"/>
          <w:b/>
          <w:sz w:val="24"/>
          <w:szCs w:val="24"/>
        </w:rPr>
      </w:pPr>
    </w:p>
    <w:p w14:paraId="6C10AA7E" w14:textId="20DC55C2" w:rsidR="002832B2" w:rsidRPr="0058038A" w:rsidRDefault="002832B2" w:rsidP="002832B2">
      <w:pPr>
        <w:spacing w:after="0" w:line="240" w:lineRule="auto"/>
        <w:jc w:val="both"/>
        <w:rPr>
          <w:rFonts w:ascii="Times New Roman" w:eastAsia="Calibri" w:hAnsi="Times New Roman" w:cs="Times New Roman"/>
          <w:sz w:val="24"/>
          <w:szCs w:val="24"/>
        </w:rPr>
      </w:pPr>
      <w:r w:rsidRPr="00AD2D5A">
        <w:rPr>
          <w:rFonts w:ascii="Times New Roman" w:eastAsia="Calibri" w:hAnsi="Times New Roman" w:cs="Times New Roman"/>
          <w:sz w:val="24"/>
          <w:szCs w:val="24"/>
        </w:rPr>
        <w:t xml:space="preserve">Eelnõu </w:t>
      </w:r>
      <w:r>
        <w:rPr>
          <w:rFonts w:ascii="Times New Roman" w:eastAsia="Calibri" w:hAnsi="Times New Roman" w:cs="Times New Roman"/>
          <w:sz w:val="24"/>
          <w:szCs w:val="24"/>
        </w:rPr>
        <w:t>esitatakse</w:t>
      </w:r>
      <w:r w:rsidRPr="00AD2D5A">
        <w:rPr>
          <w:rFonts w:ascii="Times New Roman" w:eastAsia="Calibri" w:hAnsi="Times New Roman" w:cs="Times New Roman"/>
          <w:sz w:val="24"/>
          <w:szCs w:val="24"/>
        </w:rPr>
        <w:t xml:space="preserve"> </w:t>
      </w:r>
      <w:r>
        <w:rPr>
          <w:rFonts w:ascii="Times New Roman" w:eastAsia="Calibri" w:hAnsi="Times New Roman" w:cs="Times New Roman"/>
          <w:sz w:val="24"/>
          <w:szCs w:val="24"/>
        </w:rPr>
        <w:t>eelnõude infosüsteemi</w:t>
      </w:r>
      <w:r w:rsidRPr="00AD2D5A">
        <w:rPr>
          <w:rFonts w:ascii="Times New Roman" w:eastAsia="Calibri" w:hAnsi="Times New Roman" w:cs="Times New Roman"/>
          <w:sz w:val="24"/>
          <w:szCs w:val="24"/>
        </w:rPr>
        <w:t xml:space="preserve"> kaudu kooskõlastamiseks Rahandusministeeriumile</w:t>
      </w:r>
      <w:r>
        <w:rPr>
          <w:rFonts w:ascii="Times New Roman" w:eastAsia="Calibri" w:hAnsi="Times New Roman" w:cs="Times New Roman"/>
          <w:sz w:val="24"/>
          <w:szCs w:val="24"/>
        </w:rPr>
        <w:t>.</w:t>
      </w:r>
    </w:p>
    <w:p w14:paraId="4820C77B" w14:textId="77777777" w:rsidR="002832B2" w:rsidRDefault="002832B2"/>
    <w:sectPr w:rsidR="002832B2">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1ECCA9" w14:textId="77777777" w:rsidR="00E9607B" w:rsidRDefault="00E9607B" w:rsidP="00E9607B">
      <w:pPr>
        <w:spacing w:after="0" w:line="240" w:lineRule="auto"/>
      </w:pPr>
      <w:r>
        <w:separator/>
      </w:r>
    </w:p>
  </w:endnote>
  <w:endnote w:type="continuationSeparator" w:id="0">
    <w:p w14:paraId="6AA1AA36" w14:textId="77777777" w:rsidR="00E9607B" w:rsidRDefault="00E9607B" w:rsidP="00E96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imes">
    <w:panose1 w:val="02020603050405020304"/>
    <w:charset w:val="BA"/>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4519629"/>
      <w:docPartObj>
        <w:docPartGallery w:val="Page Numbers (Bottom of Page)"/>
        <w:docPartUnique/>
      </w:docPartObj>
    </w:sdtPr>
    <w:sdtEndPr>
      <w:rPr>
        <w:rFonts w:ascii="Times New Roman" w:hAnsi="Times New Roman" w:cs="Times New Roman"/>
      </w:rPr>
    </w:sdtEndPr>
    <w:sdtContent>
      <w:p w14:paraId="147AFB49" w14:textId="09D7A3E0" w:rsidR="009E7396" w:rsidRPr="009E7396" w:rsidRDefault="009E7396">
        <w:pPr>
          <w:pStyle w:val="Footer"/>
          <w:jc w:val="center"/>
          <w:rPr>
            <w:rFonts w:ascii="Times New Roman" w:hAnsi="Times New Roman" w:cs="Times New Roman"/>
          </w:rPr>
        </w:pPr>
        <w:r w:rsidRPr="009E7396">
          <w:rPr>
            <w:rFonts w:ascii="Times New Roman" w:hAnsi="Times New Roman" w:cs="Times New Roman"/>
          </w:rPr>
          <w:fldChar w:fldCharType="begin"/>
        </w:r>
        <w:r w:rsidRPr="009E7396">
          <w:rPr>
            <w:rFonts w:ascii="Times New Roman" w:hAnsi="Times New Roman" w:cs="Times New Roman"/>
          </w:rPr>
          <w:instrText>PAGE   \* MERGEFORMAT</w:instrText>
        </w:r>
        <w:r w:rsidRPr="009E7396">
          <w:rPr>
            <w:rFonts w:ascii="Times New Roman" w:hAnsi="Times New Roman" w:cs="Times New Roman"/>
          </w:rPr>
          <w:fldChar w:fldCharType="separate"/>
        </w:r>
        <w:r w:rsidRPr="009E7396">
          <w:rPr>
            <w:rFonts w:ascii="Times New Roman" w:hAnsi="Times New Roman" w:cs="Times New Roman"/>
          </w:rPr>
          <w:t>2</w:t>
        </w:r>
        <w:r w:rsidRPr="009E7396">
          <w:rPr>
            <w:rFonts w:ascii="Times New Roman" w:hAnsi="Times New Roman" w:cs="Times New Roman"/>
          </w:rPr>
          <w:fldChar w:fldCharType="end"/>
        </w:r>
      </w:p>
    </w:sdtContent>
  </w:sdt>
  <w:p w14:paraId="185573F4" w14:textId="77777777" w:rsidR="009E7396" w:rsidRDefault="009E73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4F19AB" w14:textId="77777777" w:rsidR="00E9607B" w:rsidRDefault="00E9607B" w:rsidP="00E9607B">
      <w:pPr>
        <w:spacing w:after="0" w:line="240" w:lineRule="auto"/>
      </w:pPr>
      <w:r>
        <w:separator/>
      </w:r>
    </w:p>
  </w:footnote>
  <w:footnote w:type="continuationSeparator" w:id="0">
    <w:p w14:paraId="24ADAE4C" w14:textId="77777777" w:rsidR="00E9607B" w:rsidRDefault="00E9607B" w:rsidP="00E9607B">
      <w:pPr>
        <w:spacing w:after="0" w:line="240" w:lineRule="auto"/>
      </w:pPr>
      <w:r>
        <w:continuationSeparator/>
      </w:r>
    </w:p>
  </w:footnote>
  <w:footnote w:id="1">
    <w:p w14:paraId="3F78A8E0" w14:textId="77777777" w:rsidR="00E9607B" w:rsidRPr="00A75D84" w:rsidRDefault="00E9607B" w:rsidP="00E9607B">
      <w:pPr>
        <w:pStyle w:val="FootnoteText"/>
        <w:jc w:val="both"/>
        <w:rPr>
          <w:rFonts w:ascii="Times New Roman" w:hAnsi="Times New Roman"/>
        </w:rPr>
      </w:pPr>
      <w:r w:rsidRPr="00A75D84">
        <w:rPr>
          <w:rStyle w:val="FootnoteReference"/>
          <w:rFonts w:ascii="Times New Roman" w:eastAsiaTheme="majorEastAsia" w:hAnsi="Times New Roman"/>
        </w:rPr>
        <w:footnoteRef/>
      </w:r>
      <w:r w:rsidRPr="00A75D84">
        <w:rPr>
          <w:rFonts w:ascii="Times New Roman" w:hAnsi="Times New Roman"/>
        </w:rPr>
        <w:t xml:space="preserve"> Vähese tähtsusega abi. Rahandusministeerium. </w:t>
      </w:r>
      <w:hyperlink r:id="rId1" w:history="1">
        <w:r w:rsidRPr="00A75D84">
          <w:rPr>
            <w:rStyle w:val="Hyperlink"/>
            <w:rFonts w:ascii="Times New Roman" w:hAnsi="Times New Roman"/>
          </w:rPr>
          <w:t>https://www.fin.ee/riigihanked-riigiabi-osalused/riigiabi/vahese-tahtsusega-abi</w:t>
        </w:r>
      </w:hyperlink>
      <w:r w:rsidRPr="00A75D84">
        <w:rPr>
          <w:rFonts w:ascii="Times New Roman" w:hAnsi="Times New Roman"/>
        </w:rPr>
        <w:t>.</w:t>
      </w:r>
    </w:p>
  </w:footnote>
  <w:footnote w:id="2">
    <w:p w14:paraId="59CCEAA0" w14:textId="239DF394" w:rsidR="00A75D84" w:rsidRPr="00A75D84" w:rsidRDefault="00A75D84">
      <w:pPr>
        <w:pStyle w:val="FootnoteText"/>
        <w:rPr>
          <w:rFonts w:ascii="Times New Roman" w:hAnsi="Times New Roman"/>
        </w:rPr>
      </w:pPr>
      <w:r w:rsidRPr="00A75D84">
        <w:rPr>
          <w:rStyle w:val="FootnoteReference"/>
          <w:rFonts w:ascii="Times New Roman" w:hAnsi="Times New Roman"/>
        </w:rPr>
        <w:footnoteRef/>
      </w:r>
      <w:r w:rsidRPr="00A75D84">
        <w:rPr>
          <w:rFonts w:ascii="Times New Roman" w:hAnsi="Times New Roman"/>
        </w:rPr>
        <w:t xml:space="preserve"> </w:t>
      </w:r>
      <w:hyperlink r:id="rId2" w:tgtFrame="_new" w:history="1">
        <w:r w:rsidRPr="00A75D84">
          <w:rPr>
            <w:rStyle w:val="Hyperlink"/>
            <w:rFonts w:ascii="Times New Roman" w:eastAsiaTheme="majorEastAsia" w:hAnsi="Times New Roman"/>
            <w:bCs/>
          </w:rPr>
          <w:t>EIS suursündmused</w:t>
        </w:r>
      </w:hyperlink>
    </w:p>
  </w:footnote>
  <w:footnote w:id="3">
    <w:p w14:paraId="6E7D1040" w14:textId="523A2C99" w:rsidR="00A75D84" w:rsidRDefault="00A75D84">
      <w:pPr>
        <w:pStyle w:val="FootnoteText"/>
      </w:pPr>
      <w:r w:rsidRPr="00A75D84">
        <w:rPr>
          <w:rStyle w:val="FootnoteReference"/>
          <w:rFonts w:ascii="Times New Roman" w:hAnsi="Times New Roman"/>
        </w:rPr>
        <w:footnoteRef/>
      </w:r>
      <w:r w:rsidRPr="00A75D84">
        <w:rPr>
          <w:rFonts w:ascii="Times New Roman" w:hAnsi="Times New Roman"/>
        </w:rPr>
        <w:t xml:space="preserve"> </w:t>
      </w:r>
      <w:hyperlink r:id="rId3" w:tgtFrame="_new" w:history="1">
        <w:r w:rsidRPr="00A75D84">
          <w:rPr>
            <w:rStyle w:val="Hyperlink"/>
            <w:rFonts w:ascii="Times New Roman" w:eastAsiaTheme="majorEastAsia" w:hAnsi="Times New Roman"/>
            <w:bCs/>
          </w:rPr>
          <w:t>Riigi Teataja</w:t>
        </w:r>
      </w:hyperlink>
    </w:p>
  </w:footnote>
  <w:footnote w:id="4">
    <w:p w14:paraId="37A86DA1" w14:textId="77777777" w:rsidR="009612B2" w:rsidRPr="007A284F" w:rsidRDefault="009612B2" w:rsidP="009612B2">
      <w:pPr>
        <w:pStyle w:val="FootnoteText"/>
        <w:rPr>
          <w:rFonts w:ascii="Times New Roman" w:hAnsi="Times New Roman"/>
        </w:rPr>
      </w:pPr>
      <w:r w:rsidRPr="007A284F">
        <w:rPr>
          <w:rStyle w:val="FootnoteReference"/>
          <w:rFonts w:ascii="Times New Roman" w:hAnsi="Times New Roman"/>
        </w:rPr>
        <w:footnoteRef/>
      </w:r>
      <w:r w:rsidRPr="007A284F">
        <w:rPr>
          <w:rFonts w:ascii="Times New Roman" w:hAnsi="Times New Roman"/>
        </w:rPr>
        <w:t xml:space="preserve"> KonkS § 2 lg 4: „Valitsev mõju on võimalus ühe või mitme ettevõtja poolt ühiselt või ühe või mitme füüsilise isiku poolt ühiselt teise ettevõtja aktsiate või osade omamise kaudu, tehingu või põhikirja alusel või muul viisil otseselt või kaudselt mõjutada teist ettevõtjat, mis võib seisneda õiguses:</w:t>
      </w:r>
    </w:p>
    <w:p w14:paraId="5382864A" w14:textId="77777777" w:rsidR="009612B2" w:rsidRPr="007A284F" w:rsidRDefault="009612B2" w:rsidP="009612B2">
      <w:pPr>
        <w:pStyle w:val="FootnoteText"/>
        <w:rPr>
          <w:rFonts w:ascii="Times New Roman" w:hAnsi="Times New Roman"/>
        </w:rPr>
      </w:pPr>
      <w:r>
        <w:rPr>
          <w:rFonts w:ascii="Times New Roman" w:hAnsi="Times New Roman"/>
        </w:rPr>
        <w:t xml:space="preserve"> </w:t>
      </w:r>
      <w:r w:rsidRPr="007A284F">
        <w:rPr>
          <w:rFonts w:ascii="Times New Roman" w:hAnsi="Times New Roman"/>
        </w:rPr>
        <w:t>1) oluliselt mõjutada teise ettevõtja juhtorganite koosseisu, hääletamist või otsuseid või</w:t>
      </w:r>
    </w:p>
    <w:p w14:paraId="5166A5B0" w14:textId="77777777" w:rsidR="009612B2" w:rsidRPr="007A284F" w:rsidRDefault="009612B2" w:rsidP="009612B2">
      <w:pPr>
        <w:pStyle w:val="FootnoteText"/>
        <w:rPr>
          <w:rFonts w:ascii="Times New Roman" w:hAnsi="Times New Roman"/>
        </w:rPr>
      </w:pPr>
      <w:r>
        <w:rPr>
          <w:rFonts w:ascii="Times New Roman" w:hAnsi="Times New Roman"/>
        </w:rPr>
        <w:t xml:space="preserve"> </w:t>
      </w:r>
      <w:r w:rsidRPr="007A284F">
        <w:rPr>
          <w:rFonts w:ascii="Times New Roman" w:hAnsi="Times New Roman"/>
        </w:rPr>
        <w:t>2) kasutada või käsutada teise ettevõtja kogu vara või olulist osa sellest.“</w:t>
      </w:r>
    </w:p>
  </w:footnote>
  <w:footnote w:id="5">
    <w:p w14:paraId="22B1339B" w14:textId="77777777" w:rsidR="004C31F2" w:rsidRPr="003149DB" w:rsidRDefault="004C31F2" w:rsidP="004C31F2">
      <w:pPr>
        <w:pStyle w:val="FootnoteText"/>
        <w:rPr>
          <w:rFonts w:ascii="Times New Roman" w:hAnsi="Times New Roman"/>
        </w:rPr>
      </w:pPr>
      <w:r w:rsidRPr="003149DB">
        <w:rPr>
          <w:rStyle w:val="FootnoteReference"/>
          <w:rFonts w:ascii="Times New Roman" w:hAnsi="Times New Roman"/>
        </w:rPr>
        <w:footnoteRef/>
      </w:r>
      <w:r w:rsidRPr="003149DB">
        <w:rPr>
          <w:rFonts w:ascii="Times New Roman" w:hAnsi="Times New Roman"/>
        </w:rPr>
        <w:t xml:space="preserve"> Andmekaitse Inspektsiooni 02.10.2024</w:t>
      </w:r>
      <w:r>
        <w:rPr>
          <w:rFonts w:ascii="Times New Roman" w:hAnsi="Times New Roman"/>
        </w:rPr>
        <w:t>. a</w:t>
      </w:r>
      <w:r w:rsidRPr="003149DB">
        <w:rPr>
          <w:rFonts w:ascii="Times New Roman" w:hAnsi="Times New Roman"/>
        </w:rPr>
        <w:t xml:space="preserve"> vaideotsus nr 2.1-3/24/807-1947-10, p 17</w:t>
      </w:r>
      <w:r>
        <w:rPr>
          <w:rFonts w:ascii="Times New Roman" w:hAnsi="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D21D6"/>
    <w:multiLevelType w:val="multilevel"/>
    <w:tmpl w:val="CCEE6684"/>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C00537"/>
    <w:multiLevelType w:val="multilevel"/>
    <w:tmpl w:val="962A46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CD2B3F"/>
    <w:multiLevelType w:val="hybridMultilevel"/>
    <w:tmpl w:val="7226BF54"/>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5603472"/>
    <w:multiLevelType w:val="multilevel"/>
    <w:tmpl w:val="58788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544DF3"/>
    <w:multiLevelType w:val="multilevel"/>
    <w:tmpl w:val="5360E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9AE5CFE"/>
    <w:multiLevelType w:val="multilevel"/>
    <w:tmpl w:val="75FEF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2710AA"/>
    <w:multiLevelType w:val="hybridMultilevel"/>
    <w:tmpl w:val="05B8D86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559A4AC4"/>
    <w:multiLevelType w:val="hybridMultilevel"/>
    <w:tmpl w:val="FAC0444E"/>
    <w:lvl w:ilvl="0" w:tplc="C742B6B0">
      <w:start w:val="1"/>
      <w:numFmt w:val="decimal"/>
      <w:lvlText w:val="%1)"/>
      <w:lvlJc w:val="left"/>
      <w:pPr>
        <w:ind w:left="360" w:hanging="360"/>
      </w:pPr>
      <w:rPr>
        <w:rFonts w:ascii="Times New Roman" w:eastAsiaTheme="minorHAnsi" w:hAnsi="Times New Roman" w:cs="Times New Roman" w:hint="default"/>
        <w:sz w:val="24"/>
        <w:szCs w:val="32"/>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8" w15:restartNumberingAfterBreak="0">
    <w:nsid w:val="5B4A6825"/>
    <w:multiLevelType w:val="multilevel"/>
    <w:tmpl w:val="2FD4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7D49A4"/>
    <w:multiLevelType w:val="multilevel"/>
    <w:tmpl w:val="A5263E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E854599"/>
    <w:multiLevelType w:val="multilevel"/>
    <w:tmpl w:val="5FCA5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651951"/>
    <w:multiLevelType w:val="hybridMultilevel"/>
    <w:tmpl w:val="AED0FEFA"/>
    <w:lvl w:ilvl="0" w:tplc="7DE88A76">
      <w:start w:val="1"/>
      <w:numFmt w:val="bullet"/>
      <w:lvlText w:val="­"/>
      <w:lvlJc w:val="left"/>
      <w:pPr>
        <w:ind w:left="360" w:hanging="360"/>
      </w:pPr>
      <w:rPr>
        <w:rFonts w:ascii="Courier New" w:hAnsi="Courier New"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num w:numId="1" w16cid:durableId="87778020">
    <w:abstractNumId w:val="5"/>
  </w:num>
  <w:num w:numId="2" w16cid:durableId="1218663195">
    <w:abstractNumId w:val="10"/>
  </w:num>
  <w:num w:numId="3" w16cid:durableId="1519657382">
    <w:abstractNumId w:val="0"/>
  </w:num>
  <w:num w:numId="4" w16cid:durableId="1245412130">
    <w:abstractNumId w:val="11"/>
  </w:num>
  <w:num w:numId="5" w16cid:durableId="717897827">
    <w:abstractNumId w:val="6"/>
  </w:num>
  <w:num w:numId="6" w16cid:durableId="642079083">
    <w:abstractNumId w:val="4"/>
  </w:num>
  <w:num w:numId="7" w16cid:durableId="722482289">
    <w:abstractNumId w:val="3"/>
  </w:num>
  <w:num w:numId="8" w16cid:durableId="1190294686">
    <w:abstractNumId w:val="7"/>
  </w:num>
  <w:num w:numId="9" w16cid:durableId="30300120">
    <w:abstractNumId w:val="1"/>
  </w:num>
  <w:num w:numId="10" w16cid:durableId="680739927">
    <w:abstractNumId w:val="1"/>
    <w:lvlOverride w:ilvl="1">
      <w:lvl w:ilvl="1">
        <w:numFmt w:val="bullet"/>
        <w:lvlText w:val=""/>
        <w:lvlJc w:val="left"/>
        <w:pPr>
          <w:tabs>
            <w:tab w:val="num" w:pos="1440"/>
          </w:tabs>
          <w:ind w:left="1440" w:hanging="360"/>
        </w:pPr>
        <w:rPr>
          <w:rFonts w:ascii="Symbol" w:hAnsi="Symbol" w:hint="default"/>
          <w:sz w:val="20"/>
        </w:rPr>
      </w:lvl>
    </w:lvlOverride>
  </w:num>
  <w:num w:numId="11" w16cid:durableId="293633742">
    <w:abstractNumId w:val="1"/>
    <w:lvlOverride w:ilvl="1">
      <w:lvl w:ilvl="1">
        <w:numFmt w:val="bullet"/>
        <w:lvlText w:val=""/>
        <w:lvlJc w:val="left"/>
        <w:pPr>
          <w:tabs>
            <w:tab w:val="num" w:pos="1440"/>
          </w:tabs>
          <w:ind w:left="1440" w:hanging="360"/>
        </w:pPr>
        <w:rPr>
          <w:rFonts w:ascii="Symbol" w:hAnsi="Symbol" w:hint="default"/>
          <w:sz w:val="20"/>
        </w:rPr>
      </w:lvl>
    </w:lvlOverride>
  </w:num>
  <w:num w:numId="12" w16cid:durableId="1836258789">
    <w:abstractNumId w:val="1"/>
    <w:lvlOverride w:ilvl="1">
      <w:lvl w:ilvl="1">
        <w:numFmt w:val="bullet"/>
        <w:lvlText w:val=""/>
        <w:lvlJc w:val="left"/>
        <w:pPr>
          <w:tabs>
            <w:tab w:val="num" w:pos="1440"/>
          </w:tabs>
          <w:ind w:left="1440" w:hanging="360"/>
        </w:pPr>
        <w:rPr>
          <w:rFonts w:ascii="Symbol" w:hAnsi="Symbol" w:hint="default"/>
          <w:sz w:val="20"/>
        </w:rPr>
      </w:lvl>
    </w:lvlOverride>
  </w:num>
  <w:num w:numId="13" w16cid:durableId="187916514">
    <w:abstractNumId w:val="1"/>
    <w:lvlOverride w:ilvl="1">
      <w:lvl w:ilvl="1">
        <w:numFmt w:val="bullet"/>
        <w:lvlText w:val=""/>
        <w:lvlJc w:val="left"/>
        <w:pPr>
          <w:tabs>
            <w:tab w:val="num" w:pos="1440"/>
          </w:tabs>
          <w:ind w:left="1440" w:hanging="360"/>
        </w:pPr>
        <w:rPr>
          <w:rFonts w:ascii="Symbol" w:hAnsi="Symbol" w:hint="default"/>
          <w:sz w:val="20"/>
        </w:rPr>
      </w:lvl>
    </w:lvlOverride>
  </w:num>
  <w:num w:numId="14" w16cid:durableId="284893077">
    <w:abstractNumId w:val="1"/>
    <w:lvlOverride w:ilvl="1">
      <w:lvl w:ilvl="1">
        <w:numFmt w:val="bullet"/>
        <w:lvlText w:val=""/>
        <w:lvlJc w:val="left"/>
        <w:pPr>
          <w:tabs>
            <w:tab w:val="num" w:pos="1440"/>
          </w:tabs>
          <w:ind w:left="1440" w:hanging="360"/>
        </w:pPr>
        <w:rPr>
          <w:rFonts w:ascii="Symbol" w:hAnsi="Symbol" w:hint="default"/>
          <w:sz w:val="20"/>
        </w:rPr>
      </w:lvl>
    </w:lvlOverride>
  </w:num>
  <w:num w:numId="15" w16cid:durableId="1441562396">
    <w:abstractNumId w:val="1"/>
    <w:lvlOverride w:ilvl="1">
      <w:lvl w:ilvl="1">
        <w:numFmt w:val="bullet"/>
        <w:lvlText w:val=""/>
        <w:lvlJc w:val="left"/>
        <w:pPr>
          <w:tabs>
            <w:tab w:val="num" w:pos="1440"/>
          </w:tabs>
          <w:ind w:left="1440" w:hanging="360"/>
        </w:pPr>
        <w:rPr>
          <w:rFonts w:ascii="Symbol" w:hAnsi="Symbol" w:hint="default"/>
          <w:sz w:val="20"/>
        </w:rPr>
      </w:lvl>
    </w:lvlOverride>
  </w:num>
  <w:num w:numId="16" w16cid:durableId="307787723">
    <w:abstractNumId w:val="1"/>
    <w:lvlOverride w:ilvl="1">
      <w:lvl w:ilvl="1">
        <w:numFmt w:val="bullet"/>
        <w:lvlText w:val=""/>
        <w:lvlJc w:val="left"/>
        <w:pPr>
          <w:tabs>
            <w:tab w:val="num" w:pos="1440"/>
          </w:tabs>
          <w:ind w:left="1440" w:hanging="360"/>
        </w:pPr>
        <w:rPr>
          <w:rFonts w:ascii="Symbol" w:hAnsi="Symbol" w:hint="default"/>
          <w:sz w:val="20"/>
        </w:rPr>
      </w:lvl>
    </w:lvlOverride>
  </w:num>
  <w:num w:numId="17" w16cid:durableId="1956786249">
    <w:abstractNumId w:val="1"/>
    <w:lvlOverride w:ilvl="1">
      <w:lvl w:ilvl="1">
        <w:numFmt w:val="bullet"/>
        <w:lvlText w:val=""/>
        <w:lvlJc w:val="left"/>
        <w:pPr>
          <w:tabs>
            <w:tab w:val="num" w:pos="1440"/>
          </w:tabs>
          <w:ind w:left="1440" w:hanging="360"/>
        </w:pPr>
        <w:rPr>
          <w:rFonts w:ascii="Symbol" w:hAnsi="Symbol" w:hint="default"/>
          <w:sz w:val="20"/>
        </w:rPr>
      </w:lvl>
    </w:lvlOverride>
  </w:num>
  <w:num w:numId="18" w16cid:durableId="2144614046">
    <w:abstractNumId w:val="1"/>
    <w:lvlOverride w:ilvl="1">
      <w:lvl w:ilvl="1">
        <w:numFmt w:val="bullet"/>
        <w:lvlText w:val=""/>
        <w:lvlJc w:val="left"/>
        <w:pPr>
          <w:tabs>
            <w:tab w:val="num" w:pos="1440"/>
          </w:tabs>
          <w:ind w:left="1440" w:hanging="360"/>
        </w:pPr>
        <w:rPr>
          <w:rFonts w:ascii="Symbol" w:hAnsi="Symbol" w:hint="default"/>
          <w:sz w:val="20"/>
        </w:rPr>
      </w:lvl>
    </w:lvlOverride>
  </w:num>
  <w:num w:numId="19" w16cid:durableId="1423645211">
    <w:abstractNumId w:val="1"/>
    <w:lvlOverride w:ilvl="1">
      <w:lvl w:ilvl="1">
        <w:numFmt w:val="bullet"/>
        <w:lvlText w:val=""/>
        <w:lvlJc w:val="left"/>
        <w:pPr>
          <w:tabs>
            <w:tab w:val="num" w:pos="1440"/>
          </w:tabs>
          <w:ind w:left="1440" w:hanging="360"/>
        </w:pPr>
        <w:rPr>
          <w:rFonts w:ascii="Symbol" w:hAnsi="Symbol" w:hint="default"/>
          <w:sz w:val="20"/>
        </w:rPr>
      </w:lvl>
    </w:lvlOverride>
  </w:num>
  <w:num w:numId="20" w16cid:durableId="505360576">
    <w:abstractNumId w:val="1"/>
    <w:lvlOverride w:ilvl="1">
      <w:lvl w:ilvl="1">
        <w:numFmt w:val="bullet"/>
        <w:lvlText w:val=""/>
        <w:lvlJc w:val="left"/>
        <w:pPr>
          <w:tabs>
            <w:tab w:val="num" w:pos="1440"/>
          </w:tabs>
          <w:ind w:left="1440" w:hanging="360"/>
        </w:pPr>
        <w:rPr>
          <w:rFonts w:ascii="Symbol" w:hAnsi="Symbol" w:hint="default"/>
          <w:sz w:val="20"/>
        </w:rPr>
      </w:lvl>
    </w:lvlOverride>
  </w:num>
  <w:num w:numId="21" w16cid:durableId="643850394">
    <w:abstractNumId w:val="1"/>
    <w:lvlOverride w:ilvl="1">
      <w:lvl w:ilvl="1">
        <w:numFmt w:val="bullet"/>
        <w:lvlText w:val=""/>
        <w:lvlJc w:val="left"/>
        <w:pPr>
          <w:tabs>
            <w:tab w:val="num" w:pos="1440"/>
          </w:tabs>
          <w:ind w:left="1440" w:hanging="360"/>
        </w:pPr>
        <w:rPr>
          <w:rFonts w:ascii="Symbol" w:hAnsi="Symbol" w:hint="default"/>
          <w:sz w:val="20"/>
        </w:rPr>
      </w:lvl>
    </w:lvlOverride>
  </w:num>
  <w:num w:numId="22" w16cid:durableId="2010982518">
    <w:abstractNumId w:val="1"/>
    <w:lvlOverride w:ilvl="1">
      <w:lvl w:ilvl="1">
        <w:numFmt w:val="bullet"/>
        <w:lvlText w:val=""/>
        <w:lvlJc w:val="left"/>
        <w:pPr>
          <w:tabs>
            <w:tab w:val="num" w:pos="1440"/>
          </w:tabs>
          <w:ind w:left="1440" w:hanging="360"/>
        </w:pPr>
        <w:rPr>
          <w:rFonts w:ascii="Symbol" w:hAnsi="Symbol" w:hint="default"/>
          <w:sz w:val="20"/>
        </w:rPr>
      </w:lvl>
    </w:lvlOverride>
  </w:num>
  <w:num w:numId="23" w16cid:durableId="1351027076">
    <w:abstractNumId w:val="1"/>
    <w:lvlOverride w:ilvl="1">
      <w:lvl w:ilvl="1">
        <w:numFmt w:val="bullet"/>
        <w:lvlText w:val=""/>
        <w:lvlJc w:val="left"/>
        <w:pPr>
          <w:tabs>
            <w:tab w:val="num" w:pos="1440"/>
          </w:tabs>
          <w:ind w:left="1440" w:hanging="360"/>
        </w:pPr>
        <w:rPr>
          <w:rFonts w:ascii="Symbol" w:hAnsi="Symbol" w:hint="default"/>
          <w:sz w:val="20"/>
        </w:rPr>
      </w:lvl>
    </w:lvlOverride>
  </w:num>
  <w:num w:numId="24" w16cid:durableId="1503011315">
    <w:abstractNumId w:val="2"/>
  </w:num>
  <w:num w:numId="25" w16cid:durableId="1066030575">
    <w:abstractNumId w:val="9"/>
  </w:num>
  <w:num w:numId="26" w16cid:durableId="19932900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13E"/>
    <w:rsid w:val="00084D2D"/>
    <w:rsid w:val="000A6B73"/>
    <w:rsid w:val="001064F5"/>
    <w:rsid w:val="00117CEC"/>
    <w:rsid w:val="00132AA7"/>
    <w:rsid w:val="00135154"/>
    <w:rsid w:val="00153F3F"/>
    <w:rsid w:val="001701FC"/>
    <w:rsid w:val="001832A5"/>
    <w:rsid w:val="001C6EDF"/>
    <w:rsid w:val="001E031F"/>
    <w:rsid w:val="002031FB"/>
    <w:rsid w:val="00215ECB"/>
    <w:rsid w:val="00235BC6"/>
    <w:rsid w:val="00244AE6"/>
    <w:rsid w:val="002832B2"/>
    <w:rsid w:val="002A584B"/>
    <w:rsid w:val="002D6591"/>
    <w:rsid w:val="00325BDA"/>
    <w:rsid w:val="00336830"/>
    <w:rsid w:val="00350B35"/>
    <w:rsid w:val="00353558"/>
    <w:rsid w:val="00356100"/>
    <w:rsid w:val="0039116E"/>
    <w:rsid w:val="003E49C4"/>
    <w:rsid w:val="003E620E"/>
    <w:rsid w:val="00400891"/>
    <w:rsid w:val="00427590"/>
    <w:rsid w:val="00430BE6"/>
    <w:rsid w:val="004A03E6"/>
    <w:rsid w:val="004A5CA3"/>
    <w:rsid w:val="004C31F2"/>
    <w:rsid w:val="00535EC9"/>
    <w:rsid w:val="00572799"/>
    <w:rsid w:val="005921AD"/>
    <w:rsid w:val="00593F04"/>
    <w:rsid w:val="005C2D64"/>
    <w:rsid w:val="005C5313"/>
    <w:rsid w:val="005C73AD"/>
    <w:rsid w:val="005D3B00"/>
    <w:rsid w:val="0060121A"/>
    <w:rsid w:val="0060771A"/>
    <w:rsid w:val="00607764"/>
    <w:rsid w:val="00655F2E"/>
    <w:rsid w:val="006721B7"/>
    <w:rsid w:val="00676469"/>
    <w:rsid w:val="006A636A"/>
    <w:rsid w:val="00704E0E"/>
    <w:rsid w:val="007131FD"/>
    <w:rsid w:val="00742514"/>
    <w:rsid w:val="0078167C"/>
    <w:rsid w:val="007F10BE"/>
    <w:rsid w:val="00803C4E"/>
    <w:rsid w:val="00842918"/>
    <w:rsid w:val="00872D56"/>
    <w:rsid w:val="0088513E"/>
    <w:rsid w:val="008A072E"/>
    <w:rsid w:val="008D1383"/>
    <w:rsid w:val="008D4A08"/>
    <w:rsid w:val="00915FFF"/>
    <w:rsid w:val="00926219"/>
    <w:rsid w:val="00940324"/>
    <w:rsid w:val="00946F01"/>
    <w:rsid w:val="009612B2"/>
    <w:rsid w:val="00973B36"/>
    <w:rsid w:val="00982215"/>
    <w:rsid w:val="00983D78"/>
    <w:rsid w:val="009A7AC9"/>
    <w:rsid w:val="009D3A0E"/>
    <w:rsid w:val="009E024C"/>
    <w:rsid w:val="009E7396"/>
    <w:rsid w:val="009F42C2"/>
    <w:rsid w:val="00A1515F"/>
    <w:rsid w:val="00A75D84"/>
    <w:rsid w:val="00A95CA9"/>
    <w:rsid w:val="00AB5970"/>
    <w:rsid w:val="00AC6F42"/>
    <w:rsid w:val="00AE563C"/>
    <w:rsid w:val="00AF3243"/>
    <w:rsid w:val="00B17A3A"/>
    <w:rsid w:val="00B22163"/>
    <w:rsid w:val="00B46302"/>
    <w:rsid w:val="00B74924"/>
    <w:rsid w:val="00B82663"/>
    <w:rsid w:val="00BB38DB"/>
    <w:rsid w:val="00BC4566"/>
    <w:rsid w:val="00C14B04"/>
    <w:rsid w:val="00C64387"/>
    <w:rsid w:val="00C727B4"/>
    <w:rsid w:val="00CA298F"/>
    <w:rsid w:val="00CA509F"/>
    <w:rsid w:val="00D50C76"/>
    <w:rsid w:val="00D56662"/>
    <w:rsid w:val="00D61C05"/>
    <w:rsid w:val="00DC7B14"/>
    <w:rsid w:val="00DE0A7F"/>
    <w:rsid w:val="00DE623E"/>
    <w:rsid w:val="00E15DC9"/>
    <w:rsid w:val="00E774C0"/>
    <w:rsid w:val="00E9607B"/>
    <w:rsid w:val="00EC1C79"/>
    <w:rsid w:val="00EE4A38"/>
    <w:rsid w:val="00EF3A6F"/>
    <w:rsid w:val="00F256B7"/>
    <w:rsid w:val="00F5589F"/>
    <w:rsid w:val="00FA602D"/>
    <w:rsid w:val="00FF4B0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4E02B"/>
  <w15:chartTrackingRefBased/>
  <w15:docId w15:val="{28BAC51D-1280-4AA5-AFC7-3D956CF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13E"/>
  </w:style>
  <w:style w:type="paragraph" w:styleId="Heading1">
    <w:name w:val="heading 1"/>
    <w:basedOn w:val="Normal"/>
    <w:next w:val="Normal"/>
    <w:link w:val="Heading1Char"/>
    <w:uiPriority w:val="9"/>
    <w:qFormat/>
    <w:rsid w:val="0088513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8513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8513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8513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8513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851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51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51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51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513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8513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8513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8513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8513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851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51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51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513E"/>
    <w:rPr>
      <w:rFonts w:eastAsiaTheme="majorEastAsia" w:cstheme="majorBidi"/>
      <w:color w:val="272727" w:themeColor="text1" w:themeTint="D8"/>
    </w:rPr>
  </w:style>
  <w:style w:type="paragraph" w:styleId="Title">
    <w:name w:val="Title"/>
    <w:basedOn w:val="Normal"/>
    <w:next w:val="Normal"/>
    <w:link w:val="TitleChar"/>
    <w:uiPriority w:val="10"/>
    <w:qFormat/>
    <w:rsid w:val="008851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51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51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51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513E"/>
    <w:pPr>
      <w:spacing w:before="160"/>
      <w:jc w:val="center"/>
    </w:pPr>
    <w:rPr>
      <w:i/>
      <w:iCs/>
      <w:color w:val="404040" w:themeColor="text1" w:themeTint="BF"/>
    </w:rPr>
  </w:style>
  <w:style w:type="character" w:customStyle="1" w:styleId="QuoteChar">
    <w:name w:val="Quote Char"/>
    <w:basedOn w:val="DefaultParagraphFont"/>
    <w:link w:val="Quote"/>
    <w:uiPriority w:val="29"/>
    <w:rsid w:val="0088513E"/>
    <w:rPr>
      <w:i/>
      <w:iCs/>
      <w:color w:val="404040" w:themeColor="text1" w:themeTint="BF"/>
    </w:rPr>
  </w:style>
  <w:style w:type="paragraph" w:styleId="ListParagraph">
    <w:name w:val="List Paragraph"/>
    <w:aliases w:val="Numbered List,1st level - Bullet List Paragraph,Lettre d'introduction,Paragrafo elenco,Paragraph,Bullet EY,Bullet point 1,DE_HEADING3,Bullets,Medium Grid 1 - Accent 21,List Paragraph compact,Normal bullet 2,Paragraphe de liste 2"/>
    <w:basedOn w:val="Normal"/>
    <w:link w:val="ListParagraphChar"/>
    <w:uiPriority w:val="34"/>
    <w:qFormat/>
    <w:rsid w:val="0088513E"/>
    <w:pPr>
      <w:ind w:left="720"/>
      <w:contextualSpacing/>
    </w:pPr>
  </w:style>
  <w:style w:type="character" w:styleId="IntenseEmphasis">
    <w:name w:val="Intense Emphasis"/>
    <w:basedOn w:val="DefaultParagraphFont"/>
    <w:uiPriority w:val="21"/>
    <w:qFormat/>
    <w:rsid w:val="0088513E"/>
    <w:rPr>
      <w:i/>
      <w:iCs/>
      <w:color w:val="2F5496" w:themeColor="accent1" w:themeShade="BF"/>
    </w:rPr>
  </w:style>
  <w:style w:type="paragraph" w:styleId="IntenseQuote">
    <w:name w:val="Intense Quote"/>
    <w:basedOn w:val="Normal"/>
    <w:next w:val="Normal"/>
    <w:link w:val="IntenseQuoteChar"/>
    <w:uiPriority w:val="30"/>
    <w:qFormat/>
    <w:rsid w:val="008851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8513E"/>
    <w:rPr>
      <w:i/>
      <w:iCs/>
      <w:color w:val="2F5496" w:themeColor="accent1" w:themeShade="BF"/>
    </w:rPr>
  </w:style>
  <w:style w:type="character" w:styleId="IntenseReference">
    <w:name w:val="Intense Reference"/>
    <w:basedOn w:val="DefaultParagraphFont"/>
    <w:uiPriority w:val="32"/>
    <w:qFormat/>
    <w:rsid w:val="0088513E"/>
    <w:rPr>
      <w:b/>
      <w:bCs/>
      <w:smallCaps/>
      <w:color w:val="2F5496" w:themeColor="accent1" w:themeShade="BF"/>
      <w:spacing w:val="5"/>
    </w:rPr>
  </w:style>
  <w:style w:type="paragraph" w:styleId="NoSpacing">
    <w:name w:val="No Spacing"/>
    <w:uiPriority w:val="1"/>
    <w:qFormat/>
    <w:rsid w:val="0088513E"/>
    <w:pPr>
      <w:spacing w:after="0" w:line="240" w:lineRule="auto"/>
    </w:pPr>
  </w:style>
  <w:style w:type="paragraph" w:customStyle="1" w:styleId="Default">
    <w:name w:val="Default"/>
    <w:rsid w:val="0088513E"/>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Hyperlink">
    <w:name w:val="Hyperlink"/>
    <w:basedOn w:val="DefaultParagraphFont"/>
    <w:uiPriority w:val="99"/>
    <w:unhideWhenUsed/>
    <w:rsid w:val="0088513E"/>
    <w:rPr>
      <w:rFonts w:cs="Times New Roman"/>
      <w:color w:val="0563C1" w:themeColor="hyperlink"/>
      <w:u w:val="single"/>
    </w:rPr>
  </w:style>
  <w:style w:type="character" w:customStyle="1" w:styleId="ListParagraphChar">
    <w:name w:val="List Paragraph Char"/>
    <w:aliases w:val="Numbered List Char,1st level - Bullet List Paragraph Char,Lettre d'introduction Char,Paragrafo elenco Char,Paragraph Char,Bullet EY Char,Bullet point 1 Char,DE_HEADING3 Char,Bullets Char,Medium Grid 1 - Accent 21 Char"/>
    <w:link w:val="ListParagraph"/>
    <w:uiPriority w:val="34"/>
    <w:qFormat/>
    <w:locked/>
    <w:rsid w:val="009F42C2"/>
  </w:style>
  <w:style w:type="paragraph" w:styleId="FootnoteText">
    <w:name w:val="footnote text"/>
    <w:aliases w:val="Footnote Text Char Char Char Char,Footnote Text Char Char,Footnote Text Char Char Char Char Char,Footnote Text Char Char Char Char Char Char Char Char,Footnote Text Char Char Char,Footnote Text Char1,Footnote Text Char Char1,Märk,o"/>
    <w:basedOn w:val="Normal"/>
    <w:link w:val="FootnoteTextChar"/>
    <w:uiPriority w:val="99"/>
    <w:unhideWhenUsed/>
    <w:qFormat/>
    <w:rsid w:val="00E9607B"/>
    <w:pPr>
      <w:spacing w:after="0" w:line="240" w:lineRule="auto"/>
    </w:pPr>
    <w:rPr>
      <w:rFonts w:eastAsia="Times New Roman" w:cs="Times New Roman"/>
      <w:kern w:val="0"/>
      <w:sz w:val="20"/>
      <w:szCs w:val="20"/>
      <w14:ligatures w14:val="none"/>
    </w:rPr>
  </w:style>
  <w:style w:type="character" w:customStyle="1" w:styleId="FootnoteTextChar">
    <w:name w:val="Footnote Text Char"/>
    <w:aliases w:val="Footnote Text Char Char Char Char Char1,Footnote Text Char Char Char1,Footnote Text Char Char Char Char Char Char,Footnote Text Char Char Char Char Char Char Char Char Char,Footnote Text Char Char Char Char1,Footnote Text Char1 Char"/>
    <w:basedOn w:val="DefaultParagraphFont"/>
    <w:link w:val="FootnoteText"/>
    <w:uiPriority w:val="99"/>
    <w:rsid w:val="00E9607B"/>
    <w:rPr>
      <w:rFonts w:eastAsia="Times New Roman" w:cs="Times New Roman"/>
      <w:kern w:val="0"/>
      <w:sz w:val="20"/>
      <w:szCs w:val="20"/>
      <w14:ligatures w14:val="none"/>
    </w:rPr>
  </w:style>
  <w:style w:type="character" w:styleId="FootnoteReference">
    <w:name w:val="footnote reference"/>
    <w:aliases w:val="Footnote symbol,Ref,de nota al pie,-E Fußnotenzeichen,fr,ftref,Footnotes refss,Fussnota,Footnote reference number,Times 10 Point,Exposant 3 Point,EN Footnote Reference,note TESI,Footnote Reference Superscript,Zchn Zchn,Footnote numb,4"/>
    <w:basedOn w:val="DefaultParagraphFont"/>
    <w:link w:val="FootnoteReferneceChar"/>
    <w:uiPriority w:val="99"/>
    <w:unhideWhenUsed/>
    <w:qFormat/>
    <w:rsid w:val="00E9607B"/>
    <w:rPr>
      <w:rFonts w:cs="Times New Roman"/>
      <w:vertAlign w:val="superscript"/>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link w:val="FootnoteReference"/>
    <w:uiPriority w:val="99"/>
    <w:rsid w:val="00E9607B"/>
    <w:pPr>
      <w:spacing w:before="240" w:line="240" w:lineRule="exact"/>
    </w:pPr>
    <w:rPr>
      <w:rFonts w:cs="Times New Roman"/>
      <w:vertAlign w:val="superscript"/>
    </w:rPr>
  </w:style>
  <w:style w:type="character" w:styleId="UnresolvedMention">
    <w:name w:val="Unresolved Mention"/>
    <w:basedOn w:val="DefaultParagraphFont"/>
    <w:uiPriority w:val="99"/>
    <w:semiHidden/>
    <w:unhideWhenUsed/>
    <w:rsid w:val="00EC1C79"/>
    <w:rPr>
      <w:color w:val="605E5C"/>
      <w:shd w:val="clear" w:color="auto" w:fill="E1DFDD"/>
    </w:rPr>
  </w:style>
  <w:style w:type="character" w:styleId="CommentReference">
    <w:name w:val="annotation reference"/>
    <w:basedOn w:val="DefaultParagraphFont"/>
    <w:uiPriority w:val="99"/>
    <w:semiHidden/>
    <w:unhideWhenUsed/>
    <w:rsid w:val="00676469"/>
    <w:rPr>
      <w:sz w:val="16"/>
      <w:szCs w:val="16"/>
    </w:rPr>
  </w:style>
  <w:style w:type="paragraph" w:styleId="CommentText">
    <w:name w:val="annotation text"/>
    <w:basedOn w:val="Normal"/>
    <w:link w:val="CommentTextChar"/>
    <w:uiPriority w:val="99"/>
    <w:unhideWhenUsed/>
    <w:rsid w:val="00676469"/>
    <w:pPr>
      <w:spacing w:line="240" w:lineRule="auto"/>
    </w:pPr>
    <w:rPr>
      <w:sz w:val="20"/>
      <w:szCs w:val="20"/>
    </w:rPr>
  </w:style>
  <w:style w:type="character" w:customStyle="1" w:styleId="CommentTextChar">
    <w:name w:val="Comment Text Char"/>
    <w:basedOn w:val="DefaultParagraphFont"/>
    <w:link w:val="CommentText"/>
    <w:uiPriority w:val="99"/>
    <w:rsid w:val="00676469"/>
    <w:rPr>
      <w:sz w:val="20"/>
      <w:szCs w:val="20"/>
    </w:rPr>
  </w:style>
  <w:style w:type="paragraph" w:styleId="NormalWeb">
    <w:name w:val="Normal (Web)"/>
    <w:basedOn w:val="Normal"/>
    <w:uiPriority w:val="99"/>
    <w:semiHidden/>
    <w:unhideWhenUsed/>
    <w:rsid w:val="00AB5970"/>
    <w:rPr>
      <w:rFonts w:ascii="Times New Roman" w:hAnsi="Times New Roman" w:cs="Times New Roman"/>
      <w:sz w:val="24"/>
      <w:szCs w:val="24"/>
    </w:rPr>
  </w:style>
  <w:style w:type="paragraph" w:styleId="Header">
    <w:name w:val="header"/>
    <w:basedOn w:val="Normal"/>
    <w:link w:val="HeaderChar"/>
    <w:uiPriority w:val="99"/>
    <w:unhideWhenUsed/>
    <w:rsid w:val="009E7396"/>
    <w:pPr>
      <w:tabs>
        <w:tab w:val="center" w:pos="4536"/>
        <w:tab w:val="right" w:pos="9072"/>
      </w:tabs>
      <w:spacing w:after="0" w:line="240" w:lineRule="auto"/>
    </w:pPr>
  </w:style>
  <w:style w:type="character" w:customStyle="1" w:styleId="HeaderChar">
    <w:name w:val="Header Char"/>
    <w:basedOn w:val="DefaultParagraphFont"/>
    <w:link w:val="Header"/>
    <w:uiPriority w:val="99"/>
    <w:rsid w:val="009E7396"/>
  </w:style>
  <w:style w:type="paragraph" w:styleId="Footer">
    <w:name w:val="footer"/>
    <w:basedOn w:val="Normal"/>
    <w:link w:val="FooterChar"/>
    <w:uiPriority w:val="99"/>
    <w:unhideWhenUsed/>
    <w:rsid w:val="009E7396"/>
    <w:pPr>
      <w:tabs>
        <w:tab w:val="center" w:pos="4536"/>
        <w:tab w:val="right" w:pos="9072"/>
      </w:tabs>
      <w:spacing w:after="0" w:line="240" w:lineRule="auto"/>
    </w:pPr>
  </w:style>
  <w:style w:type="character" w:customStyle="1" w:styleId="FooterChar">
    <w:name w:val="Footer Char"/>
    <w:basedOn w:val="DefaultParagraphFont"/>
    <w:link w:val="Footer"/>
    <w:uiPriority w:val="99"/>
    <w:rsid w:val="009E73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13980">
      <w:bodyDiv w:val="1"/>
      <w:marLeft w:val="0"/>
      <w:marRight w:val="0"/>
      <w:marTop w:val="0"/>
      <w:marBottom w:val="0"/>
      <w:divBdr>
        <w:top w:val="none" w:sz="0" w:space="0" w:color="auto"/>
        <w:left w:val="none" w:sz="0" w:space="0" w:color="auto"/>
        <w:bottom w:val="none" w:sz="0" w:space="0" w:color="auto"/>
        <w:right w:val="none" w:sz="0" w:space="0" w:color="auto"/>
      </w:divBdr>
    </w:div>
    <w:div w:id="25758341">
      <w:bodyDiv w:val="1"/>
      <w:marLeft w:val="0"/>
      <w:marRight w:val="0"/>
      <w:marTop w:val="0"/>
      <w:marBottom w:val="0"/>
      <w:divBdr>
        <w:top w:val="none" w:sz="0" w:space="0" w:color="auto"/>
        <w:left w:val="none" w:sz="0" w:space="0" w:color="auto"/>
        <w:bottom w:val="none" w:sz="0" w:space="0" w:color="auto"/>
        <w:right w:val="none" w:sz="0" w:space="0" w:color="auto"/>
      </w:divBdr>
    </w:div>
    <w:div w:id="28579177">
      <w:bodyDiv w:val="1"/>
      <w:marLeft w:val="0"/>
      <w:marRight w:val="0"/>
      <w:marTop w:val="0"/>
      <w:marBottom w:val="0"/>
      <w:divBdr>
        <w:top w:val="none" w:sz="0" w:space="0" w:color="auto"/>
        <w:left w:val="none" w:sz="0" w:space="0" w:color="auto"/>
        <w:bottom w:val="none" w:sz="0" w:space="0" w:color="auto"/>
        <w:right w:val="none" w:sz="0" w:space="0" w:color="auto"/>
      </w:divBdr>
    </w:div>
    <w:div w:id="54934982">
      <w:bodyDiv w:val="1"/>
      <w:marLeft w:val="0"/>
      <w:marRight w:val="0"/>
      <w:marTop w:val="0"/>
      <w:marBottom w:val="0"/>
      <w:divBdr>
        <w:top w:val="none" w:sz="0" w:space="0" w:color="auto"/>
        <w:left w:val="none" w:sz="0" w:space="0" w:color="auto"/>
        <w:bottom w:val="none" w:sz="0" w:space="0" w:color="auto"/>
        <w:right w:val="none" w:sz="0" w:space="0" w:color="auto"/>
      </w:divBdr>
    </w:div>
    <w:div w:id="121966146">
      <w:bodyDiv w:val="1"/>
      <w:marLeft w:val="0"/>
      <w:marRight w:val="0"/>
      <w:marTop w:val="0"/>
      <w:marBottom w:val="0"/>
      <w:divBdr>
        <w:top w:val="none" w:sz="0" w:space="0" w:color="auto"/>
        <w:left w:val="none" w:sz="0" w:space="0" w:color="auto"/>
        <w:bottom w:val="none" w:sz="0" w:space="0" w:color="auto"/>
        <w:right w:val="none" w:sz="0" w:space="0" w:color="auto"/>
      </w:divBdr>
    </w:div>
    <w:div w:id="153957130">
      <w:bodyDiv w:val="1"/>
      <w:marLeft w:val="0"/>
      <w:marRight w:val="0"/>
      <w:marTop w:val="0"/>
      <w:marBottom w:val="0"/>
      <w:divBdr>
        <w:top w:val="none" w:sz="0" w:space="0" w:color="auto"/>
        <w:left w:val="none" w:sz="0" w:space="0" w:color="auto"/>
        <w:bottom w:val="none" w:sz="0" w:space="0" w:color="auto"/>
        <w:right w:val="none" w:sz="0" w:space="0" w:color="auto"/>
      </w:divBdr>
    </w:div>
    <w:div w:id="217474820">
      <w:bodyDiv w:val="1"/>
      <w:marLeft w:val="0"/>
      <w:marRight w:val="0"/>
      <w:marTop w:val="0"/>
      <w:marBottom w:val="0"/>
      <w:divBdr>
        <w:top w:val="none" w:sz="0" w:space="0" w:color="auto"/>
        <w:left w:val="none" w:sz="0" w:space="0" w:color="auto"/>
        <w:bottom w:val="none" w:sz="0" w:space="0" w:color="auto"/>
        <w:right w:val="none" w:sz="0" w:space="0" w:color="auto"/>
      </w:divBdr>
    </w:div>
    <w:div w:id="228733043">
      <w:bodyDiv w:val="1"/>
      <w:marLeft w:val="0"/>
      <w:marRight w:val="0"/>
      <w:marTop w:val="0"/>
      <w:marBottom w:val="0"/>
      <w:divBdr>
        <w:top w:val="none" w:sz="0" w:space="0" w:color="auto"/>
        <w:left w:val="none" w:sz="0" w:space="0" w:color="auto"/>
        <w:bottom w:val="none" w:sz="0" w:space="0" w:color="auto"/>
        <w:right w:val="none" w:sz="0" w:space="0" w:color="auto"/>
      </w:divBdr>
    </w:div>
    <w:div w:id="349574429">
      <w:bodyDiv w:val="1"/>
      <w:marLeft w:val="0"/>
      <w:marRight w:val="0"/>
      <w:marTop w:val="0"/>
      <w:marBottom w:val="0"/>
      <w:divBdr>
        <w:top w:val="none" w:sz="0" w:space="0" w:color="auto"/>
        <w:left w:val="none" w:sz="0" w:space="0" w:color="auto"/>
        <w:bottom w:val="none" w:sz="0" w:space="0" w:color="auto"/>
        <w:right w:val="none" w:sz="0" w:space="0" w:color="auto"/>
      </w:divBdr>
    </w:div>
    <w:div w:id="349720343">
      <w:bodyDiv w:val="1"/>
      <w:marLeft w:val="0"/>
      <w:marRight w:val="0"/>
      <w:marTop w:val="0"/>
      <w:marBottom w:val="0"/>
      <w:divBdr>
        <w:top w:val="none" w:sz="0" w:space="0" w:color="auto"/>
        <w:left w:val="none" w:sz="0" w:space="0" w:color="auto"/>
        <w:bottom w:val="none" w:sz="0" w:space="0" w:color="auto"/>
        <w:right w:val="none" w:sz="0" w:space="0" w:color="auto"/>
      </w:divBdr>
    </w:div>
    <w:div w:id="508062521">
      <w:bodyDiv w:val="1"/>
      <w:marLeft w:val="0"/>
      <w:marRight w:val="0"/>
      <w:marTop w:val="0"/>
      <w:marBottom w:val="0"/>
      <w:divBdr>
        <w:top w:val="none" w:sz="0" w:space="0" w:color="auto"/>
        <w:left w:val="none" w:sz="0" w:space="0" w:color="auto"/>
        <w:bottom w:val="none" w:sz="0" w:space="0" w:color="auto"/>
        <w:right w:val="none" w:sz="0" w:space="0" w:color="auto"/>
      </w:divBdr>
    </w:div>
    <w:div w:id="559023676">
      <w:bodyDiv w:val="1"/>
      <w:marLeft w:val="0"/>
      <w:marRight w:val="0"/>
      <w:marTop w:val="0"/>
      <w:marBottom w:val="0"/>
      <w:divBdr>
        <w:top w:val="none" w:sz="0" w:space="0" w:color="auto"/>
        <w:left w:val="none" w:sz="0" w:space="0" w:color="auto"/>
        <w:bottom w:val="none" w:sz="0" w:space="0" w:color="auto"/>
        <w:right w:val="none" w:sz="0" w:space="0" w:color="auto"/>
      </w:divBdr>
    </w:div>
    <w:div w:id="616063805">
      <w:bodyDiv w:val="1"/>
      <w:marLeft w:val="0"/>
      <w:marRight w:val="0"/>
      <w:marTop w:val="0"/>
      <w:marBottom w:val="0"/>
      <w:divBdr>
        <w:top w:val="none" w:sz="0" w:space="0" w:color="auto"/>
        <w:left w:val="none" w:sz="0" w:space="0" w:color="auto"/>
        <w:bottom w:val="none" w:sz="0" w:space="0" w:color="auto"/>
        <w:right w:val="none" w:sz="0" w:space="0" w:color="auto"/>
      </w:divBdr>
    </w:div>
    <w:div w:id="824126037">
      <w:bodyDiv w:val="1"/>
      <w:marLeft w:val="0"/>
      <w:marRight w:val="0"/>
      <w:marTop w:val="0"/>
      <w:marBottom w:val="0"/>
      <w:divBdr>
        <w:top w:val="none" w:sz="0" w:space="0" w:color="auto"/>
        <w:left w:val="none" w:sz="0" w:space="0" w:color="auto"/>
        <w:bottom w:val="none" w:sz="0" w:space="0" w:color="auto"/>
        <w:right w:val="none" w:sz="0" w:space="0" w:color="auto"/>
      </w:divBdr>
    </w:div>
    <w:div w:id="936249041">
      <w:bodyDiv w:val="1"/>
      <w:marLeft w:val="0"/>
      <w:marRight w:val="0"/>
      <w:marTop w:val="0"/>
      <w:marBottom w:val="0"/>
      <w:divBdr>
        <w:top w:val="none" w:sz="0" w:space="0" w:color="auto"/>
        <w:left w:val="none" w:sz="0" w:space="0" w:color="auto"/>
        <w:bottom w:val="none" w:sz="0" w:space="0" w:color="auto"/>
        <w:right w:val="none" w:sz="0" w:space="0" w:color="auto"/>
      </w:divBdr>
    </w:div>
    <w:div w:id="953752302">
      <w:bodyDiv w:val="1"/>
      <w:marLeft w:val="0"/>
      <w:marRight w:val="0"/>
      <w:marTop w:val="0"/>
      <w:marBottom w:val="0"/>
      <w:divBdr>
        <w:top w:val="none" w:sz="0" w:space="0" w:color="auto"/>
        <w:left w:val="none" w:sz="0" w:space="0" w:color="auto"/>
        <w:bottom w:val="none" w:sz="0" w:space="0" w:color="auto"/>
        <w:right w:val="none" w:sz="0" w:space="0" w:color="auto"/>
      </w:divBdr>
    </w:div>
    <w:div w:id="978462726">
      <w:bodyDiv w:val="1"/>
      <w:marLeft w:val="0"/>
      <w:marRight w:val="0"/>
      <w:marTop w:val="0"/>
      <w:marBottom w:val="0"/>
      <w:divBdr>
        <w:top w:val="none" w:sz="0" w:space="0" w:color="auto"/>
        <w:left w:val="none" w:sz="0" w:space="0" w:color="auto"/>
        <w:bottom w:val="none" w:sz="0" w:space="0" w:color="auto"/>
        <w:right w:val="none" w:sz="0" w:space="0" w:color="auto"/>
      </w:divBdr>
    </w:div>
    <w:div w:id="1020276690">
      <w:bodyDiv w:val="1"/>
      <w:marLeft w:val="0"/>
      <w:marRight w:val="0"/>
      <w:marTop w:val="0"/>
      <w:marBottom w:val="0"/>
      <w:divBdr>
        <w:top w:val="none" w:sz="0" w:space="0" w:color="auto"/>
        <w:left w:val="none" w:sz="0" w:space="0" w:color="auto"/>
        <w:bottom w:val="none" w:sz="0" w:space="0" w:color="auto"/>
        <w:right w:val="none" w:sz="0" w:space="0" w:color="auto"/>
      </w:divBdr>
    </w:div>
    <w:div w:id="1116216329">
      <w:bodyDiv w:val="1"/>
      <w:marLeft w:val="0"/>
      <w:marRight w:val="0"/>
      <w:marTop w:val="0"/>
      <w:marBottom w:val="0"/>
      <w:divBdr>
        <w:top w:val="none" w:sz="0" w:space="0" w:color="auto"/>
        <w:left w:val="none" w:sz="0" w:space="0" w:color="auto"/>
        <w:bottom w:val="none" w:sz="0" w:space="0" w:color="auto"/>
        <w:right w:val="none" w:sz="0" w:space="0" w:color="auto"/>
      </w:divBdr>
    </w:div>
    <w:div w:id="1283345983">
      <w:bodyDiv w:val="1"/>
      <w:marLeft w:val="0"/>
      <w:marRight w:val="0"/>
      <w:marTop w:val="0"/>
      <w:marBottom w:val="0"/>
      <w:divBdr>
        <w:top w:val="none" w:sz="0" w:space="0" w:color="auto"/>
        <w:left w:val="none" w:sz="0" w:space="0" w:color="auto"/>
        <w:bottom w:val="none" w:sz="0" w:space="0" w:color="auto"/>
        <w:right w:val="none" w:sz="0" w:space="0" w:color="auto"/>
      </w:divBdr>
    </w:div>
    <w:div w:id="1285234871">
      <w:bodyDiv w:val="1"/>
      <w:marLeft w:val="0"/>
      <w:marRight w:val="0"/>
      <w:marTop w:val="0"/>
      <w:marBottom w:val="0"/>
      <w:divBdr>
        <w:top w:val="none" w:sz="0" w:space="0" w:color="auto"/>
        <w:left w:val="none" w:sz="0" w:space="0" w:color="auto"/>
        <w:bottom w:val="none" w:sz="0" w:space="0" w:color="auto"/>
        <w:right w:val="none" w:sz="0" w:space="0" w:color="auto"/>
      </w:divBdr>
    </w:div>
    <w:div w:id="1354653612">
      <w:bodyDiv w:val="1"/>
      <w:marLeft w:val="0"/>
      <w:marRight w:val="0"/>
      <w:marTop w:val="0"/>
      <w:marBottom w:val="0"/>
      <w:divBdr>
        <w:top w:val="none" w:sz="0" w:space="0" w:color="auto"/>
        <w:left w:val="none" w:sz="0" w:space="0" w:color="auto"/>
        <w:bottom w:val="none" w:sz="0" w:space="0" w:color="auto"/>
        <w:right w:val="none" w:sz="0" w:space="0" w:color="auto"/>
      </w:divBdr>
    </w:div>
    <w:div w:id="1488324768">
      <w:bodyDiv w:val="1"/>
      <w:marLeft w:val="0"/>
      <w:marRight w:val="0"/>
      <w:marTop w:val="0"/>
      <w:marBottom w:val="0"/>
      <w:divBdr>
        <w:top w:val="none" w:sz="0" w:space="0" w:color="auto"/>
        <w:left w:val="none" w:sz="0" w:space="0" w:color="auto"/>
        <w:bottom w:val="none" w:sz="0" w:space="0" w:color="auto"/>
        <w:right w:val="none" w:sz="0" w:space="0" w:color="auto"/>
      </w:divBdr>
    </w:div>
    <w:div w:id="1493721533">
      <w:bodyDiv w:val="1"/>
      <w:marLeft w:val="0"/>
      <w:marRight w:val="0"/>
      <w:marTop w:val="0"/>
      <w:marBottom w:val="0"/>
      <w:divBdr>
        <w:top w:val="none" w:sz="0" w:space="0" w:color="auto"/>
        <w:left w:val="none" w:sz="0" w:space="0" w:color="auto"/>
        <w:bottom w:val="none" w:sz="0" w:space="0" w:color="auto"/>
        <w:right w:val="none" w:sz="0" w:space="0" w:color="auto"/>
      </w:divBdr>
    </w:div>
    <w:div w:id="1558467534">
      <w:bodyDiv w:val="1"/>
      <w:marLeft w:val="0"/>
      <w:marRight w:val="0"/>
      <w:marTop w:val="0"/>
      <w:marBottom w:val="0"/>
      <w:divBdr>
        <w:top w:val="none" w:sz="0" w:space="0" w:color="auto"/>
        <w:left w:val="none" w:sz="0" w:space="0" w:color="auto"/>
        <w:bottom w:val="none" w:sz="0" w:space="0" w:color="auto"/>
        <w:right w:val="none" w:sz="0" w:space="0" w:color="auto"/>
      </w:divBdr>
    </w:div>
    <w:div w:id="1644507737">
      <w:bodyDiv w:val="1"/>
      <w:marLeft w:val="0"/>
      <w:marRight w:val="0"/>
      <w:marTop w:val="0"/>
      <w:marBottom w:val="0"/>
      <w:divBdr>
        <w:top w:val="none" w:sz="0" w:space="0" w:color="auto"/>
        <w:left w:val="none" w:sz="0" w:space="0" w:color="auto"/>
        <w:bottom w:val="none" w:sz="0" w:space="0" w:color="auto"/>
        <w:right w:val="none" w:sz="0" w:space="0" w:color="auto"/>
      </w:divBdr>
    </w:div>
    <w:div w:id="1665548428">
      <w:bodyDiv w:val="1"/>
      <w:marLeft w:val="0"/>
      <w:marRight w:val="0"/>
      <w:marTop w:val="0"/>
      <w:marBottom w:val="0"/>
      <w:divBdr>
        <w:top w:val="none" w:sz="0" w:space="0" w:color="auto"/>
        <w:left w:val="none" w:sz="0" w:space="0" w:color="auto"/>
        <w:bottom w:val="none" w:sz="0" w:space="0" w:color="auto"/>
        <w:right w:val="none" w:sz="0" w:space="0" w:color="auto"/>
      </w:divBdr>
    </w:div>
    <w:div w:id="1685284794">
      <w:bodyDiv w:val="1"/>
      <w:marLeft w:val="0"/>
      <w:marRight w:val="0"/>
      <w:marTop w:val="0"/>
      <w:marBottom w:val="0"/>
      <w:divBdr>
        <w:top w:val="none" w:sz="0" w:space="0" w:color="auto"/>
        <w:left w:val="none" w:sz="0" w:space="0" w:color="auto"/>
        <w:bottom w:val="none" w:sz="0" w:space="0" w:color="auto"/>
        <w:right w:val="none" w:sz="0" w:space="0" w:color="auto"/>
      </w:divBdr>
    </w:div>
    <w:div w:id="1753970092">
      <w:bodyDiv w:val="1"/>
      <w:marLeft w:val="0"/>
      <w:marRight w:val="0"/>
      <w:marTop w:val="0"/>
      <w:marBottom w:val="0"/>
      <w:divBdr>
        <w:top w:val="none" w:sz="0" w:space="0" w:color="auto"/>
        <w:left w:val="none" w:sz="0" w:space="0" w:color="auto"/>
        <w:bottom w:val="none" w:sz="0" w:space="0" w:color="auto"/>
        <w:right w:val="none" w:sz="0" w:space="0" w:color="auto"/>
      </w:divBdr>
    </w:div>
    <w:div w:id="1759449826">
      <w:bodyDiv w:val="1"/>
      <w:marLeft w:val="0"/>
      <w:marRight w:val="0"/>
      <w:marTop w:val="0"/>
      <w:marBottom w:val="0"/>
      <w:divBdr>
        <w:top w:val="none" w:sz="0" w:space="0" w:color="auto"/>
        <w:left w:val="none" w:sz="0" w:space="0" w:color="auto"/>
        <w:bottom w:val="none" w:sz="0" w:space="0" w:color="auto"/>
        <w:right w:val="none" w:sz="0" w:space="0" w:color="auto"/>
      </w:divBdr>
    </w:div>
    <w:div w:id="1788500119">
      <w:bodyDiv w:val="1"/>
      <w:marLeft w:val="0"/>
      <w:marRight w:val="0"/>
      <w:marTop w:val="0"/>
      <w:marBottom w:val="0"/>
      <w:divBdr>
        <w:top w:val="none" w:sz="0" w:space="0" w:color="auto"/>
        <w:left w:val="none" w:sz="0" w:space="0" w:color="auto"/>
        <w:bottom w:val="none" w:sz="0" w:space="0" w:color="auto"/>
        <w:right w:val="none" w:sz="0" w:space="0" w:color="auto"/>
      </w:divBdr>
    </w:div>
    <w:div w:id="1790853423">
      <w:bodyDiv w:val="1"/>
      <w:marLeft w:val="0"/>
      <w:marRight w:val="0"/>
      <w:marTop w:val="0"/>
      <w:marBottom w:val="0"/>
      <w:divBdr>
        <w:top w:val="none" w:sz="0" w:space="0" w:color="auto"/>
        <w:left w:val="none" w:sz="0" w:space="0" w:color="auto"/>
        <w:bottom w:val="none" w:sz="0" w:space="0" w:color="auto"/>
        <w:right w:val="none" w:sz="0" w:space="0" w:color="auto"/>
      </w:divBdr>
    </w:div>
    <w:div w:id="1905682861">
      <w:bodyDiv w:val="1"/>
      <w:marLeft w:val="0"/>
      <w:marRight w:val="0"/>
      <w:marTop w:val="0"/>
      <w:marBottom w:val="0"/>
      <w:divBdr>
        <w:top w:val="none" w:sz="0" w:space="0" w:color="auto"/>
        <w:left w:val="none" w:sz="0" w:space="0" w:color="auto"/>
        <w:bottom w:val="none" w:sz="0" w:space="0" w:color="auto"/>
        <w:right w:val="none" w:sz="0" w:space="0" w:color="auto"/>
      </w:divBdr>
    </w:div>
    <w:div w:id="2073700014">
      <w:bodyDiv w:val="1"/>
      <w:marLeft w:val="0"/>
      <w:marRight w:val="0"/>
      <w:marTop w:val="0"/>
      <w:marBottom w:val="0"/>
      <w:divBdr>
        <w:top w:val="none" w:sz="0" w:space="0" w:color="auto"/>
        <w:left w:val="none" w:sz="0" w:space="0" w:color="auto"/>
        <w:bottom w:val="none" w:sz="0" w:space="0" w:color="auto"/>
        <w:right w:val="none" w:sz="0" w:space="0" w:color="auto"/>
      </w:divBdr>
    </w:div>
    <w:div w:id="2113282882">
      <w:bodyDiv w:val="1"/>
      <w:marLeft w:val="0"/>
      <w:marRight w:val="0"/>
      <w:marTop w:val="0"/>
      <w:marBottom w:val="0"/>
      <w:divBdr>
        <w:top w:val="none" w:sz="0" w:space="0" w:color="auto"/>
        <w:left w:val="none" w:sz="0" w:space="0" w:color="auto"/>
        <w:bottom w:val="none" w:sz="0" w:space="0" w:color="auto"/>
        <w:right w:val="none" w:sz="0" w:space="0" w:color="auto"/>
      </w:divBdr>
    </w:div>
    <w:div w:id="2114470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tulit@siseministeerium.e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riigikantselei.ee/valitsuslogo" TargetMode="External"/><Relationship Id="rId4" Type="http://schemas.openxmlformats.org/officeDocument/2006/relationships/settings" Target="settings.xml"/><Relationship Id="rId9" Type="http://schemas.openxmlformats.org/officeDocument/2006/relationships/hyperlink" Target="https://kysk.ee/taotlejal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riigiteataja.ee/akt/121022024004" TargetMode="External"/><Relationship Id="rId2" Type="http://schemas.openxmlformats.org/officeDocument/2006/relationships/hyperlink" Target="https://eis.ee/teenused/suursundmused/?utm_source=chatgpt.com" TargetMode="External"/><Relationship Id="rId1" Type="http://schemas.openxmlformats.org/officeDocument/2006/relationships/hyperlink" Target="https://www.fin.ee/riigihanked-riigiabi-osalused/riigiabi/vahese-tahtsusega-ab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7B06B-6B76-4CF2-9465-6C732B183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18</Pages>
  <Words>7731</Words>
  <Characters>44841</Characters>
  <Application>Microsoft Office Word</Application>
  <DocSecurity>0</DocSecurity>
  <Lines>373</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Tulit</dc:creator>
  <cp:keywords/>
  <dc:description/>
  <cp:lastModifiedBy>Erik Salumäe</cp:lastModifiedBy>
  <cp:revision>9</cp:revision>
  <dcterms:created xsi:type="dcterms:W3CDTF">2025-10-14T06:39:00Z</dcterms:created>
  <dcterms:modified xsi:type="dcterms:W3CDTF">2025-10-14T20:01:00Z</dcterms:modified>
</cp:coreProperties>
</file>