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0E47" w14:textId="2F864415" w:rsidR="00920F7A" w:rsidRPr="009E3CC9" w:rsidRDefault="00920F7A" w:rsidP="00920F7A">
      <w:pPr>
        <w:pStyle w:val="Heading1"/>
        <w:rPr>
          <w:lang w:val="en-GB"/>
        </w:rPr>
        <w:sectPr w:rsidR="00920F7A" w:rsidRPr="009E3CC9" w:rsidSect="00323283">
          <w:headerReference w:type="default" r:id="rId8"/>
          <w:footerReference w:type="default" r:id="rId9"/>
          <w:headerReference w:type="first" r:id="rId10"/>
          <w:pgSz w:w="11906" w:h="16838" w:code="9"/>
          <w:pgMar w:top="1440" w:right="1440" w:bottom="851" w:left="1440" w:header="737" w:footer="261" w:gutter="0"/>
          <w:cols w:space="708"/>
          <w:titlePg/>
          <w:docGrid w:linePitch="360"/>
        </w:sectPr>
      </w:pPr>
      <w:bookmarkStart w:id="0" w:name="_Toc67250175"/>
      <w:r w:rsidRPr="009E3CC9">
        <w:rPr>
          <w:rFonts w:eastAsia="Microsoft JhengHei"/>
          <w:noProof/>
          <w:color w:val="006292"/>
          <w:lang w:val="en-GB"/>
        </w:rPr>
        <mc:AlternateContent>
          <mc:Choice Requires="wps">
            <w:drawing>
              <wp:anchor distT="0" distB="0" distL="114300" distR="114300" simplePos="0" relativeHeight="251658240" behindDoc="0" locked="0" layoutInCell="1" allowOverlap="1" wp14:anchorId="067A51B6" wp14:editId="6F7F102D">
                <wp:simplePos x="0" y="0"/>
                <wp:positionH relativeFrom="page">
                  <wp:posOffset>642459</wp:posOffset>
                </wp:positionH>
                <wp:positionV relativeFrom="paragraph">
                  <wp:posOffset>823595</wp:posOffset>
                </wp:positionV>
                <wp:extent cx="6161405" cy="7048500"/>
                <wp:effectExtent l="0" t="0" r="10795" b="0"/>
                <wp:wrapNone/>
                <wp:docPr id="5" name="Rectangle 5"/>
                <wp:cNvGraphicFramePr/>
                <a:graphic xmlns:a="http://schemas.openxmlformats.org/drawingml/2006/main">
                  <a:graphicData uri="http://schemas.microsoft.com/office/word/2010/wordprocessingShape">
                    <wps:wsp>
                      <wps:cNvSpPr/>
                      <wps:spPr>
                        <a:xfrm>
                          <a:off x="0" y="0"/>
                          <a:ext cx="6161405" cy="7048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4EFCE" w14:textId="1F36C457" w:rsidR="0070140A" w:rsidRPr="00CD6582" w:rsidRDefault="00CE7E83" w:rsidP="00721C04">
                            <w:pPr>
                              <w:pStyle w:val="Title"/>
                              <w:ind w:right="44"/>
                              <w:rPr>
                                <w:spacing w:val="40"/>
                                <w:lang w:val="sl-SI"/>
                              </w:rPr>
                            </w:pPr>
                            <w:r w:rsidRPr="00CD6582">
                              <w:rPr>
                                <w:color w:val="004FEE" w:themeColor="text2"/>
                                <w:spacing w:val="40"/>
                                <w:sz w:val="80"/>
                                <w:szCs w:val="80"/>
                                <w:lang w:val="en-US"/>
                              </w:rPr>
                              <w:t>OPINION</w:t>
                            </w:r>
                            <w:r w:rsidR="00CD6582">
                              <w:rPr>
                                <w:color w:val="004FEE" w:themeColor="text2"/>
                                <w:spacing w:val="40"/>
                                <w:lang w:val="en-US"/>
                              </w:rPr>
                              <w:tab/>
                            </w:r>
                            <w:r w:rsidR="00CD6582" w:rsidRPr="00804F29">
                              <w:rPr>
                                <w:color w:val="004FEE" w:themeColor="text2"/>
                                <w:sz w:val="32"/>
                                <w:szCs w:val="8"/>
                                <w:lang w:val="en-US"/>
                              </w:rPr>
                              <w:t>No XX/202</w:t>
                            </w:r>
                            <w:r w:rsidR="000655CD">
                              <w:rPr>
                                <w:color w:val="004FEE" w:themeColor="text2"/>
                                <w:sz w:val="32"/>
                                <w:szCs w:val="8"/>
                                <w:lang w:val="en-US"/>
                              </w:rPr>
                              <w:t>6</w:t>
                            </w:r>
                          </w:p>
                          <w:p w14:paraId="3AC07E87" w14:textId="54737A71" w:rsidR="0070140A" w:rsidRPr="00CD6582" w:rsidRDefault="00CD6582" w:rsidP="00721C04">
                            <w:pPr>
                              <w:pStyle w:val="Subtitle"/>
                              <w:rPr>
                                <w:sz w:val="40"/>
                                <w:szCs w:val="40"/>
                                <w:lang w:val="sl-SI"/>
                              </w:rPr>
                            </w:pPr>
                            <w:r w:rsidRPr="00CD6582">
                              <w:rPr>
                                <w:sz w:val="40"/>
                                <w:szCs w:val="40"/>
                              </w:rPr>
                              <w:t>on</w:t>
                            </w:r>
                            <w:r w:rsidR="000655CD">
                              <w:rPr>
                                <w:sz w:val="40"/>
                                <w:szCs w:val="40"/>
                              </w:rPr>
                              <w:t xml:space="preserve"> </w:t>
                            </w:r>
                            <w:r w:rsidR="000655CD" w:rsidRPr="00B954C6">
                              <w:rPr>
                                <w:sz w:val="40"/>
                                <w:szCs w:val="40"/>
                              </w:rPr>
                              <w:t xml:space="preserve">the derogation request </w:t>
                            </w:r>
                            <w:r w:rsidR="00E35AEA" w:rsidRPr="00B954C6">
                              <w:rPr>
                                <w:sz w:val="40"/>
                                <w:szCs w:val="40"/>
                              </w:rPr>
                              <w:t xml:space="preserve">submitted by </w:t>
                            </w:r>
                            <w:r w:rsidR="00915465" w:rsidRPr="00B954C6">
                              <w:rPr>
                                <w:sz w:val="40"/>
                                <w:szCs w:val="40"/>
                              </w:rPr>
                              <w:t>ECA</w:t>
                            </w:r>
                            <w:r w:rsidR="00E35AEA" w:rsidRPr="00B954C6">
                              <w:rPr>
                                <w:sz w:val="40"/>
                                <w:szCs w:val="40"/>
                              </w:rPr>
                              <w:t xml:space="preserve"> </w:t>
                            </w:r>
                            <w:r w:rsidR="000655CD" w:rsidRPr="00B954C6">
                              <w:rPr>
                                <w:sz w:val="40"/>
                                <w:szCs w:val="40"/>
                              </w:rPr>
                              <w:t xml:space="preserve">from the application of the </w:t>
                            </w:r>
                            <w:r w:rsidR="00E35AEA" w:rsidRPr="00B954C6">
                              <w:rPr>
                                <w:sz w:val="40"/>
                                <w:szCs w:val="40"/>
                              </w:rPr>
                              <w:t xml:space="preserve">gas </w:t>
                            </w:r>
                            <w:r w:rsidR="000655CD" w:rsidRPr="00B954C6">
                              <w:rPr>
                                <w:sz w:val="40"/>
                                <w:szCs w:val="40"/>
                              </w:rPr>
                              <w:t>network codes and guidelines, referred</w:t>
                            </w:r>
                            <w:r w:rsidR="00A11258">
                              <w:rPr>
                                <w:sz w:val="40"/>
                                <w:szCs w:val="40"/>
                              </w:rPr>
                              <w:t xml:space="preserve"> </w:t>
                            </w:r>
                            <w:r w:rsidR="000655CD" w:rsidRPr="00B954C6">
                              <w:rPr>
                                <w:sz w:val="40"/>
                                <w:szCs w:val="40"/>
                              </w:rPr>
                              <w:t>to Article 70</w:t>
                            </w:r>
                            <w:r w:rsidR="00C01410" w:rsidRPr="00B954C6">
                              <w:rPr>
                                <w:sz w:val="40"/>
                                <w:szCs w:val="40"/>
                              </w:rPr>
                              <w:t>(1)</w:t>
                            </w:r>
                            <w:r w:rsidR="000655CD" w:rsidRPr="00B954C6">
                              <w:rPr>
                                <w:sz w:val="40"/>
                                <w:szCs w:val="40"/>
                              </w:rPr>
                              <w:t xml:space="preserve"> of Regulation (EU) 2024/1789, at entry point</w:t>
                            </w:r>
                            <w:r w:rsidR="00E35AEA" w:rsidRPr="00B954C6">
                              <w:rPr>
                                <w:sz w:val="40"/>
                                <w:szCs w:val="40"/>
                              </w:rPr>
                              <w:t>s</w:t>
                            </w:r>
                            <w:r w:rsidR="000655CD" w:rsidRPr="00B954C6">
                              <w:rPr>
                                <w:sz w:val="40"/>
                                <w:szCs w:val="40"/>
                              </w:rPr>
                              <w:t xml:space="preserve"> from and </w:t>
                            </w:r>
                            <w:r w:rsidR="000655CD">
                              <w:rPr>
                                <w:sz w:val="40"/>
                                <w:szCs w:val="40"/>
                              </w:rPr>
                              <w:t xml:space="preserve">exit points to </w:t>
                            </w:r>
                            <w:r w:rsidR="00915465">
                              <w:rPr>
                                <w:sz w:val="40"/>
                                <w:szCs w:val="40"/>
                              </w:rPr>
                              <w:t>the Russian Federation</w:t>
                            </w:r>
                            <w:r w:rsidR="00E35AEA">
                              <w:rPr>
                                <w:sz w:val="40"/>
                                <w:szCs w:val="40"/>
                              </w:rPr>
                              <w:t>.</w:t>
                            </w:r>
                          </w:p>
                          <w:p w14:paraId="05C2C438" w14:textId="2EC34D87" w:rsidR="0070140A" w:rsidRPr="00CD6582" w:rsidRDefault="005D31D8" w:rsidP="00CD6582">
                            <w:pPr>
                              <w:pStyle w:val="Time"/>
                              <w:spacing w:before="600"/>
                              <w:rPr>
                                <w:b w:val="0"/>
                                <w:bCs w:val="0"/>
                                <w:lang w:val="en-US"/>
                              </w:rPr>
                            </w:pPr>
                            <w:r>
                              <w:rPr>
                                <w:b w:val="0"/>
                                <w:bCs w:val="0"/>
                              </w:rPr>
                              <w:t>x</w:t>
                            </w:r>
                            <w:r w:rsidR="00721C04">
                              <w:rPr>
                                <w:b w:val="0"/>
                                <w:bCs w:val="0"/>
                              </w:rPr>
                              <w:t xml:space="preserve"> </w:t>
                            </w:r>
                            <w:r>
                              <w:rPr>
                                <w:b w:val="0"/>
                                <w:bCs w:val="0"/>
                              </w:rPr>
                              <w:t xml:space="preserve">April </w:t>
                            </w:r>
                            <w:r w:rsidR="00721C04">
                              <w:rPr>
                                <w:b w:val="0"/>
                                <w:bCs w:val="0"/>
                              </w:rPr>
                              <w:t>2026</w:t>
                            </w:r>
                          </w:p>
                        </w:txbxContent>
                      </wps:txbx>
                      <wps:bodyPr rot="0" spcFirstLastPara="0" vertOverflow="overflow" horzOverflow="overflow" vert="horz" wrap="square" lIns="0" tIns="72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A51B6" id="Rectangle 5" o:spid="_x0000_s1026" style="position:absolute;left:0;text-align:left;margin-left:50.6pt;margin-top:64.85pt;width:485.15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" filled="f" stroked="f" strokeweight="1pt">
                <v:textbox inset="0,20mm,0,0">
                  <w:txbxContent>
                    <w:p w14:paraId="2694EFCE" w14:textId="1F36C457" w:rsidR="0070140A" w:rsidRPr="00CD6582" w:rsidRDefault="00CE7E83" w:rsidP="00721C04">
                      <w:pPr>
                        <w:pStyle w:val="Title"/>
                        <w:ind w:right="44"/>
                        <w:rPr>
                          <w:spacing w:val="40"/>
                          <w:lang w:val="sl-SI"/>
                        </w:rPr>
                      </w:pPr>
                      <w:r w:rsidRPr="00CD6582">
                        <w:rPr>
                          <w:color w:val="004FEE" w:themeColor="text2"/>
                          <w:spacing w:val="40"/>
                          <w:sz w:val="80"/>
                          <w:szCs w:val="80"/>
                          <w:lang w:val="en-US"/>
                        </w:rPr>
                        <w:t>OPINION</w:t>
                      </w:r>
                      <w:r w:rsidR="00CD6582">
                        <w:rPr>
                          <w:color w:val="004FEE" w:themeColor="text2"/>
                          <w:spacing w:val="40"/>
                          <w:lang w:val="en-US"/>
                        </w:rPr>
                        <w:tab/>
                      </w:r>
                      <w:r w:rsidR="00CD6582" w:rsidRPr="00804F29">
                        <w:rPr>
                          <w:color w:val="004FEE" w:themeColor="text2"/>
                          <w:sz w:val="32"/>
                          <w:szCs w:val="8"/>
                          <w:lang w:val="en-US"/>
                        </w:rPr>
                        <w:t>No XX/202</w:t>
                      </w:r>
                      <w:r w:rsidR="000655CD">
                        <w:rPr>
                          <w:color w:val="004FEE" w:themeColor="text2"/>
                          <w:sz w:val="32"/>
                          <w:szCs w:val="8"/>
                          <w:lang w:val="en-US"/>
                        </w:rPr>
                        <w:t>6</w:t>
                      </w:r>
                    </w:p>
                    <w:p w14:paraId="3AC07E87" w14:textId="54737A71" w:rsidR="0070140A" w:rsidRPr="00CD6582" w:rsidRDefault="00CD6582" w:rsidP="00721C04">
                      <w:pPr>
                        <w:pStyle w:val="Subtitle"/>
                        <w:rPr>
                          <w:sz w:val="40"/>
                          <w:szCs w:val="40"/>
                          <w:lang w:val="sl-SI"/>
                        </w:rPr>
                      </w:pPr>
                      <w:r w:rsidRPr="00CD6582">
                        <w:rPr>
                          <w:sz w:val="40"/>
                          <w:szCs w:val="40"/>
                        </w:rPr>
                        <w:t>on</w:t>
                      </w:r>
                      <w:r w:rsidR="000655CD">
                        <w:rPr>
                          <w:sz w:val="40"/>
                          <w:szCs w:val="40"/>
                        </w:rPr>
                        <w:t xml:space="preserve"> </w:t>
                      </w:r>
                      <w:r w:rsidR="000655CD" w:rsidRPr="00B954C6">
                        <w:rPr>
                          <w:sz w:val="40"/>
                          <w:szCs w:val="40"/>
                        </w:rPr>
                        <w:t xml:space="preserve">the derogation request </w:t>
                      </w:r>
                      <w:r w:rsidR="00E35AEA" w:rsidRPr="00B954C6">
                        <w:rPr>
                          <w:sz w:val="40"/>
                          <w:szCs w:val="40"/>
                        </w:rPr>
                        <w:t xml:space="preserve">submitted by </w:t>
                      </w:r>
                      <w:r w:rsidR="00915465" w:rsidRPr="00B954C6">
                        <w:rPr>
                          <w:sz w:val="40"/>
                          <w:szCs w:val="40"/>
                        </w:rPr>
                        <w:t>ECA</w:t>
                      </w:r>
                      <w:r w:rsidR="00E35AEA" w:rsidRPr="00B954C6">
                        <w:rPr>
                          <w:sz w:val="40"/>
                          <w:szCs w:val="40"/>
                        </w:rPr>
                        <w:t xml:space="preserve"> </w:t>
                      </w:r>
                      <w:r w:rsidR="000655CD" w:rsidRPr="00B954C6">
                        <w:rPr>
                          <w:sz w:val="40"/>
                          <w:szCs w:val="40"/>
                        </w:rPr>
                        <w:t xml:space="preserve">from the application of the </w:t>
                      </w:r>
                      <w:r w:rsidR="00E35AEA" w:rsidRPr="00B954C6">
                        <w:rPr>
                          <w:sz w:val="40"/>
                          <w:szCs w:val="40"/>
                        </w:rPr>
                        <w:t xml:space="preserve">gas </w:t>
                      </w:r>
                      <w:r w:rsidR="000655CD" w:rsidRPr="00B954C6">
                        <w:rPr>
                          <w:sz w:val="40"/>
                          <w:szCs w:val="40"/>
                        </w:rPr>
                        <w:t>network codes and guidelines, referred</w:t>
                      </w:r>
                      <w:r w:rsidR="00A11258">
                        <w:rPr>
                          <w:sz w:val="40"/>
                          <w:szCs w:val="40"/>
                        </w:rPr>
                        <w:t xml:space="preserve"> </w:t>
                      </w:r>
                      <w:r w:rsidR="000655CD" w:rsidRPr="00B954C6">
                        <w:rPr>
                          <w:sz w:val="40"/>
                          <w:szCs w:val="40"/>
                        </w:rPr>
                        <w:t>to Article 70</w:t>
                      </w:r>
                      <w:r w:rsidR="00C01410" w:rsidRPr="00B954C6">
                        <w:rPr>
                          <w:sz w:val="40"/>
                          <w:szCs w:val="40"/>
                        </w:rPr>
                        <w:t>(1)</w:t>
                      </w:r>
                      <w:r w:rsidR="000655CD" w:rsidRPr="00B954C6">
                        <w:rPr>
                          <w:sz w:val="40"/>
                          <w:szCs w:val="40"/>
                        </w:rPr>
                        <w:t xml:space="preserve"> of Regulation (EU) 2024/1789, at entry point</w:t>
                      </w:r>
                      <w:r w:rsidR="00E35AEA" w:rsidRPr="00B954C6">
                        <w:rPr>
                          <w:sz w:val="40"/>
                          <w:szCs w:val="40"/>
                        </w:rPr>
                        <w:t>s</w:t>
                      </w:r>
                      <w:r w:rsidR="000655CD" w:rsidRPr="00B954C6">
                        <w:rPr>
                          <w:sz w:val="40"/>
                          <w:szCs w:val="40"/>
                        </w:rPr>
                        <w:t xml:space="preserve"> from and </w:t>
                      </w:r>
                      <w:r w:rsidR="000655CD">
                        <w:rPr>
                          <w:sz w:val="40"/>
                          <w:szCs w:val="40"/>
                        </w:rPr>
                        <w:t xml:space="preserve">exit points to </w:t>
                      </w:r>
                      <w:r w:rsidR="00915465">
                        <w:rPr>
                          <w:sz w:val="40"/>
                          <w:szCs w:val="40"/>
                        </w:rPr>
                        <w:t>the Russian Federation</w:t>
                      </w:r>
                      <w:r w:rsidR="00E35AEA">
                        <w:rPr>
                          <w:sz w:val="40"/>
                          <w:szCs w:val="40"/>
                        </w:rPr>
                        <w:t>.</w:t>
                      </w:r>
                    </w:p>
                    <w:p w14:paraId="05C2C438" w14:textId="2EC34D87" w:rsidR="0070140A" w:rsidRPr="00CD6582" w:rsidRDefault="005D31D8" w:rsidP="00CD6582">
                      <w:pPr>
                        <w:pStyle w:val="Time"/>
                        <w:spacing w:before="600"/>
                        <w:rPr>
                          <w:b w:val="0"/>
                          <w:bCs w:val="0"/>
                          <w:lang w:val="en-US"/>
                        </w:rPr>
                      </w:pPr>
                      <w:r>
                        <w:rPr>
                          <w:b w:val="0"/>
                          <w:bCs w:val="0"/>
                        </w:rPr>
                        <w:t>x</w:t>
                      </w:r>
                      <w:r w:rsidR="00721C04">
                        <w:rPr>
                          <w:b w:val="0"/>
                          <w:bCs w:val="0"/>
                        </w:rPr>
                        <w:t xml:space="preserve"> </w:t>
                      </w:r>
                      <w:r>
                        <w:rPr>
                          <w:b w:val="0"/>
                          <w:bCs w:val="0"/>
                        </w:rPr>
                        <w:t xml:space="preserve">April </w:t>
                      </w:r>
                      <w:r w:rsidR="00721C04">
                        <w:rPr>
                          <w:b w:val="0"/>
                          <w:bCs w:val="0"/>
                        </w:rPr>
                        <w:t>2026</w:t>
                      </w:r>
                    </w:p>
                  </w:txbxContent>
                </v:textbox>
                <w10:wrap anchorx="page"/>
              </v:rect>
            </w:pict>
          </mc:Fallback>
        </mc:AlternateContent>
      </w:r>
      <w:r w:rsidRPr="009E3CC9">
        <w:rPr>
          <w:noProof/>
          <w:sz w:val="72"/>
          <w:szCs w:val="72"/>
          <w:lang w:val="en-GB"/>
        </w:rPr>
        <mc:AlternateContent>
          <mc:Choice Requires="wps">
            <w:drawing>
              <wp:anchor distT="0" distB="0" distL="114300" distR="114300" simplePos="0" relativeHeight="251658241" behindDoc="0" locked="0" layoutInCell="1" allowOverlap="1" wp14:anchorId="3C97CE52" wp14:editId="26D2E972">
                <wp:simplePos x="0" y="0"/>
                <wp:positionH relativeFrom="page">
                  <wp:posOffset>-52705</wp:posOffset>
                </wp:positionH>
                <wp:positionV relativeFrom="paragraph">
                  <wp:posOffset>6037419</wp:posOffset>
                </wp:positionV>
                <wp:extent cx="7659014" cy="2875026"/>
                <wp:effectExtent l="0" t="0" r="0" b="1905"/>
                <wp:wrapNone/>
                <wp:docPr id="1196483379" name="Oval 8"/>
                <wp:cNvGraphicFramePr/>
                <a:graphic xmlns:a="http://schemas.openxmlformats.org/drawingml/2006/main">
                  <a:graphicData uri="http://schemas.microsoft.com/office/word/2010/wordprocessingShape">
                    <wps:wsp>
                      <wps:cNvSpPr/>
                      <wps:spPr>
                        <a:xfrm>
                          <a:off x="0" y="0"/>
                          <a:ext cx="7659014" cy="2875026"/>
                        </a:xfrm>
                        <a:prstGeom prst="rect">
                          <a:avLst/>
                        </a:prstGeom>
                        <a:gradFill>
                          <a:gsLst>
                            <a:gs pos="0">
                              <a:schemeClr val="accent1">
                                <a:lumMod val="5000"/>
                                <a:lumOff val="95000"/>
                                <a:alpha val="0"/>
                              </a:schemeClr>
                            </a:gs>
                            <a:gs pos="100000">
                              <a:schemeClr val="tx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891A" id="Oval 8" o:spid="_x0000_s1026" style="position:absolute;margin-left:-4.15pt;margin-top:475.4pt;width:603.05pt;height:226.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" fillcolor="#f8fcfd [180]" stroked="f" strokeweight="1pt">
                <v:fill opacity="0" color2="#004fee [3215]" focus="100%" type="gradient"/>
                <w10:wrap anchorx="page"/>
              </v:rect>
            </w:pict>
          </mc:Fallback>
        </mc:AlternateContent>
      </w:r>
      <w:r w:rsidR="00915465" w:rsidRPr="009E3CC9">
        <w:rPr>
          <w:lang w:val="en-GB"/>
        </w:rPr>
        <w:tab/>
      </w:r>
    </w:p>
    <w:p w14:paraId="782E9D72" w14:textId="77777777" w:rsidR="00B25FA0" w:rsidRPr="009E3CC9" w:rsidRDefault="00B25FA0" w:rsidP="00920F7A">
      <w:pPr>
        <w:pStyle w:val="Heading1"/>
        <w:rPr>
          <w:lang w:val="en-GB"/>
        </w:rPr>
      </w:pPr>
      <w:bookmarkStart w:id="1" w:name="_Toc204253812"/>
      <w:bookmarkEnd w:id="0"/>
      <w:r w:rsidRPr="009E3CC9">
        <w:rPr>
          <w:lang w:val="en-GB"/>
        </w:rPr>
        <w:lastRenderedPageBreak/>
        <w:t>Executive summary</w:t>
      </w:r>
      <w:bookmarkEnd w:id="1"/>
    </w:p>
    <w:p w14:paraId="3FE44102" w14:textId="2DFBD096" w:rsidR="0085695B" w:rsidRPr="009E3CC9" w:rsidRDefault="00C50639" w:rsidP="00920F7A">
      <w:pPr>
        <w:rPr>
          <w:b/>
          <w:bCs/>
        </w:rPr>
      </w:pPr>
      <w:r w:rsidRPr="009E3CC9">
        <w:t>Pursuant to Article 70</w:t>
      </w:r>
      <w:r w:rsidR="002301CC" w:rsidRPr="009E3CC9">
        <w:t xml:space="preserve"> </w:t>
      </w:r>
      <w:r w:rsidR="006042F6" w:rsidRPr="009E3CC9">
        <w:t>(3)</w:t>
      </w:r>
      <w:r w:rsidRPr="009E3CC9">
        <w:t xml:space="preserve"> </w:t>
      </w:r>
      <w:r w:rsidR="006042F6" w:rsidRPr="009E3CC9">
        <w:t>of</w:t>
      </w:r>
      <w:r w:rsidRPr="009E3CC9">
        <w:t xml:space="preserve"> Regulation (EU) 2024/1789</w:t>
      </w:r>
      <w:r w:rsidR="006042F6" w:rsidRPr="009E3CC9">
        <w:t xml:space="preserve"> (</w:t>
      </w:r>
      <w:r w:rsidR="002D7ACA">
        <w:t xml:space="preserve">‘recast </w:t>
      </w:r>
      <w:r w:rsidR="006042F6" w:rsidRPr="009E3CC9">
        <w:t>Gas Regulation</w:t>
      </w:r>
      <w:r w:rsidR="002D7ACA">
        <w:t>’</w:t>
      </w:r>
      <w:r w:rsidR="006042F6" w:rsidRPr="009E3CC9">
        <w:t>)</w:t>
      </w:r>
      <w:r w:rsidR="002D7ACA">
        <w:rPr>
          <w:rStyle w:val="FootnoteReference"/>
        </w:rPr>
        <w:footnoteReference w:id="1"/>
      </w:r>
      <w:r w:rsidRPr="009E3CC9">
        <w:t xml:space="preserve">, ACER </w:t>
      </w:r>
      <w:r w:rsidR="00B52D63" w:rsidRPr="009E3CC9">
        <w:t xml:space="preserve">is required to </w:t>
      </w:r>
      <w:r w:rsidR="00AA234A" w:rsidRPr="009E3CC9">
        <w:t xml:space="preserve">provide </w:t>
      </w:r>
      <w:r w:rsidR="001778CF" w:rsidRPr="009E3CC9">
        <w:t xml:space="preserve">the </w:t>
      </w:r>
      <w:r w:rsidR="006042F6" w:rsidRPr="009E3CC9">
        <w:t xml:space="preserve">European </w:t>
      </w:r>
      <w:r w:rsidR="001778CF" w:rsidRPr="009E3CC9">
        <w:t xml:space="preserve">Commission with </w:t>
      </w:r>
      <w:r w:rsidR="00AA234A" w:rsidRPr="009E3CC9">
        <w:t xml:space="preserve">a reasoned opinion within three months of the date of receipt of </w:t>
      </w:r>
      <w:r w:rsidRPr="009E3CC9">
        <w:t>a</w:t>
      </w:r>
      <w:r w:rsidR="00AA234A" w:rsidRPr="009E3CC9">
        <w:t xml:space="preserve"> request for a derogation</w:t>
      </w:r>
      <w:r w:rsidRPr="009E3CC9">
        <w:t xml:space="preserve"> submitted </w:t>
      </w:r>
      <w:r w:rsidR="00B52D63" w:rsidRPr="009E3CC9">
        <w:t xml:space="preserve">by a </w:t>
      </w:r>
      <w:r w:rsidR="006042F6" w:rsidRPr="009E3CC9">
        <w:t>national regulatory authority</w:t>
      </w:r>
      <w:r w:rsidR="00B52D63" w:rsidRPr="009E3CC9">
        <w:t xml:space="preserve"> </w:t>
      </w:r>
      <w:r w:rsidRPr="009E3CC9">
        <w:t xml:space="preserve">in line with the </w:t>
      </w:r>
      <w:proofErr w:type="gramStart"/>
      <w:r w:rsidRPr="009E3CC9">
        <w:t>a</w:t>
      </w:r>
      <w:r w:rsidR="001778CF" w:rsidRPr="009E3CC9">
        <w:t>fore</w:t>
      </w:r>
      <w:r w:rsidRPr="009E3CC9">
        <w:t>mentioned provision</w:t>
      </w:r>
      <w:proofErr w:type="gramEnd"/>
      <w:r w:rsidR="00AA234A" w:rsidRPr="009E3CC9">
        <w:t>.</w:t>
      </w:r>
      <w:r w:rsidR="0085695B" w:rsidRPr="009E3CC9">
        <w:rPr>
          <w:b/>
          <w:bCs/>
        </w:rPr>
        <w:t xml:space="preserve"> </w:t>
      </w:r>
    </w:p>
    <w:p w14:paraId="36A76360" w14:textId="365D33D9" w:rsidR="003C67D9" w:rsidRPr="009E3CC9" w:rsidRDefault="00B52D63" w:rsidP="003C67D9">
      <w:r w:rsidRPr="009E3CC9">
        <w:t xml:space="preserve">On </w:t>
      </w:r>
      <w:r w:rsidR="00915465" w:rsidRPr="009E3CC9">
        <w:t xml:space="preserve">2 February </w:t>
      </w:r>
      <w:r w:rsidRPr="009E3CC9">
        <w:t xml:space="preserve">2026, </w:t>
      </w:r>
      <w:r w:rsidR="006A1686" w:rsidRPr="009E3CC9">
        <w:t>the Estonian Competition Authority</w:t>
      </w:r>
      <w:r w:rsidRPr="009E3CC9">
        <w:t xml:space="preserve"> </w:t>
      </w:r>
      <w:r w:rsidR="009F5767" w:rsidRPr="009E3CC9">
        <w:t xml:space="preserve">(‘ECA’) </w:t>
      </w:r>
      <w:r w:rsidR="00227217" w:rsidRPr="009E3CC9">
        <w:t xml:space="preserve">submitted a </w:t>
      </w:r>
      <w:r w:rsidR="007E1CE5" w:rsidRPr="009E3CC9">
        <w:t xml:space="preserve">derogation request </w:t>
      </w:r>
      <w:r w:rsidR="00227217" w:rsidRPr="009E3CC9">
        <w:t xml:space="preserve">both to the </w:t>
      </w:r>
      <w:r w:rsidR="00405EE6" w:rsidRPr="009E3CC9">
        <w:t xml:space="preserve">European </w:t>
      </w:r>
      <w:r w:rsidR="00227217" w:rsidRPr="009E3CC9">
        <w:t xml:space="preserve">Commission and to ACER asking for a derogation </w:t>
      </w:r>
      <w:r w:rsidR="001778CF" w:rsidRPr="009E3CC9">
        <w:t>from the application</w:t>
      </w:r>
      <w:r w:rsidR="003C67D9" w:rsidRPr="009E3CC9">
        <w:t xml:space="preserve"> of all the gas Network Codes and Guidelines with reference to the Luhamaa interconnection point with the Russian Federation</w:t>
      </w:r>
      <w:r w:rsidR="00001DB3" w:rsidRPr="009E3CC9">
        <w:t xml:space="preserve"> </w:t>
      </w:r>
      <w:r w:rsidR="004649DD" w:rsidRPr="009E3CC9">
        <w:t>for an undetermined period, yet conditioned on that the current prohibition to import gas from Russian origin remains in place</w:t>
      </w:r>
      <w:r w:rsidR="003C67D9" w:rsidRPr="009E3CC9">
        <w:t>.</w:t>
      </w:r>
    </w:p>
    <w:p w14:paraId="2D3EFA44" w14:textId="79C6C101" w:rsidR="00440B23" w:rsidRPr="009E3CC9" w:rsidRDefault="00440B23" w:rsidP="00440B23">
      <w:pPr>
        <w:pStyle w:val="Recital"/>
        <w:numPr>
          <w:ilvl w:val="0"/>
          <w:numId w:val="0"/>
        </w:numPr>
        <w:rPr>
          <w:lang w:val="en-GB"/>
        </w:rPr>
      </w:pPr>
      <w:r w:rsidRPr="009E3CC9">
        <w:rPr>
          <w:lang w:val="en-GB"/>
        </w:rPr>
        <w:t xml:space="preserve">The Estonian gas transportation network is linked to the network of the Russian Federation through three points, i.e. Narva, Värska, Luhamaa. Only the Luhamaa interconnection point is </w:t>
      </w:r>
      <w:r w:rsidR="006A18DE">
        <w:rPr>
          <w:lang w:val="en-GB"/>
        </w:rPr>
        <w:t xml:space="preserve">still </w:t>
      </w:r>
      <w:r w:rsidR="008F7392" w:rsidRPr="009E3CC9">
        <w:rPr>
          <w:lang w:val="en-GB"/>
        </w:rPr>
        <w:t>operational</w:t>
      </w:r>
      <w:r w:rsidR="006A18DE">
        <w:rPr>
          <w:lang w:val="en-GB"/>
        </w:rPr>
        <w:t xml:space="preserve">. Its </w:t>
      </w:r>
      <w:r w:rsidRPr="009E3CC9">
        <w:rPr>
          <w:lang w:val="en-GB"/>
        </w:rPr>
        <w:t xml:space="preserve">sole purpose </w:t>
      </w:r>
      <w:r w:rsidR="006A18DE">
        <w:rPr>
          <w:lang w:val="en-GB"/>
        </w:rPr>
        <w:t xml:space="preserve">is to allow </w:t>
      </w:r>
      <w:r w:rsidRPr="009E3CC9">
        <w:rPr>
          <w:lang w:val="en-GB"/>
        </w:rPr>
        <w:t>gas originating from the Russian Federation reaching the Kaliningrad region</w:t>
      </w:r>
      <w:r w:rsidR="003C6D33" w:rsidRPr="009E3CC9">
        <w:rPr>
          <w:lang w:val="en-GB"/>
        </w:rPr>
        <w:t xml:space="preserve"> as </w:t>
      </w:r>
      <w:r w:rsidR="00FB3C22" w:rsidRPr="009E3CC9">
        <w:rPr>
          <w:lang w:val="en-GB"/>
        </w:rPr>
        <w:t xml:space="preserve">a </w:t>
      </w:r>
      <w:r w:rsidR="003C6D33" w:rsidRPr="009E3CC9">
        <w:rPr>
          <w:lang w:val="en-GB"/>
        </w:rPr>
        <w:t xml:space="preserve">backup </w:t>
      </w:r>
      <w:r w:rsidR="00FB3C22" w:rsidRPr="009E3CC9">
        <w:rPr>
          <w:lang w:val="en-GB"/>
        </w:rPr>
        <w:t>route</w:t>
      </w:r>
      <w:r w:rsidRPr="009E3CC9">
        <w:rPr>
          <w:lang w:val="en-GB"/>
        </w:rPr>
        <w:t>.</w:t>
      </w:r>
    </w:p>
    <w:p w14:paraId="2D90BB50" w14:textId="77777777" w:rsidR="00061B9F" w:rsidRPr="009E3CC9" w:rsidRDefault="00061B9F" w:rsidP="00920F7A">
      <w:pPr>
        <w:rPr>
          <w:b/>
          <w:bCs/>
        </w:rPr>
      </w:pPr>
      <w:r w:rsidRPr="009E3CC9">
        <w:rPr>
          <w:b/>
          <w:bCs/>
        </w:rPr>
        <w:t>Conclusion</w:t>
      </w:r>
    </w:p>
    <w:p w14:paraId="59576C0E" w14:textId="77777777" w:rsidR="00FB3C22" w:rsidRPr="009E3CC9" w:rsidRDefault="00E1323E" w:rsidP="00B4022E">
      <w:pPr>
        <w:pStyle w:val="Recital"/>
        <w:numPr>
          <w:ilvl w:val="0"/>
          <w:numId w:val="0"/>
        </w:numPr>
        <w:rPr>
          <w:lang w:val="en-GB"/>
        </w:rPr>
      </w:pPr>
      <w:r w:rsidRPr="009E3CC9">
        <w:rPr>
          <w:lang w:val="en-GB"/>
        </w:rPr>
        <w:t>ECA</w:t>
      </w:r>
      <w:r w:rsidR="00B4022E" w:rsidRPr="009E3CC9">
        <w:rPr>
          <w:lang w:val="en-GB"/>
        </w:rPr>
        <w:t>'s derogation request pertains to all EU gas Network Codes and Guidelines.</w:t>
      </w:r>
    </w:p>
    <w:p w14:paraId="3B2E22FE" w14:textId="77777777" w:rsidR="00305CDE" w:rsidRDefault="00FB3C22" w:rsidP="00305CDE">
      <w:pPr>
        <w:pStyle w:val="Recital"/>
        <w:numPr>
          <w:ilvl w:val="0"/>
          <w:numId w:val="0"/>
        </w:numPr>
        <w:rPr>
          <w:lang w:val="en-GB"/>
        </w:rPr>
      </w:pPr>
      <w:r w:rsidRPr="009E3CC9">
        <w:rPr>
          <w:lang w:val="en-GB"/>
        </w:rPr>
        <w:t xml:space="preserve">ACER acknowledges the existence of an exceptional situation in </w:t>
      </w:r>
      <w:r w:rsidR="00231A84">
        <w:rPr>
          <w:lang w:val="en-GB"/>
        </w:rPr>
        <w:t>Estonia</w:t>
      </w:r>
      <w:r w:rsidRPr="009E3CC9">
        <w:rPr>
          <w:lang w:val="en-GB"/>
        </w:rPr>
        <w:t>, in which ECA is required to enforce the prohibition to import gas from Russia to Estonia and to ensure that gas of Russian origin reaches exclusively the Kaliningrad region via the Luhamaa entry point.</w:t>
      </w:r>
    </w:p>
    <w:p w14:paraId="1970C6FF" w14:textId="0658DF3B" w:rsidR="00305CDE" w:rsidRPr="009E3CC9" w:rsidRDefault="00305CDE" w:rsidP="00305CDE">
      <w:pPr>
        <w:pStyle w:val="Recital"/>
        <w:numPr>
          <w:ilvl w:val="0"/>
          <w:numId w:val="0"/>
        </w:numPr>
        <w:rPr>
          <w:lang w:val="en-GB"/>
        </w:rPr>
      </w:pPr>
      <w:r w:rsidRPr="009E3CC9">
        <w:rPr>
          <w:lang w:val="en-GB"/>
        </w:rPr>
        <w:t xml:space="preserve">ACER notes that </w:t>
      </w:r>
      <w:r w:rsidR="00781549" w:rsidRPr="001B55E7">
        <w:t>Directive 2024/1788</w:t>
      </w:r>
      <w:r w:rsidR="00781549" w:rsidRPr="009E3CC9">
        <w:rPr>
          <w:rStyle w:val="FootnoteReference"/>
          <w:lang w:val="en-GB"/>
        </w:rPr>
        <w:footnoteReference w:id="2"/>
      </w:r>
      <w:r w:rsidR="00781549" w:rsidRPr="001B55E7">
        <w:t xml:space="preserve"> </w:t>
      </w:r>
      <w:r w:rsidR="00781549">
        <w:t xml:space="preserve">(‘recast </w:t>
      </w:r>
      <w:r w:rsidRPr="009E3CC9">
        <w:rPr>
          <w:lang w:val="en-GB"/>
        </w:rPr>
        <w:t>Gas Directive</w:t>
      </w:r>
      <w:r w:rsidR="00781549">
        <w:rPr>
          <w:lang w:val="en-GB"/>
        </w:rPr>
        <w:t>)</w:t>
      </w:r>
      <w:r w:rsidRPr="009E3CC9">
        <w:rPr>
          <w:lang w:val="en-GB"/>
        </w:rPr>
        <w:t xml:space="preserve"> and the recast Gas Regulation aim at creating a fully operational Union internal market for natural gas. In the case under consideration, the gas flowing from the Russian Federation via the Luhamaa entry point is not destined to the internal market itself, as it is transported through the infrastructure of Estonia. </w:t>
      </w:r>
    </w:p>
    <w:p w14:paraId="377A5B74" w14:textId="77777777" w:rsidR="006A18DE" w:rsidRDefault="00FB3C22" w:rsidP="00F16DB8">
      <w:pPr>
        <w:pStyle w:val="Recital"/>
        <w:numPr>
          <w:ilvl w:val="0"/>
          <w:numId w:val="0"/>
        </w:numPr>
        <w:rPr>
          <w:lang w:val="en-GB"/>
        </w:rPr>
      </w:pPr>
      <w:r w:rsidRPr="009E3CC9">
        <w:rPr>
          <w:lang w:val="en-GB"/>
        </w:rPr>
        <w:t xml:space="preserve">The regulatory framework established by ECA deviates from the full set of the respective EU network codes and guidelines to correctly reflect the specific circumstances affecting the Luhamaa entry point. </w:t>
      </w:r>
    </w:p>
    <w:p w14:paraId="48F50400" w14:textId="77777777" w:rsidR="0081158F" w:rsidRPr="00140E7D" w:rsidRDefault="0081158F" w:rsidP="0081158F">
      <w:pPr>
        <w:pStyle w:val="Recital"/>
        <w:numPr>
          <w:ilvl w:val="0"/>
          <w:numId w:val="0"/>
        </w:numPr>
        <w:rPr>
          <w:lang w:val="en-GB"/>
        </w:rPr>
      </w:pPr>
      <w:r w:rsidRPr="009E3CC9">
        <w:rPr>
          <w:lang w:val="en-GB"/>
        </w:rPr>
        <w:t xml:space="preserve">ACER acknowledges the limited usage of such interconnection point while also noticing that implementing the provisions of the TAR NC in the same way as they apply to the other points of the Estonian gas network </w:t>
      </w:r>
      <w:r>
        <w:rPr>
          <w:lang w:val="en-GB"/>
        </w:rPr>
        <w:t xml:space="preserve">and the provisions of INT NC Article 16 </w:t>
      </w:r>
      <w:r w:rsidRPr="009E3CC9">
        <w:rPr>
          <w:lang w:val="en-GB"/>
        </w:rPr>
        <w:t xml:space="preserve">would further support the avoidance of cross-subsidisation and </w:t>
      </w:r>
      <w:r>
        <w:rPr>
          <w:lang w:val="en-GB"/>
        </w:rPr>
        <w:t xml:space="preserve">guarantee equal </w:t>
      </w:r>
      <w:r w:rsidRPr="009E3CC9">
        <w:rPr>
          <w:lang w:val="en-GB"/>
        </w:rPr>
        <w:t>treatment of network users of the Union internal gas market.</w:t>
      </w:r>
      <w:r w:rsidRPr="00140E7D">
        <w:rPr>
          <w:lang w:val="en-GB"/>
        </w:rPr>
        <w:t xml:space="preserve"> </w:t>
      </w:r>
    </w:p>
    <w:p w14:paraId="2F5B0E95" w14:textId="1BCB2297" w:rsidR="00B25FA0" w:rsidRPr="009E3CC9" w:rsidRDefault="00B25FA0" w:rsidP="00920F7A">
      <w:r w:rsidRPr="009E3CC9">
        <w:br w:type="page"/>
      </w:r>
    </w:p>
    <w:p w14:paraId="0D70E65C" w14:textId="77777777" w:rsidR="0022258D" w:rsidRPr="009E3CC9" w:rsidRDefault="00F672CF" w:rsidP="00920F7A">
      <w:pPr>
        <w:pStyle w:val="1stLevelHeading"/>
        <w:rPr>
          <w:lang w:val="en-GB"/>
        </w:rPr>
      </w:pPr>
      <w:bookmarkStart w:id="2" w:name="_Toc204253813"/>
      <w:r w:rsidRPr="009E3CC9">
        <w:rPr>
          <w:lang w:val="en-GB"/>
        </w:rPr>
        <w:lastRenderedPageBreak/>
        <w:t>Background</w:t>
      </w:r>
      <w:bookmarkEnd w:id="2"/>
    </w:p>
    <w:p w14:paraId="18D14A1F" w14:textId="77777777" w:rsidR="00822103" w:rsidRPr="009E3CC9" w:rsidRDefault="00822103" w:rsidP="00822103">
      <w:pPr>
        <w:pStyle w:val="Recital"/>
        <w:rPr>
          <w:lang w:val="en-GB"/>
        </w:rPr>
      </w:pPr>
      <w:r w:rsidRPr="009E3CC9">
        <w:rPr>
          <w:lang w:val="en-GB"/>
        </w:rPr>
        <w:t xml:space="preserve">Regulation (EU) 2024/1789 extends the application of network codes and guidelines to the entry points from, and exit points to, third countries, namely countries that are not members of the European Union. The principle embedded in the Regulation at issue is the enhancement of the internal gas market by supporting cross-border trade and efficient operations also at the borders with third countries. Applying EU network codes at these border points helps to avoid market fragmentation and ensures the seamless functioning of the internal market, </w:t>
      </w:r>
      <w:proofErr w:type="gramStart"/>
      <w:r w:rsidRPr="009E3CC9">
        <w:rPr>
          <w:lang w:val="en-GB"/>
        </w:rPr>
        <w:t>in particular by</w:t>
      </w:r>
      <w:proofErr w:type="gramEnd"/>
      <w:r w:rsidRPr="009E3CC9">
        <w:rPr>
          <w:lang w:val="en-GB"/>
        </w:rPr>
        <w:t xml:space="preserve"> guaranteeing consistent rules, non-discriminatory access and efficient cross-border trading conditions, even at the borders of the Union.</w:t>
      </w:r>
    </w:p>
    <w:p w14:paraId="301539D7" w14:textId="77777777" w:rsidR="00822103" w:rsidRPr="009E3CC9" w:rsidRDefault="00822103" w:rsidP="00822103">
      <w:pPr>
        <w:pStyle w:val="Recital"/>
        <w:rPr>
          <w:lang w:val="en-GB"/>
        </w:rPr>
      </w:pPr>
      <w:r w:rsidRPr="009E3CC9">
        <w:rPr>
          <w:lang w:val="en-GB"/>
        </w:rPr>
        <w:t>Article 70(2)(d) of the recast Gas Regulation lays down that network codes and guidelines, adopted in accordance with paragraph 1 of the same provision, shall apply to all interconnection points within the Union and to entry points from and exit points to third countries from 5 August 2026.</w:t>
      </w:r>
    </w:p>
    <w:p w14:paraId="3958B7E2" w14:textId="77777777" w:rsidR="00822103" w:rsidRPr="009E3CC9" w:rsidRDefault="00822103" w:rsidP="00822103">
      <w:pPr>
        <w:pStyle w:val="Recital"/>
        <w:rPr>
          <w:lang w:val="en-GB"/>
        </w:rPr>
      </w:pPr>
      <w:r w:rsidRPr="009E3CC9">
        <w:rPr>
          <w:lang w:val="en-GB"/>
        </w:rPr>
        <w:t xml:space="preserve">Furthermore, Article 70(3) thereof states that until 5 February 2026 national regulatory authorities (NRAs) may submit a request to the European Commission and ACER for a derogation from the application of the network codes and guidelines, referred to in the </w:t>
      </w:r>
      <w:proofErr w:type="gramStart"/>
      <w:r w:rsidRPr="009E3CC9">
        <w:rPr>
          <w:lang w:val="en-GB"/>
        </w:rPr>
        <w:t>aforementioned Article</w:t>
      </w:r>
      <w:proofErr w:type="gramEnd"/>
      <w:r w:rsidRPr="009E3CC9">
        <w:rPr>
          <w:lang w:val="en-GB"/>
        </w:rPr>
        <w:t xml:space="preserve"> 70(1), at entry points from and exit points to third countries pursuant to Article 70(2)(d). </w:t>
      </w:r>
    </w:p>
    <w:p w14:paraId="1B933D95" w14:textId="77777777" w:rsidR="00822103" w:rsidRPr="009E3CC9" w:rsidRDefault="00822103" w:rsidP="00822103">
      <w:pPr>
        <w:pStyle w:val="Recital"/>
        <w:rPr>
          <w:lang w:val="en-GB"/>
        </w:rPr>
      </w:pPr>
      <w:r w:rsidRPr="009E3CC9">
        <w:rPr>
          <w:lang w:val="en-GB"/>
        </w:rPr>
        <w:t xml:space="preserve">ACER shall provide a reasoned opinion to the European Commission within three months of the date of receipt of the request for a derogation. In its reasoned opinion ACER provides an assessment on the request submitted by </w:t>
      </w:r>
      <w:proofErr w:type="gramStart"/>
      <w:r w:rsidRPr="009E3CC9">
        <w:rPr>
          <w:lang w:val="en-GB"/>
        </w:rPr>
        <w:t>a</w:t>
      </w:r>
      <w:proofErr w:type="gramEnd"/>
      <w:r w:rsidRPr="009E3CC9">
        <w:rPr>
          <w:lang w:val="en-GB"/>
        </w:rPr>
        <w:t xml:space="preserve"> NRA. The European Commission shall adopt a decision on the request for a derogation, </w:t>
      </w:r>
      <w:proofErr w:type="gramStart"/>
      <w:r w:rsidRPr="009E3CC9">
        <w:rPr>
          <w:lang w:val="en-GB"/>
        </w:rPr>
        <w:t>taking into account</w:t>
      </w:r>
      <w:proofErr w:type="gramEnd"/>
      <w:r w:rsidRPr="009E3CC9">
        <w:rPr>
          <w:lang w:val="en-GB"/>
        </w:rPr>
        <w:t xml:space="preserve"> ACER’s reasoned opinion and after assessing the existence of the conditions listed in Article 70(3)(a), (b) and (c).</w:t>
      </w:r>
    </w:p>
    <w:p w14:paraId="7AAE46DB" w14:textId="77777777" w:rsidR="00822103" w:rsidRPr="009E3CC9" w:rsidRDefault="00822103" w:rsidP="00822103">
      <w:pPr>
        <w:pStyle w:val="Recital"/>
        <w:rPr>
          <w:lang w:val="en-GB"/>
        </w:rPr>
      </w:pPr>
      <w:r w:rsidRPr="009E3CC9">
        <w:rPr>
          <w:lang w:val="en-GB"/>
        </w:rPr>
        <w:t xml:space="preserve">Notably, whether the NRA has demonstrated that provisions of a network code or guideline cannot be effectively implemented at an entry point from or exit point to a third country; has taken measures to alleviate obstacles to such implementation; and has shown that the derogation is not detrimental to the internal gas market or to the security of supply of the Union or of a Member State. The derogation shall be limited to specific provisions that cannot be effectively implemented and shall be granted by the European Commission for a limited </w:t>
      </w:r>
      <w:proofErr w:type="gramStart"/>
      <w:r w:rsidRPr="009E3CC9">
        <w:rPr>
          <w:lang w:val="en-GB"/>
        </w:rPr>
        <w:t>period of time</w:t>
      </w:r>
      <w:proofErr w:type="gramEnd"/>
      <w:r w:rsidRPr="009E3CC9">
        <w:rPr>
          <w:lang w:val="en-GB"/>
        </w:rPr>
        <w:t>.</w:t>
      </w:r>
    </w:p>
    <w:p w14:paraId="0AE13593" w14:textId="77777777" w:rsidR="00822103" w:rsidRPr="009E3CC9" w:rsidRDefault="00822103" w:rsidP="00822103">
      <w:pPr>
        <w:pStyle w:val="Recital"/>
        <w:rPr>
          <w:lang w:val="en-GB"/>
        </w:rPr>
      </w:pPr>
      <w:r w:rsidRPr="009E3CC9">
        <w:rPr>
          <w:lang w:val="en-GB"/>
        </w:rPr>
        <w:t xml:space="preserve">Furthermore, Recital 95 of the recast Gas Regulation acknowledges that specific circumstances, including the existence of long-term contractual arrangements or legal difficulties in establishing dispute resolution procedures with transmission system operators or natural gas suppliers established in third countries, may prevent the effective application of network codes in the short term. </w:t>
      </w:r>
    </w:p>
    <w:p w14:paraId="1CB51D71" w14:textId="77777777" w:rsidR="00231A84" w:rsidRPr="00231A84" w:rsidRDefault="00822103" w:rsidP="005324C0">
      <w:pPr>
        <w:numPr>
          <w:ilvl w:val="0"/>
          <w:numId w:val="4"/>
        </w:numPr>
        <w:rPr>
          <w:color w:val="EE0000"/>
          <w:lang w:eastAsia="en-GB"/>
        </w:rPr>
      </w:pPr>
      <w:r w:rsidRPr="009E3CC9">
        <w:t>This Opinion is addressed to the European Commission and issued in accordance with Article 70(3) of the recast Gas Regulation.</w:t>
      </w:r>
    </w:p>
    <w:p w14:paraId="289CF2A2" w14:textId="57135BC9" w:rsidR="009B5988" w:rsidRPr="009E3CC9" w:rsidRDefault="007D7D4D" w:rsidP="005324C0">
      <w:pPr>
        <w:numPr>
          <w:ilvl w:val="0"/>
          <w:numId w:val="4"/>
        </w:numPr>
        <w:rPr>
          <w:color w:val="EE0000"/>
          <w:lang w:eastAsia="en-GB"/>
        </w:rPr>
      </w:pPr>
      <w:r w:rsidRPr="009E3CC9">
        <w:br w:type="page"/>
      </w:r>
      <w:bookmarkStart w:id="3" w:name="_Toc204253815"/>
    </w:p>
    <w:bookmarkEnd w:id="3"/>
    <w:p w14:paraId="59E408AD" w14:textId="77777777" w:rsidR="00892F7D" w:rsidRPr="009E3CC9" w:rsidRDefault="00892F7D" w:rsidP="00892F7D">
      <w:pPr>
        <w:pStyle w:val="1stLevelHeading"/>
        <w:rPr>
          <w:color w:val="EE0000"/>
          <w:lang w:val="en-GB"/>
        </w:rPr>
      </w:pPr>
      <w:r w:rsidRPr="009E3CC9">
        <w:rPr>
          <w:lang w:val="en-GB"/>
        </w:rPr>
        <w:lastRenderedPageBreak/>
        <w:t>Procedure</w:t>
      </w:r>
    </w:p>
    <w:p w14:paraId="738374B0" w14:textId="65EA6B37" w:rsidR="00F672CF" w:rsidRPr="009E3CC9" w:rsidRDefault="00A333DF" w:rsidP="00F672CF">
      <w:pPr>
        <w:pStyle w:val="Recital"/>
        <w:rPr>
          <w:lang w:val="en-GB"/>
        </w:rPr>
      </w:pPr>
      <w:r w:rsidRPr="009E3CC9">
        <w:rPr>
          <w:lang w:val="en-GB"/>
        </w:rPr>
        <w:t>O</w:t>
      </w:r>
      <w:r w:rsidR="006856FE" w:rsidRPr="009E3CC9">
        <w:rPr>
          <w:lang w:val="en-GB"/>
        </w:rPr>
        <w:t xml:space="preserve">n </w:t>
      </w:r>
      <w:r w:rsidR="00BF6EB9" w:rsidRPr="009E3CC9">
        <w:rPr>
          <w:lang w:val="en-GB"/>
        </w:rPr>
        <w:t xml:space="preserve">2 February </w:t>
      </w:r>
      <w:r w:rsidR="00684E2E" w:rsidRPr="009E3CC9">
        <w:rPr>
          <w:lang w:val="en-GB"/>
        </w:rPr>
        <w:t>2026</w:t>
      </w:r>
      <w:r w:rsidRPr="009E3CC9">
        <w:rPr>
          <w:lang w:val="en-GB"/>
        </w:rPr>
        <w:t xml:space="preserve"> ACER received from </w:t>
      </w:r>
      <w:r w:rsidR="00BF6EB9" w:rsidRPr="009E3CC9">
        <w:rPr>
          <w:lang w:val="en-GB"/>
        </w:rPr>
        <w:t xml:space="preserve">the </w:t>
      </w:r>
      <w:r w:rsidR="006A1686" w:rsidRPr="009E3CC9">
        <w:rPr>
          <w:lang w:val="en-GB"/>
        </w:rPr>
        <w:t xml:space="preserve">Estonian </w:t>
      </w:r>
      <w:r w:rsidR="00BF6EB9" w:rsidRPr="009E3CC9">
        <w:rPr>
          <w:lang w:val="en-GB"/>
        </w:rPr>
        <w:t>Competition Authority (</w:t>
      </w:r>
      <w:r w:rsidR="00E153EC" w:rsidRPr="009E3CC9">
        <w:rPr>
          <w:lang w:val="en-GB"/>
        </w:rPr>
        <w:t>‘</w:t>
      </w:r>
      <w:r w:rsidR="00BF6EB9" w:rsidRPr="009E3CC9">
        <w:rPr>
          <w:lang w:val="en-GB"/>
        </w:rPr>
        <w:t>ECA</w:t>
      </w:r>
      <w:r w:rsidR="00E153EC" w:rsidRPr="009E3CC9">
        <w:rPr>
          <w:lang w:val="en-GB"/>
        </w:rPr>
        <w:t>;</w:t>
      </w:r>
      <w:r w:rsidR="00BF6EB9" w:rsidRPr="009E3CC9">
        <w:rPr>
          <w:lang w:val="en-GB"/>
        </w:rPr>
        <w:t xml:space="preserve">) </w:t>
      </w:r>
      <w:r w:rsidR="00F4123D" w:rsidRPr="009E3CC9">
        <w:rPr>
          <w:lang w:val="en-GB"/>
        </w:rPr>
        <w:t xml:space="preserve">in written form via electronic post </w:t>
      </w:r>
      <w:r w:rsidR="003F747A" w:rsidRPr="009E3CC9">
        <w:rPr>
          <w:lang w:val="en-GB"/>
        </w:rPr>
        <w:t>a</w:t>
      </w:r>
      <w:r w:rsidR="00684E2E" w:rsidRPr="009E3CC9">
        <w:rPr>
          <w:lang w:val="en-GB"/>
        </w:rPr>
        <w:t xml:space="preserve"> request </w:t>
      </w:r>
      <w:r w:rsidR="00DE31E3" w:rsidRPr="009E3CC9">
        <w:rPr>
          <w:lang w:val="en-GB"/>
        </w:rPr>
        <w:t>for a</w:t>
      </w:r>
      <w:r w:rsidRPr="009E3CC9">
        <w:rPr>
          <w:lang w:val="en-GB"/>
        </w:rPr>
        <w:t xml:space="preserve"> derogation</w:t>
      </w:r>
      <w:r w:rsidR="004D4CDB" w:rsidRPr="009E3CC9">
        <w:rPr>
          <w:lang w:val="en-GB"/>
        </w:rPr>
        <w:t xml:space="preserve"> from the application of Network Codes</w:t>
      </w:r>
      <w:r w:rsidR="00C66F04" w:rsidRPr="009E3CC9">
        <w:rPr>
          <w:lang w:val="en-GB"/>
        </w:rPr>
        <w:t xml:space="preserve"> and Guidelines pursuant to Article 70</w:t>
      </w:r>
      <w:r w:rsidR="00ED4BB7" w:rsidRPr="009E3CC9">
        <w:rPr>
          <w:lang w:val="en-GB"/>
        </w:rPr>
        <w:t xml:space="preserve"> </w:t>
      </w:r>
      <w:r w:rsidR="00C66F04" w:rsidRPr="009E3CC9">
        <w:rPr>
          <w:lang w:val="en-GB"/>
        </w:rPr>
        <w:t>(3) of the Gas Regulation</w:t>
      </w:r>
      <w:r w:rsidR="00BF6EB9" w:rsidRPr="009E3CC9">
        <w:rPr>
          <w:lang w:val="en-GB"/>
        </w:rPr>
        <w:t>.</w:t>
      </w:r>
    </w:p>
    <w:p w14:paraId="66EA090F" w14:textId="4D59E144" w:rsidR="00AA7410" w:rsidRPr="009E3CC9" w:rsidRDefault="00AA7410" w:rsidP="00AA7410">
      <w:pPr>
        <w:pStyle w:val="Recital"/>
        <w:rPr>
          <w:lang w:val="en-GB"/>
        </w:rPr>
      </w:pPr>
      <w:r w:rsidRPr="009E3CC9">
        <w:rPr>
          <w:lang w:val="en-GB"/>
        </w:rPr>
        <w:t>Upon the submission of the derogation request, and after an in-depth analysis thereof, ACER has interacted with ECA to further clarify elements included in the derogation request. ACER has thus taken due account of the additional information provided by the NRA in its assessment.</w:t>
      </w:r>
    </w:p>
    <w:p w14:paraId="03676BB1" w14:textId="4080F428" w:rsidR="00136DB9" w:rsidRPr="009E3CC9" w:rsidRDefault="00E153EC" w:rsidP="00B95D60">
      <w:pPr>
        <w:pStyle w:val="Recital"/>
        <w:rPr>
          <w:lang w:val="en-GB"/>
        </w:rPr>
      </w:pPr>
      <w:r w:rsidRPr="009E3CC9">
        <w:rPr>
          <w:lang w:val="en-GB"/>
        </w:rPr>
        <w:t>On 1 April 2026</w:t>
      </w:r>
      <w:r w:rsidR="00652102" w:rsidRPr="009E3CC9">
        <w:rPr>
          <w:lang w:val="en-GB"/>
        </w:rPr>
        <w:t xml:space="preserve"> </w:t>
      </w:r>
      <w:r w:rsidRPr="009E3CC9">
        <w:rPr>
          <w:lang w:val="en-GB"/>
        </w:rPr>
        <w:t xml:space="preserve">ACER </w:t>
      </w:r>
      <w:r w:rsidR="00136DB9" w:rsidRPr="009E3CC9">
        <w:rPr>
          <w:lang w:val="en-GB"/>
        </w:rPr>
        <w:t>share</w:t>
      </w:r>
      <w:r w:rsidR="00652102" w:rsidRPr="009E3CC9">
        <w:rPr>
          <w:lang w:val="en-GB"/>
        </w:rPr>
        <w:t>d</w:t>
      </w:r>
      <w:r w:rsidR="00136DB9" w:rsidRPr="009E3CC9">
        <w:rPr>
          <w:lang w:val="en-GB"/>
        </w:rPr>
        <w:t xml:space="preserve"> the draft version of the reasoned opinion with the involved NRAs for a factual check and to verify the </w:t>
      </w:r>
      <w:r w:rsidR="00652102" w:rsidRPr="009E3CC9">
        <w:rPr>
          <w:lang w:val="en-GB"/>
        </w:rPr>
        <w:t>completeness</w:t>
      </w:r>
      <w:r w:rsidR="00136DB9" w:rsidRPr="009E3CC9">
        <w:rPr>
          <w:lang w:val="en-GB"/>
        </w:rPr>
        <w:t xml:space="preserve"> of the information provided.</w:t>
      </w:r>
    </w:p>
    <w:p w14:paraId="105C3BD6" w14:textId="364CEF31" w:rsidR="00136DB9" w:rsidRPr="009E3CC9" w:rsidRDefault="00E153EC" w:rsidP="00B95D60">
      <w:pPr>
        <w:pStyle w:val="Recital"/>
        <w:rPr>
          <w:lang w:val="en-GB"/>
        </w:rPr>
      </w:pPr>
      <w:r w:rsidRPr="009E3CC9">
        <w:rPr>
          <w:lang w:val="en-GB"/>
        </w:rPr>
        <w:t xml:space="preserve">On </w:t>
      </w:r>
      <w:r w:rsidR="00652102" w:rsidRPr="009E3CC9">
        <w:rPr>
          <w:lang w:val="en-GB"/>
        </w:rPr>
        <w:t xml:space="preserve">XX </w:t>
      </w:r>
      <w:r w:rsidRPr="009E3CC9">
        <w:rPr>
          <w:lang w:val="en-GB"/>
        </w:rPr>
        <w:t xml:space="preserve">ACER </w:t>
      </w:r>
      <w:r w:rsidR="00136DB9" w:rsidRPr="009E3CC9">
        <w:rPr>
          <w:lang w:val="en-GB"/>
        </w:rPr>
        <w:t>sent this reasoned opinion to the E</w:t>
      </w:r>
      <w:r w:rsidR="00C60C32" w:rsidRPr="009E3CC9">
        <w:rPr>
          <w:lang w:val="en-GB"/>
        </w:rPr>
        <w:t>uropean</w:t>
      </w:r>
      <w:r w:rsidR="00136DB9" w:rsidRPr="009E3CC9">
        <w:rPr>
          <w:lang w:val="en-GB"/>
        </w:rPr>
        <w:t xml:space="preserve"> Commission in accordance with Article 70(3) of </w:t>
      </w:r>
      <w:r w:rsidR="00672D7A" w:rsidRPr="009E3CC9">
        <w:rPr>
          <w:lang w:val="en-GB"/>
        </w:rPr>
        <w:t xml:space="preserve">the recast </w:t>
      </w:r>
      <w:r w:rsidR="00136DB9" w:rsidRPr="009E3CC9">
        <w:rPr>
          <w:lang w:val="en-GB"/>
        </w:rPr>
        <w:t>Gas Regulation following the prescribed timeline.</w:t>
      </w:r>
    </w:p>
    <w:p w14:paraId="7DEB325C" w14:textId="6C13D052" w:rsidR="00F672CF" w:rsidRPr="009E3CC9" w:rsidRDefault="00A07422" w:rsidP="00920F7A">
      <w:pPr>
        <w:pStyle w:val="1stLevelHeading"/>
        <w:rPr>
          <w:lang w:val="en-GB"/>
        </w:rPr>
      </w:pPr>
      <w:bookmarkStart w:id="4" w:name="_Toc204253816"/>
      <w:r w:rsidRPr="009E3CC9">
        <w:rPr>
          <w:lang w:val="en-GB"/>
        </w:rPr>
        <w:t xml:space="preserve">Summary of </w:t>
      </w:r>
      <w:bookmarkEnd w:id="4"/>
      <w:r w:rsidR="0094725F" w:rsidRPr="009E3CC9">
        <w:rPr>
          <w:lang w:val="en-GB"/>
        </w:rPr>
        <w:t>Derogation Request</w:t>
      </w:r>
    </w:p>
    <w:p w14:paraId="10CE7256" w14:textId="012E4437" w:rsidR="004E48F1" w:rsidRPr="009E3CC9" w:rsidRDefault="007D5FB0" w:rsidP="001E7C8B">
      <w:pPr>
        <w:pStyle w:val="Recital"/>
        <w:rPr>
          <w:lang w:val="en-GB"/>
        </w:rPr>
      </w:pPr>
      <w:r w:rsidRPr="009E3CC9">
        <w:rPr>
          <w:lang w:val="en-GB"/>
        </w:rPr>
        <w:t xml:space="preserve">ECA’s derogation request concerns the application of all EU Gas Network Codes and Guidelines at the </w:t>
      </w:r>
      <w:r w:rsidR="00EE6605" w:rsidRPr="009E3CC9">
        <w:rPr>
          <w:lang w:val="en-GB"/>
        </w:rPr>
        <w:t xml:space="preserve">Luhamaa </w:t>
      </w:r>
      <w:r w:rsidR="001C09B0" w:rsidRPr="009E3CC9">
        <w:rPr>
          <w:lang w:val="en-GB"/>
        </w:rPr>
        <w:t xml:space="preserve">interconnection point, </w:t>
      </w:r>
      <w:r w:rsidR="00732955" w:rsidRPr="009E3CC9">
        <w:rPr>
          <w:lang w:val="en-GB"/>
        </w:rPr>
        <w:t xml:space="preserve">which </w:t>
      </w:r>
      <w:r w:rsidR="001C09B0" w:rsidRPr="009E3CC9">
        <w:rPr>
          <w:lang w:val="en-GB"/>
        </w:rPr>
        <w:t>connects the gas transmission system of Estonia with the gas transmission system of the Russian Federation</w:t>
      </w:r>
      <w:r w:rsidR="00BA65C9" w:rsidRPr="009E3CC9">
        <w:rPr>
          <w:lang w:val="en-GB"/>
        </w:rPr>
        <w:t xml:space="preserve">, </w:t>
      </w:r>
      <w:r w:rsidR="00732955" w:rsidRPr="009E3CC9">
        <w:rPr>
          <w:lang w:val="en-GB"/>
        </w:rPr>
        <w:t xml:space="preserve">and, </w:t>
      </w:r>
      <w:r w:rsidR="0024153E" w:rsidRPr="009E3CC9">
        <w:rPr>
          <w:lang w:val="en-GB"/>
        </w:rPr>
        <w:t xml:space="preserve">as </w:t>
      </w:r>
      <w:r w:rsidR="00732955" w:rsidRPr="009E3CC9">
        <w:rPr>
          <w:lang w:val="en-GB"/>
        </w:rPr>
        <w:t>ECA</w:t>
      </w:r>
      <w:r w:rsidR="0024153E" w:rsidRPr="009E3CC9">
        <w:rPr>
          <w:lang w:val="en-GB"/>
        </w:rPr>
        <w:t xml:space="preserve"> states</w:t>
      </w:r>
      <w:r w:rsidR="00732955" w:rsidRPr="009E3CC9">
        <w:rPr>
          <w:lang w:val="en-GB"/>
        </w:rPr>
        <w:t xml:space="preserve">, is only used </w:t>
      </w:r>
      <w:r w:rsidR="00BC0FF0">
        <w:rPr>
          <w:lang w:val="en-GB"/>
        </w:rPr>
        <w:t xml:space="preserve">as a back-up route </w:t>
      </w:r>
      <w:r w:rsidR="00732955" w:rsidRPr="009E3CC9">
        <w:rPr>
          <w:lang w:val="en-GB"/>
        </w:rPr>
        <w:t xml:space="preserve">for transit purposes from </w:t>
      </w:r>
      <w:r w:rsidR="004E48F1" w:rsidRPr="009E3CC9">
        <w:rPr>
          <w:lang w:val="en-GB"/>
        </w:rPr>
        <w:t xml:space="preserve">the </w:t>
      </w:r>
      <w:r w:rsidR="00732955" w:rsidRPr="009E3CC9">
        <w:rPr>
          <w:lang w:val="en-GB"/>
        </w:rPr>
        <w:t xml:space="preserve">Russian Federation to </w:t>
      </w:r>
      <w:r w:rsidR="004E48F1" w:rsidRPr="009E3CC9">
        <w:rPr>
          <w:lang w:val="en-GB"/>
        </w:rPr>
        <w:t xml:space="preserve">the Russian Federation’s </w:t>
      </w:r>
      <w:r w:rsidR="00732955" w:rsidRPr="009E3CC9">
        <w:rPr>
          <w:lang w:val="en-GB"/>
        </w:rPr>
        <w:t xml:space="preserve">Kaliningrad </w:t>
      </w:r>
      <w:r w:rsidR="006F1197" w:rsidRPr="009E3CC9">
        <w:rPr>
          <w:lang w:val="en-GB"/>
        </w:rPr>
        <w:t>region</w:t>
      </w:r>
      <w:r w:rsidR="00672D7A" w:rsidRPr="009E3CC9">
        <w:rPr>
          <w:lang w:val="en-GB"/>
        </w:rPr>
        <w:t xml:space="preserve"> neighbouring Lithuania and Poland</w:t>
      </w:r>
      <w:r w:rsidR="004E48F1" w:rsidRPr="009E3CC9">
        <w:rPr>
          <w:lang w:val="en-GB"/>
        </w:rPr>
        <w:t>.</w:t>
      </w:r>
      <w:r w:rsidR="00732955" w:rsidRPr="009E3CC9">
        <w:rPr>
          <w:lang w:val="en-GB"/>
        </w:rPr>
        <w:t xml:space="preserve"> </w:t>
      </w:r>
    </w:p>
    <w:p w14:paraId="05A962FA" w14:textId="1FBC5942" w:rsidR="00BA65C9" w:rsidRPr="009E3CC9" w:rsidRDefault="001C09B0" w:rsidP="005776D3">
      <w:pPr>
        <w:pStyle w:val="Recital"/>
        <w:rPr>
          <w:lang w:val="en-GB"/>
        </w:rPr>
      </w:pPr>
      <w:r w:rsidRPr="009E3CC9">
        <w:rPr>
          <w:lang w:val="en-GB"/>
        </w:rPr>
        <w:t xml:space="preserve">According to </w:t>
      </w:r>
      <w:r w:rsidR="00892F7D" w:rsidRPr="009E3CC9">
        <w:rPr>
          <w:lang w:val="en-GB"/>
        </w:rPr>
        <w:t>ECA</w:t>
      </w:r>
      <w:r w:rsidR="00BA65C9" w:rsidRPr="009E3CC9">
        <w:rPr>
          <w:lang w:val="en-GB"/>
        </w:rPr>
        <w:t>’s derogation request</w:t>
      </w:r>
      <w:r w:rsidRPr="009E3CC9">
        <w:rPr>
          <w:lang w:val="en-GB"/>
        </w:rPr>
        <w:t xml:space="preserve">, it is not possible </w:t>
      </w:r>
      <w:r w:rsidR="00D419EE" w:rsidRPr="009E3CC9">
        <w:rPr>
          <w:lang w:val="en-GB"/>
        </w:rPr>
        <w:t xml:space="preserve">that the </w:t>
      </w:r>
      <w:r w:rsidRPr="009E3CC9">
        <w:rPr>
          <w:lang w:val="en-GB"/>
        </w:rPr>
        <w:t>Estonian TSO</w:t>
      </w:r>
      <w:r w:rsidR="0024153E" w:rsidRPr="009E3CC9">
        <w:rPr>
          <w:lang w:val="en-GB"/>
        </w:rPr>
        <w:t xml:space="preserve">, </w:t>
      </w:r>
      <w:r w:rsidRPr="009E3CC9">
        <w:rPr>
          <w:lang w:val="en-GB"/>
        </w:rPr>
        <w:t xml:space="preserve">Elering </w:t>
      </w:r>
      <w:r w:rsidR="00A14CAA" w:rsidRPr="009E3CC9">
        <w:rPr>
          <w:lang w:val="en-GB"/>
        </w:rPr>
        <w:t>SA</w:t>
      </w:r>
      <w:r w:rsidR="00B5119D" w:rsidRPr="009E3CC9">
        <w:rPr>
          <w:lang w:val="en-GB"/>
        </w:rPr>
        <w:t xml:space="preserve"> (</w:t>
      </w:r>
      <w:r w:rsidR="00BA65C9" w:rsidRPr="009E3CC9">
        <w:rPr>
          <w:lang w:val="en-GB"/>
        </w:rPr>
        <w:t>‘</w:t>
      </w:r>
      <w:r w:rsidR="00B5119D" w:rsidRPr="009E3CC9">
        <w:rPr>
          <w:lang w:val="en-GB"/>
        </w:rPr>
        <w:t>Elering</w:t>
      </w:r>
      <w:r w:rsidR="00BA65C9" w:rsidRPr="009E3CC9">
        <w:rPr>
          <w:lang w:val="en-GB"/>
        </w:rPr>
        <w:t>’</w:t>
      </w:r>
      <w:r w:rsidR="00B5119D" w:rsidRPr="009E3CC9">
        <w:rPr>
          <w:lang w:val="en-GB"/>
        </w:rPr>
        <w:t>)</w:t>
      </w:r>
      <w:r w:rsidRPr="009E3CC9">
        <w:rPr>
          <w:lang w:val="en-GB"/>
        </w:rPr>
        <w:t>, cooperate</w:t>
      </w:r>
      <w:r w:rsidR="00D419EE" w:rsidRPr="009E3CC9">
        <w:rPr>
          <w:lang w:val="en-GB"/>
        </w:rPr>
        <w:t>s</w:t>
      </w:r>
      <w:r w:rsidRPr="009E3CC9">
        <w:rPr>
          <w:lang w:val="en-GB"/>
        </w:rPr>
        <w:t xml:space="preserve"> with the Russian TSO </w:t>
      </w:r>
      <w:r w:rsidR="00D419EE" w:rsidRPr="009E3CC9">
        <w:rPr>
          <w:lang w:val="en-GB"/>
        </w:rPr>
        <w:t xml:space="preserve">- </w:t>
      </w:r>
      <w:r w:rsidR="00B5119D" w:rsidRPr="009E3CC9">
        <w:rPr>
          <w:lang w:val="en-GB"/>
        </w:rPr>
        <w:t>n</w:t>
      </w:r>
      <w:r w:rsidRPr="009E3CC9">
        <w:rPr>
          <w:lang w:val="en-GB"/>
        </w:rPr>
        <w:t xml:space="preserve">or with any Russian-controlled </w:t>
      </w:r>
      <w:r w:rsidR="00D419EE" w:rsidRPr="009E3CC9">
        <w:rPr>
          <w:lang w:val="en-GB"/>
        </w:rPr>
        <w:t xml:space="preserve">entity - </w:t>
      </w:r>
      <w:r w:rsidR="00892F7D" w:rsidRPr="009E3CC9">
        <w:rPr>
          <w:lang w:val="en-GB"/>
        </w:rPr>
        <w:t xml:space="preserve">due to safety and security reasons deriving from </w:t>
      </w:r>
      <w:r w:rsidR="00D419EE" w:rsidRPr="009E3CC9">
        <w:rPr>
          <w:lang w:val="en-GB"/>
        </w:rPr>
        <w:t xml:space="preserve">the </w:t>
      </w:r>
      <w:r w:rsidR="00892F7D" w:rsidRPr="009E3CC9">
        <w:rPr>
          <w:lang w:val="en-GB"/>
        </w:rPr>
        <w:t xml:space="preserve">Russian invasion of Ukraine, and the relating provisions of the Estonian legislation </w:t>
      </w:r>
      <w:r w:rsidR="00D419EE" w:rsidRPr="009E3CC9">
        <w:rPr>
          <w:lang w:val="en-GB"/>
        </w:rPr>
        <w:t xml:space="preserve">forbidding </w:t>
      </w:r>
      <w:r w:rsidR="00892F7D" w:rsidRPr="009E3CC9">
        <w:rPr>
          <w:lang w:val="en-GB"/>
        </w:rPr>
        <w:t xml:space="preserve">the import of </w:t>
      </w:r>
      <w:r w:rsidR="00D419EE" w:rsidRPr="009E3CC9">
        <w:rPr>
          <w:lang w:val="en-GB"/>
        </w:rPr>
        <w:t xml:space="preserve">gas of </w:t>
      </w:r>
      <w:r w:rsidR="00892F7D" w:rsidRPr="009E3CC9">
        <w:rPr>
          <w:lang w:val="en-GB"/>
        </w:rPr>
        <w:t xml:space="preserve">Russian </w:t>
      </w:r>
      <w:r w:rsidR="00D419EE" w:rsidRPr="009E3CC9">
        <w:rPr>
          <w:lang w:val="en-GB"/>
        </w:rPr>
        <w:t xml:space="preserve">origin </w:t>
      </w:r>
      <w:r w:rsidR="00892F7D" w:rsidRPr="009E3CC9">
        <w:rPr>
          <w:lang w:val="en-GB"/>
        </w:rPr>
        <w:t>in Estonia</w:t>
      </w:r>
      <w:r w:rsidR="00EF05C7" w:rsidRPr="009E3CC9">
        <w:rPr>
          <w:rStyle w:val="FootnoteReference"/>
          <w:lang w:val="en-GB"/>
        </w:rPr>
        <w:footnoteReference w:id="3"/>
      </w:r>
      <w:r w:rsidR="00D419EE" w:rsidRPr="009E3CC9">
        <w:rPr>
          <w:lang w:val="en-GB"/>
        </w:rPr>
        <w:t xml:space="preserve"> </w:t>
      </w:r>
      <w:r w:rsidRPr="009E3CC9">
        <w:rPr>
          <w:lang w:val="en-GB"/>
        </w:rPr>
        <w:t>since 1 January 2023.</w:t>
      </w:r>
    </w:p>
    <w:p w14:paraId="61784C03" w14:textId="74F12499" w:rsidR="001C09B0" w:rsidRPr="009E3CC9" w:rsidRDefault="004E48F1" w:rsidP="004E48F1">
      <w:pPr>
        <w:pStyle w:val="Recital"/>
        <w:rPr>
          <w:lang w:val="en-GB"/>
        </w:rPr>
      </w:pPr>
      <w:r w:rsidRPr="009E3CC9">
        <w:rPr>
          <w:lang w:val="en-GB"/>
        </w:rPr>
        <w:t xml:space="preserve">ECA </w:t>
      </w:r>
      <w:r w:rsidR="00D419EE" w:rsidRPr="009E3CC9">
        <w:rPr>
          <w:lang w:val="en-GB"/>
        </w:rPr>
        <w:t>informs</w:t>
      </w:r>
      <w:r w:rsidRPr="009E3CC9">
        <w:rPr>
          <w:lang w:val="en-GB"/>
        </w:rPr>
        <w:t xml:space="preserve"> </w:t>
      </w:r>
      <w:r w:rsidR="00206A7E" w:rsidRPr="009E3CC9">
        <w:rPr>
          <w:lang w:val="en-GB"/>
        </w:rPr>
        <w:t xml:space="preserve">that </w:t>
      </w:r>
      <w:r w:rsidR="00D419EE" w:rsidRPr="009E3CC9">
        <w:rPr>
          <w:lang w:val="en-GB"/>
        </w:rPr>
        <w:t xml:space="preserve">the </w:t>
      </w:r>
      <w:r w:rsidR="001C09B0" w:rsidRPr="009E3CC9">
        <w:rPr>
          <w:lang w:val="en-GB"/>
        </w:rPr>
        <w:t>Estonia</w:t>
      </w:r>
      <w:r w:rsidR="0024153E" w:rsidRPr="009E3CC9">
        <w:rPr>
          <w:lang w:val="en-GB"/>
        </w:rPr>
        <w:t xml:space="preserve">n gas transportation network </w:t>
      </w:r>
      <w:r w:rsidR="00D419EE" w:rsidRPr="009E3CC9">
        <w:rPr>
          <w:lang w:val="en-GB"/>
        </w:rPr>
        <w:t xml:space="preserve">is linked to the network of the </w:t>
      </w:r>
      <w:r w:rsidR="001C09B0" w:rsidRPr="009E3CC9">
        <w:rPr>
          <w:lang w:val="en-GB"/>
        </w:rPr>
        <w:t>Russian Federation</w:t>
      </w:r>
      <w:r w:rsidR="00D419EE" w:rsidRPr="009E3CC9">
        <w:rPr>
          <w:lang w:val="en-GB"/>
        </w:rPr>
        <w:t xml:space="preserve"> through three points</w:t>
      </w:r>
      <w:r w:rsidR="00BA65C9" w:rsidRPr="009E3CC9">
        <w:rPr>
          <w:lang w:val="en-GB"/>
        </w:rPr>
        <w:t xml:space="preserve">, i.e. </w:t>
      </w:r>
      <w:r w:rsidR="001C09B0" w:rsidRPr="009E3CC9">
        <w:rPr>
          <w:lang w:val="en-GB"/>
        </w:rPr>
        <w:t>Narva, Värska</w:t>
      </w:r>
      <w:r w:rsidR="00D419EE" w:rsidRPr="009E3CC9">
        <w:rPr>
          <w:lang w:val="en-GB"/>
        </w:rPr>
        <w:t xml:space="preserve">, </w:t>
      </w:r>
      <w:r w:rsidR="001C09B0" w:rsidRPr="009E3CC9">
        <w:rPr>
          <w:lang w:val="en-GB"/>
        </w:rPr>
        <w:t>and Luhamaa</w:t>
      </w:r>
      <w:r w:rsidR="00D419EE" w:rsidRPr="009E3CC9">
        <w:rPr>
          <w:lang w:val="en-GB"/>
        </w:rPr>
        <w:t xml:space="preserve">. ECA states </w:t>
      </w:r>
      <w:r w:rsidR="0024153E" w:rsidRPr="009E3CC9">
        <w:rPr>
          <w:lang w:val="en-GB"/>
        </w:rPr>
        <w:t>that</w:t>
      </w:r>
      <w:r w:rsidR="00C23BF1" w:rsidRPr="009E3CC9">
        <w:rPr>
          <w:lang w:val="en-GB"/>
        </w:rPr>
        <w:t xml:space="preserve"> in 2024</w:t>
      </w:r>
      <w:r w:rsidR="0024153E" w:rsidRPr="009E3CC9">
        <w:rPr>
          <w:lang w:val="en-GB"/>
        </w:rPr>
        <w:t xml:space="preserve"> </w:t>
      </w:r>
      <w:r w:rsidR="00D419EE" w:rsidRPr="009E3CC9">
        <w:rPr>
          <w:lang w:val="en-GB"/>
        </w:rPr>
        <w:t xml:space="preserve">it had removed </w:t>
      </w:r>
      <w:r w:rsidR="0024153E" w:rsidRPr="009E3CC9">
        <w:rPr>
          <w:lang w:val="en-GB"/>
        </w:rPr>
        <w:t>t</w:t>
      </w:r>
      <w:r w:rsidR="001C09B0" w:rsidRPr="009E3CC9">
        <w:rPr>
          <w:lang w:val="en-GB"/>
        </w:rPr>
        <w:t>he Narva and Värska interconnection points from the relevant regional cooperation arrangements due to their inactivity</w:t>
      </w:r>
      <w:r w:rsidR="00BA65C9" w:rsidRPr="009E3CC9">
        <w:rPr>
          <w:rStyle w:val="FootnoteReference"/>
          <w:lang w:val="en-GB"/>
        </w:rPr>
        <w:footnoteReference w:id="4"/>
      </w:r>
      <w:r w:rsidR="00BA65C9" w:rsidRPr="009E3CC9">
        <w:rPr>
          <w:lang w:val="en-GB"/>
        </w:rPr>
        <w:t xml:space="preserve">, </w:t>
      </w:r>
      <w:r w:rsidR="00206A7E" w:rsidRPr="009E3CC9">
        <w:rPr>
          <w:lang w:val="en-GB"/>
        </w:rPr>
        <w:t xml:space="preserve">whereas </w:t>
      </w:r>
      <w:r w:rsidRPr="009E3CC9">
        <w:rPr>
          <w:lang w:val="en-GB"/>
        </w:rPr>
        <w:t xml:space="preserve">the </w:t>
      </w:r>
      <w:r w:rsidR="001C09B0" w:rsidRPr="009E3CC9">
        <w:rPr>
          <w:lang w:val="en-GB"/>
        </w:rPr>
        <w:t>Luhamaa</w:t>
      </w:r>
      <w:r w:rsidR="00BE1056" w:rsidRPr="009E3CC9">
        <w:rPr>
          <w:lang w:val="en-GB"/>
        </w:rPr>
        <w:t xml:space="preserve"> </w:t>
      </w:r>
      <w:r w:rsidRPr="009E3CC9">
        <w:rPr>
          <w:lang w:val="en-GB"/>
        </w:rPr>
        <w:t xml:space="preserve">interconnection </w:t>
      </w:r>
      <w:r w:rsidR="00BE1056" w:rsidRPr="009E3CC9">
        <w:rPr>
          <w:lang w:val="en-GB"/>
        </w:rPr>
        <w:t>point</w:t>
      </w:r>
      <w:r w:rsidR="001C09B0" w:rsidRPr="009E3CC9">
        <w:rPr>
          <w:lang w:val="en-GB"/>
        </w:rPr>
        <w:t xml:space="preserve"> </w:t>
      </w:r>
      <w:r w:rsidR="00BE1056" w:rsidRPr="009E3CC9">
        <w:rPr>
          <w:lang w:val="en-GB"/>
        </w:rPr>
        <w:t>remains opera</w:t>
      </w:r>
      <w:r w:rsidR="00D419EE" w:rsidRPr="009E3CC9">
        <w:rPr>
          <w:lang w:val="en-GB"/>
        </w:rPr>
        <w:t>tional</w:t>
      </w:r>
      <w:r w:rsidR="00C23BF1" w:rsidRPr="009E3CC9">
        <w:rPr>
          <w:lang w:val="en-GB"/>
        </w:rPr>
        <w:t>, as backup line,</w:t>
      </w:r>
      <w:r w:rsidR="00BE1056" w:rsidRPr="009E3CC9">
        <w:rPr>
          <w:lang w:val="en-GB"/>
        </w:rPr>
        <w:t xml:space="preserve"> </w:t>
      </w:r>
      <w:r w:rsidRPr="009E3CC9">
        <w:rPr>
          <w:lang w:val="en-GB"/>
        </w:rPr>
        <w:t xml:space="preserve">with the sole purpose </w:t>
      </w:r>
      <w:r w:rsidR="0024153E" w:rsidRPr="009E3CC9">
        <w:rPr>
          <w:lang w:val="en-GB"/>
        </w:rPr>
        <w:t xml:space="preserve">of </w:t>
      </w:r>
      <w:r w:rsidR="00B5119D" w:rsidRPr="009E3CC9">
        <w:rPr>
          <w:lang w:val="en-GB"/>
        </w:rPr>
        <w:t>allow</w:t>
      </w:r>
      <w:r w:rsidR="0024153E" w:rsidRPr="009E3CC9">
        <w:rPr>
          <w:lang w:val="en-GB"/>
        </w:rPr>
        <w:t>ing</w:t>
      </w:r>
      <w:r w:rsidR="00B5119D" w:rsidRPr="009E3CC9">
        <w:rPr>
          <w:lang w:val="en-GB"/>
        </w:rPr>
        <w:t xml:space="preserve"> </w:t>
      </w:r>
      <w:r w:rsidR="000C07FA" w:rsidRPr="009E3CC9">
        <w:rPr>
          <w:lang w:val="en-GB"/>
        </w:rPr>
        <w:t xml:space="preserve">gas </w:t>
      </w:r>
      <w:r w:rsidR="0024153E" w:rsidRPr="009E3CC9">
        <w:rPr>
          <w:lang w:val="en-GB"/>
        </w:rPr>
        <w:t xml:space="preserve">originating </w:t>
      </w:r>
      <w:r w:rsidR="001C09B0" w:rsidRPr="009E3CC9">
        <w:rPr>
          <w:lang w:val="en-GB"/>
        </w:rPr>
        <w:t xml:space="preserve">from the Russian Federation </w:t>
      </w:r>
      <w:r w:rsidR="0024153E" w:rsidRPr="009E3CC9">
        <w:rPr>
          <w:lang w:val="en-GB"/>
        </w:rPr>
        <w:t>reach</w:t>
      </w:r>
      <w:r w:rsidR="00D419EE" w:rsidRPr="009E3CC9">
        <w:rPr>
          <w:lang w:val="en-GB"/>
        </w:rPr>
        <w:t xml:space="preserve">ing </w:t>
      </w:r>
      <w:r w:rsidR="00B5119D" w:rsidRPr="009E3CC9">
        <w:rPr>
          <w:lang w:val="en-GB"/>
        </w:rPr>
        <w:t xml:space="preserve">the </w:t>
      </w:r>
      <w:r w:rsidR="001C09B0" w:rsidRPr="009E3CC9">
        <w:rPr>
          <w:lang w:val="en-GB"/>
        </w:rPr>
        <w:t>Kaliningrad</w:t>
      </w:r>
      <w:r w:rsidR="00B5119D" w:rsidRPr="009E3CC9">
        <w:rPr>
          <w:lang w:val="en-GB"/>
        </w:rPr>
        <w:t xml:space="preserve"> </w:t>
      </w:r>
      <w:r w:rsidR="00DF3E27" w:rsidRPr="009E3CC9">
        <w:rPr>
          <w:lang w:val="en-GB"/>
        </w:rPr>
        <w:t>region</w:t>
      </w:r>
      <w:r w:rsidR="00B5119D" w:rsidRPr="009E3CC9">
        <w:rPr>
          <w:lang w:val="en-GB"/>
        </w:rPr>
        <w:t xml:space="preserve"> of the Russian Federation</w:t>
      </w:r>
      <w:r w:rsidR="001C09B0" w:rsidRPr="009E3CC9">
        <w:rPr>
          <w:lang w:val="en-GB"/>
        </w:rPr>
        <w:t>.</w:t>
      </w:r>
    </w:p>
    <w:p w14:paraId="5F08E927" w14:textId="24392148" w:rsidR="001C09B0" w:rsidRPr="009E3CC9" w:rsidRDefault="001C09B0" w:rsidP="001C09B0">
      <w:pPr>
        <w:pStyle w:val="Recital"/>
        <w:rPr>
          <w:lang w:val="en-GB"/>
        </w:rPr>
      </w:pPr>
      <w:r w:rsidRPr="009E3CC9">
        <w:rPr>
          <w:lang w:val="en-GB"/>
        </w:rPr>
        <w:t xml:space="preserve">ECA therefore requests a derogation from the application of all gas Network Codes and Guidelines at the Luhamaa interconnection point </w:t>
      </w:r>
      <w:r w:rsidR="004263AD" w:rsidRPr="009E3CC9">
        <w:rPr>
          <w:lang w:val="en-GB"/>
        </w:rPr>
        <w:t xml:space="preserve">for un </w:t>
      </w:r>
      <w:r w:rsidR="004E54DE" w:rsidRPr="009E3CC9">
        <w:rPr>
          <w:lang w:val="en-GB"/>
        </w:rPr>
        <w:t>undetermined</w:t>
      </w:r>
      <w:r w:rsidR="004263AD" w:rsidRPr="009E3CC9">
        <w:rPr>
          <w:lang w:val="en-GB"/>
        </w:rPr>
        <w:t xml:space="preserve"> </w:t>
      </w:r>
      <w:r w:rsidR="0031451F" w:rsidRPr="009E3CC9">
        <w:rPr>
          <w:lang w:val="en-GB"/>
        </w:rPr>
        <w:t>period yet</w:t>
      </w:r>
      <w:r w:rsidR="00C23BF1" w:rsidRPr="009E3CC9">
        <w:rPr>
          <w:lang w:val="en-GB"/>
        </w:rPr>
        <w:t xml:space="preserve"> conditioned on that </w:t>
      </w:r>
      <w:r w:rsidR="00D419EE" w:rsidRPr="009E3CC9">
        <w:rPr>
          <w:lang w:val="en-GB"/>
        </w:rPr>
        <w:t>the current prohibition to import gas from Russian origin remains in place</w:t>
      </w:r>
      <w:r w:rsidRPr="009E3CC9">
        <w:rPr>
          <w:lang w:val="en-GB"/>
        </w:rPr>
        <w:t>.</w:t>
      </w:r>
    </w:p>
    <w:p w14:paraId="73E563BE" w14:textId="58D2CAFE" w:rsidR="001C09B0" w:rsidRPr="009E3CC9" w:rsidRDefault="00C764AD" w:rsidP="001C09B0">
      <w:pPr>
        <w:pStyle w:val="Recital"/>
        <w:rPr>
          <w:lang w:val="en-GB"/>
        </w:rPr>
      </w:pPr>
      <w:r w:rsidRPr="009E3CC9">
        <w:rPr>
          <w:lang w:val="en-GB"/>
        </w:rPr>
        <w:t xml:space="preserve">Furthermore, </w:t>
      </w:r>
      <w:r w:rsidR="001C09B0" w:rsidRPr="009E3CC9">
        <w:rPr>
          <w:lang w:val="en-GB"/>
        </w:rPr>
        <w:t xml:space="preserve">ECA seeks clarification </w:t>
      </w:r>
      <w:r w:rsidR="008733A6" w:rsidRPr="009E3CC9">
        <w:rPr>
          <w:lang w:val="en-GB"/>
        </w:rPr>
        <w:t xml:space="preserve">from the European Commission </w:t>
      </w:r>
      <w:r w:rsidR="001C09B0" w:rsidRPr="009E3CC9">
        <w:rPr>
          <w:lang w:val="en-GB"/>
        </w:rPr>
        <w:t>as to whether, if a derogation were to be granted for the Luhamaa interconnection point and changes were subsequently made to the type of capacity products offered at that point, such operational changes would fall within the scope of the existing derogation or whether a supplementary derogation request would be required notwithstanding the expiry of the initial application deadline.</w:t>
      </w:r>
      <w:r w:rsidR="008733A6" w:rsidRPr="009E3CC9">
        <w:rPr>
          <w:lang w:val="en-GB"/>
        </w:rPr>
        <w:t xml:space="preserve"> </w:t>
      </w:r>
    </w:p>
    <w:p w14:paraId="769AE172" w14:textId="27520403" w:rsidR="008733A6" w:rsidRPr="009E3CC9" w:rsidRDefault="008733A6" w:rsidP="001C09B0">
      <w:pPr>
        <w:pStyle w:val="Recital"/>
        <w:rPr>
          <w:lang w:val="en-GB"/>
        </w:rPr>
      </w:pPr>
      <w:r w:rsidRPr="009E3CC9">
        <w:rPr>
          <w:lang w:val="en-GB"/>
        </w:rPr>
        <w:lastRenderedPageBreak/>
        <w:t>In addition, ECA requests clarification from the European Commission regarding the possibility of requesting a derogation for the Narva and Värska interconnection points in the future, should those interconnection points become operational</w:t>
      </w:r>
      <w:r w:rsidR="00D419EE" w:rsidRPr="009E3CC9">
        <w:rPr>
          <w:lang w:val="en-GB"/>
        </w:rPr>
        <w:t xml:space="preserve"> again</w:t>
      </w:r>
      <w:r w:rsidRPr="009E3CC9">
        <w:rPr>
          <w:lang w:val="en-GB"/>
        </w:rPr>
        <w:t>.</w:t>
      </w:r>
      <w:r w:rsidR="009552AB" w:rsidRPr="009E3CC9">
        <w:rPr>
          <w:lang w:val="en-GB"/>
        </w:rPr>
        <w:t xml:space="preserve"> In this reasoned opinion, ACER will not analyse this </w:t>
      </w:r>
      <w:r w:rsidR="00B27DA7" w:rsidRPr="009E3CC9">
        <w:rPr>
          <w:lang w:val="en-GB"/>
        </w:rPr>
        <w:t xml:space="preserve">additional element included in </w:t>
      </w:r>
      <w:r w:rsidR="009552AB" w:rsidRPr="009E3CC9">
        <w:rPr>
          <w:lang w:val="en-GB"/>
        </w:rPr>
        <w:t xml:space="preserve">ECA </w:t>
      </w:r>
      <w:r w:rsidR="00B27DA7" w:rsidRPr="009E3CC9">
        <w:rPr>
          <w:lang w:val="en-GB"/>
        </w:rPr>
        <w:t xml:space="preserve">request </w:t>
      </w:r>
      <w:r w:rsidR="009552AB" w:rsidRPr="009E3CC9">
        <w:rPr>
          <w:lang w:val="en-GB"/>
        </w:rPr>
        <w:t>to the European Commission.</w:t>
      </w:r>
    </w:p>
    <w:p w14:paraId="1D4BD7C5" w14:textId="637965F6" w:rsidR="00A07422" w:rsidRPr="009E3CC9" w:rsidRDefault="00A07422" w:rsidP="00920F7A">
      <w:pPr>
        <w:pStyle w:val="1stLevelHeading"/>
        <w:rPr>
          <w:lang w:val="en-GB"/>
        </w:rPr>
      </w:pPr>
      <w:bookmarkStart w:id="5" w:name="_Toc204253817"/>
      <w:r w:rsidRPr="009E3CC9">
        <w:rPr>
          <w:lang w:val="en-GB"/>
        </w:rPr>
        <w:t>ACER assessment</w:t>
      </w:r>
      <w:bookmarkEnd w:id="5"/>
    </w:p>
    <w:p w14:paraId="73573FEC" w14:textId="3587BD40" w:rsidR="00283D14" w:rsidRPr="009E3CC9" w:rsidRDefault="00283D14" w:rsidP="00720807">
      <w:pPr>
        <w:pStyle w:val="2ndlevelHeading"/>
        <w:rPr>
          <w:lang w:val="en-GB"/>
        </w:rPr>
      </w:pPr>
      <w:r w:rsidRPr="009E3CC9">
        <w:rPr>
          <w:lang w:val="en-GB"/>
        </w:rPr>
        <w:t xml:space="preserve">Application of Union </w:t>
      </w:r>
      <w:r w:rsidR="00A844F3" w:rsidRPr="009E3CC9">
        <w:rPr>
          <w:lang w:val="en-GB"/>
        </w:rPr>
        <w:t>G</w:t>
      </w:r>
      <w:r w:rsidRPr="009E3CC9">
        <w:rPr>
          <w:lang w:val="en-GB"/>
        </w:rPr>
        <w:t xml:space="preserve">as network codes </w:t>
      </w:r>
      <w:r w:rsidR="00A844F3" w:rsidRPr="009E3CC9">
        <w:rPr>
          <w:lang w:val="en-GB"/>
        </w:rPr>
        <w:t xml:space="preserve">and Guidelines </w:t>
      </w:r>
      <w:r w:rsidRPr="009E3CC9">
        <w:rPr>
          <w:lang w:val="en-GB"/>
        </w:rPr>
        <w:t xml:space="preserve">at the Luhamaa </w:t>
      </w:r>
      <w:r w:rsidR="00A844F3" w:rsidRPr="009E3CC9">
        <w:rPr>
          <w:lang w:val="en-GB"/>
        </w:rPr>
        <w:t>interconnection point</w:t>
      </w:r>
    </w:p>
    <w:p w14:paraId="3AECBE92" w14:textId="54FDA40A" w:rsidR="00891FFA" w:rsidRPr="009E3CC9" w:rsidRDefault="00A703EE" w:rsidP="00784617">
      <w:pPr>
        <w:pStyle w:val="Recital"/>
        <w:rPr>
          <w:lang w:val="en-GB"/>
        </w:rPr>
      </w:pPr>
      <w:r w:rsidRPr="009E3CC9">
        <w:rPr>
          <w:lang w:val="en-GB"/>
        </w:rPr>
        <w:t>T</w:t>
      </w:r>
      <w:r w:rsidR="00204D2A" w:rsidRPr="009E3CC9">
        <w:rPr>
          <w:lang w:val="en-GB"/>
        </w:rPr>
        <w:t xml:space="preserve">he Luhamaa interconnection point </w:t>
      </w:r>
      <w:r w:rsidR="009066B9" w:rsidRPr="009E3CC9">
        <w:rPr>
          <w:lang w:val="en-GB"/>
        </w:rPr>
        <w:t xml:space="preserve">has </w:t>
      </w:r>
      <w:r w:rsidR="00BA0585" w:rsidRPr="009E3CC9">
        <w:rPr>
          <w:lang w:val="en-GB"/>
        </w:rPr>
        <w:t xml:space="preserve">two sides, i.e. an </w:t>
      </w:r>
      <w:r w:rsidR="00A14341" w:rsidRPr="009E3CC9">
        <w:rPr>
          <w:lang w:val="en-GB"/>
        </w:rPr>
        <w:t xml:space="preserve">entry </w:t>
      </w:r>
      <w:r w:rsidR="00BA0585" w:rsidRPr="009E3CC9">
        <w:rPr>
          <w:lang w:val="en-GB"/>
        </w:rPr>
        <w:t xml:space="preserve">side </w:t>
      </w:r>
      <w:r w:rsidR="00A14341" w:rsidRPr="009E3CC9">
        <w:rPr>
          <w:lang w:val="en-GB"/>
        </w:rPr>
        <w:t>and an exit side</w:t>
      </w:r>
      <w:r w:rsidR="00204D2A" w:rsidRPr="009E3CC9">
        <w:rPr>
          <w:lang w:val="en-GB"/>
        </w:rPr>
        <w:t xml:space="preserve">. </w:t>
      </w:r>
      <w:r w:rsidR="00855E87" w:rsidRPr="009E3CC9">
        <w:rPr>
          <w:lang w:val="en-GB"/>
        </w:rPr>
        <w:t xml:space="preserve">As stated </w:t>
      </w:r>
      <w:r w:rsidR="00BA0585" w:rsidRPr="009E3CC9">
        <w:rPr>
          <w:lang w:val="en-GB"/>
        </w:rPr>
        <w:t xml:space="preserve">in ECA’s </w:t>
      </w:r>
      <w:r w:rsidR="00855E87" w:rsidRPr="009E3CC9">
        <w:rPr>
          <w:lang w:val="en-GB"/>
        </w:rPr>
        <w:t xml:space="preserve">derogation request, since </w:t>
      </w:r>
      <w:r w:rsidR="00283D14" w:rsidRPr="009E3CC9">
        <w:rPr>
          <w:lang w:val="en-GB"/>
        </w:rPr>
        <w:t xml:space="preserve">2023 </w:t>
      </w:r>
      <w:r w:rsidR="00BA0585" w:rsidRPr="009E3CC9">
        <w:rPr>
          <w:lang w:val="en-GB"/>
        </w:rPr>
        <w:t xml:space="preserve">such interconnection point </w:t>
      </w:r>
      <w:r w:rsidR="009066B9" w:rsidRPr="009E3CC9">
        <w:rPr>
          <w:lang w:val="en-GB"/>
        </w:rPr>
        <w:t>is operational</w:t>
      </w:r>
      <w:r w:rsidR="00283D14" w:rsidRPr="009E3CC9">
        <w:rPr>
          <w:lang w:val="en-GB"/>
        </w:rPr>
        <w:t xml:space="preserve"> </w:t>
      </w:r>
      <w:r w:rsidR="00855E87" w:rsidRPr="009E3CC9">
        <w:rPr>
          <w:lang w:val="en-GB"/>
        </w:rPr>
        <w:t xml:space="preserve">solely </w:t>
      </w:r>
      <w:r w:rsidR="00D419EE" w:rsidRPr="009E3CC9">
        <w:rPr>
          <w:lang w:val="en-GB"/>
        </w:rPr>
        <w:t xml:space="preserve">to </w:t>
      </w:r>
      <w:r w:rsidR="004A59C6" w:rsidRPr="009E3CC9">
        <w:rPr>
          <w:lang w:val="en-GB"/>
        </w:rPr>
        <w:t xml:space="preserve">ensure that </w:t>
      </w:r>
      <w:r w:rsidR="00283D14" w:rsidRPr="009E3CC9">
        <w:rPr>
          <w:lang w:val="en-GB"/>
        </w:rPr>
        <w:t xml:space="preserve">gas </w:t>
      </w:r>
      <w:r w:rsidR="00855E87" w:rsidRPr="009E3CC9">
        <w:rPr>
          <w:lang w:val="en-GB"/>
        </w:rPr>
        <w:t xml:space="preserve">originating </w:t>
      </w:r>
      <w:r w:rsidR="00283D14" w:rsidRPr="009E3CC9">
        <w:rPr>
          <w:lang w:val="en-GB"/>
        </w:rPr>
        <w:t xml:space="preserve">from the Russian Federation </w:t>
      </w:r>
      <w:r w:rsidR="004A59C6" w:rsidRPr="009E3CC9">
        <w:rPr>
          <w:lang w:val="en-GB"/>
        </w:rPr>
        <w:t xml:space="preserve">is transported to the </w:t>
      </w:r>
      <w:r w:rsidR="00283D14" w:rsidRPr="009E3CC9">
        <w:rPr>
          <w:lang w:val="en-GB"/>
        </w:rPr>
        <w:t xml:space="preserve">Russian Federation’s </w:t>
      </w:r>
      <w:r w:rsidR="00DF3E27" w:rsidRPr="009E3CC9">
        <w:rPr>
          <w:lang w:val="en-GB"/>
        </w:rPr>
        <w:t>region</w:t>
      </w:r>
      <w:r w:rsidR="00283D14" w:rsidRPr="009E3CC9">
        <w:rPr>
          <w:lang w:val="en-GB"/>
        </w:rPr>
        <w:t xml:space="preserve"> of Kaliningrad</w:t>
      </w:r>
      <w:r w:rsidR="00891FFA" w:rsidRPr="009E3CC9">
        <w:rPr>
          <w:lang w:val="en-GB"/>
        </w:rPr>
        <w:t xml:space="preserve">. </w:t>
      </w:r>
    </w:p>
    <w:p w14:paraId="3F8EFDE5" w14:textId="77777777" w:rsidR="00DB2673" w:rsidRPr="009E3CC9" w:rsidRDefault="004C0EFD" w:rsidP="001F179C">
      <w:pPr>
        <w:pStyle w:val="Recital"/>
        <w:rPr>
          <w:lang w:val="en-GB"/>
        </w:rPr>
      </w:pPr>
      <w:r w:rsidRPr="009E3CC9">
        <w:rPr>
          <w:lang w:val="en-GB"/>
        </w:rPr>
        <w:t>G</w:t>
      </w:r>
      <w:r w:rsidR="00891FFA" w:rsidRPr="009E3CC9">
        <w:rPr>
          <w:lang w:val="en-GB"/>
        </w:rPr>
        <w:t xml:space="preserve">iven the absence of </w:t>
      </w:r>
      <w:r w:rsidR="0099191E" w:rsidRPr="009E3CC9">
        <w:rPr>
          <w:lang w:val="en-GB"/>
        </w:rPr>
        <w:t xml:space="preserve">any </w:t>
      </w:r>
      <w:r w:rsidR="00891FFA" w:rsidRPr="009E3CC9">
        <w:rPr>
          <w:lang w:val="en-GB"/>
        </w:rPr>
        <w:t xml:space="preserve">prohibition </w:t>
      </w:r>
      <w:r w:rsidR="0031451F" w:rsidRPr="009E3CC9">
        <w:rPr>
          <w:lang w:val="en-GB"/>
        </w:rPr>
        <w:t>to export gas from Estonia to Russia</w:t>
      </w:r>
      <w:r w:rsidR="00891FFA" w:rsidRPr="009E3CC9">
        <w:rPr>
          <w:lang w:val="en-GB"/>
        </w:rPr>
        <w:t>, both under the Estonian law and under Regulation</w:t>
      </w:r>
      <w:r w:rsidR="0099191E" w:rsidRPr="009E3CC9">
        <w:rPr>
          <w:lang w:val="en-GB"/>
        </w:rPr>
        <w:t xml:space="preserve"> (EU) </w:t>
      </w:r>
      <w:r w:rsidR="00891FFA" w:rsidRPr="009E3CC9">
        <w:rPr>
          <w:lang w:val="en-GB"/>
        </w:rPr>
        <w:t>2026/216</w:t>
      </w:r>
      <w:r w:rsidR="00F521C5" w:rsidRPr="009E3CC9">
        <w:rPr>
          <w:rStyle w:val="FootnoteReference"/>
          <w:lang w:val="en-GB"/>
        </w:rPr>
        <w:footnoteReference w:id="5"/>
      </w:r>
      <w:r w:rsidR="00891FFA" w:rsidRPr="009E3CC9">
        <w:rPr>
          <w:lang w:val="en-GB"/>
        </w:rPr>
        <w:t xml:space="preserve">, ACER is of the opinion that all the </w:t>
      </w:r>
      <w:r w:rsidRPr="009E3CC9">
        <w:rPr>
          <w:lang w:val="en-GB"/>
        </w:rPr>
        <w:t xml:space="preserve">provisions of EU gas network codes and guidelines </w:t>
      </w:r>
      <w:r w:rsidR="00891FFA" w:rsidRPr="009E3CC9">
        <w:rPr>
          <w:lang w:val="en-GB"/>
        </w:rPr>
        <w:t>not requiring mutual implementation</w:t>
      </w:r>
      <w:r w:rsidR="00A703EE" w:rsidRPr="009E3CC9">
        <w:rPr>
          <w:lang w:val="en-GB"/>
        </w:rPr>
        <w:t xml:space="preserve"> with the adjacent TSO</w:t>
      </w:r>
      <w:r w:rsidR="00DB2673" w:rsidRPr="009E3CC9">
        <w:rPr>
          <w:rStyle w:val="FootnoteReference"/>
          <w:lang w:val="en-GB"/>
        </w:rPr>
        <w:footnoteReference w:id="6"/>
      </w:r>
      <w:r w:rsidR="00891FFA" w:rsidRPr="009E3CC9">
        <w:rPr>
          <w:lang w:val="en-GB"/>
        </w:rPr>
        <w:t xml:space="preserve"> </w:t>
      </w:r>
      <w:r w:rsidRPr="009E3CC9">
        <w:rPr>
          <w:lang w:val="en-GB"/>
        </w:rPr>
        <w:t xml:space="preserve">shall apply </w:t>
      </w:r>
      <w:r w:rsidR="00891FFA" w:rsidRPr="009E3CC9">
        <w:rPr>
          <w:lang w:val="en-GB"/>
        </w:rPr>
        <w:t>at Luhamaa exit point</w:t>
      </w:r>
      <w:r w:rsidRPr="009E3CC9">
        <w:rPr>
          <w:lang w:val="en-GB"/>
        </w:rPr>
        <w:t xml:space="preserve">, </w:t>
      </w:r>
      <w:r w:rsidR="00A703EE" w:rsidRPr="009E3CC9">
        <w:rPr>
          <w:lang w:val="en-GB"/>
        </w:rPr>
        <w:t>should the point become operational again</w:t>
      </w:r>
      <w:r w:rsidR="0031451F" w:rsidRPr="009E3CC9">
        <w:rPr>
          <w:lang w:val="en-GB"/>
        </w:rPr>
        <w:t xml:space="preserve">. </w:t>
      </w:r>
    </w:p>
    <w:p w14:paraId="710B851F" w14:textId="29F1E29A" w:rsidR="004C0EFD" w:rsidRPr="009E3CC9" w:rsidRDefault="004C0EFD" w:rsidP="001F179C">
      <w:pPr>
        <w:pStyle w:val="Recital"/>
        <w:rPr>
          <w:lang w:val="en-GB"/>
        </w:rPr>
      </w:pPr>
      <w:r w:rsidRPr="009E3CC9">
        <w:rPr>
          <w:lang w:val="en-GB"/>
        </w:rPr>
        <w:t>Therefore, ACER considers ECA’s derogation request as solely related to the entry side of the Luhamaa interconnection point</w:t>
      </w:r>
      <w:r w:rsidR="001F179C" w:rsidRPr="009E3CC9">
        <w:rPr>
          <w:lang w:val="en-GB"/>
        </w:rPr>
        <w:t>.</w:t>
      </w:r>
    </w:p>
    <w:p w14:paraId="2B6D3A9E" w14:textId="18913604" w:rsidR="001F179C" w:rsidRPr="009E3CC9" w:rsidRDefault="001F179C" w:rsidP="001F179C">
      <w:pPr>
        <w:pStyle w:val="Recital"/>
        <w:rPr>
          <w:lang w:val="en-GB"/>
        </w:rPr>
      </w:pPr>
      <w:r w:rsidRPr="009E3CC9">
        <w:rPr>
          <w:lang w:val="en-GB"/>
        </w:rPr>
        <w:t xml:space="preserve">In this section, ACER analyses the current framework on capacity allocation, </w:t>
      </w:r>
      <w:r w:rsidR="00A70211">
        <w:rPr>
          <w:lang w:val="en-GB"/>
        </w:rPr>
        <w:t xml:space="preserve">balancing, </w:t>
      </w:r>
      <w:r w:rsidRPr="009E3CC9">
        <w:rPr>
          <w:lang w:val="en-GB"/>
        </w:rPr>
        <w:t>congestion management, interoperability, and tariffs applying at the Luhamaa entry point.</w:t>
      </w:r>
    </w:p>
    <w:p w14:paraId="5893F995" w14:textId="77777777" w:rsidR="001F179C" w:rsidRPr="009E3CC9" w:rsidRDefault="001F179C" w:rsidP="001F179C">
      <w:pPr>
        <w:pStyle w:val="Recital"/>
        <w:numPr>
          <w:ilvl w:val="0"/>
          <w:numId w:val="0"/>
        </w:numPr>
        <w:ind w:left="567"/>
        <w:rPr>
          <w:b/>
          <w:bCs/>
          <w:lang w:val="en-GB"/>
        </w:rPr>
      </w:pPr>
      <w:r w:rsidRPr="009E3CC9">
        <w:rPr>
          <w:b/>
          <w:bCs/>
          <w:lang w:val="en-GB"/>
        </w:rPr>
        <w:t>Capacity allocation</w:t>
      </w:r>
    </w:p>
    <w:p w14:paraId="05FA6918" w14:textId="182EA41F" w:rsidR="00471381" w:rsidRPr="009E3CC9" w:rsidRDefault="00471381" w:rsidP="00471381">
      <w:pPr>
        <w:pStyle w:val="Recital"/>
        <w:rPr>
          <w:lang w:val="en-GB"/>
        </w:rPr>
      </w:pPr>
      <w:r w:rsidRPr="009E3CC9">
        <w:rPr>
          <w:lang w:val="en-GB"/>
        </w:rPr>
        <w:t xml:space="preserve">ACER understands that only firm capacity products are offered at the Luhamaa entry point. This transportation capacity </w:t>
      </w:r>
      <w:r w:rsidR="001F179C" w:rsidRPr="009E3CC9">
        <w:rPr>
          <w:lang w:val="en-GB"/>
        </w:rPr>
        <w:t xml:space="preserve">is allocated exclusively through daily capacity products, and specifically through a transportation notification submitted by the third-country TSO at least two weeks prior to the day of delivery. </w:t>
      </w:r>
    </w:p>
    <w:p w14:paraId="4E12FF7C" w14:textId="3A00707E" w:rsidR="00471381" w:rsidRPr="009E3CC9" w:rsidRDefault="001F179C" w:rsidP="00471381">
      <w:pPr>
        <w:pStyle w:val="Recital"/>
        <w:rPr>
          <w:lang w:val="en-GB"/>
        </w:rPr>
      </w:pPr>
      <w:r w:rsidRPr="009E3CC9">
        <w:rPr>
          <w:lang w:val="en-GB"/>
        </w:rPr>
        <w:t xml:space="preserve">Such transportation notification must be confirmed by a </w:t>
      </w:r>
      <w:r w:rsidR="002A4B2D">
        <w:rPr>
          <w:lang w:val="en-GB"/>
        </w:rPr>
        <w:t xml:space="preserve">third-party </w:t>
      </w:r>
      <w:r w:rsidRPr="009E3CC9">
        <w:rPr>
          <w:lang w:val="en-GB"/>
        </w:rPr>
        <w:t xml:space="preserve">network user holding capacity both at the Luhamaa entry point and at the Kiemenai exit point (connecting </w:t>
      </w:r>
      <w:r w:rsidR="00D77EAD" w:rsidRPr="009E3CC9">
        <w:rPr>
          <w:lang w:val="en-GB"/>
        </w:rPr>
        <w:t xml:space="preserve">the </w:t>
      </w:r>
      <w:r w:rsidRPr="009E3CC9">
        <w:rPr>
          <w:lang w:val="en-GB"/>
        </w:rPr>
        <w:t>Latvia</w:t>
      </w:r>
      <w:r w:rsidR="00D77EAD" w:rsidRPr="009E3CC9">
        <w:rPr>
          <w:lang w:val="en-GB"/>
        </w:rPr>
        <w:t xml:space="preserve">n gas network to the </w:t>
      </w:r>
      <w:r w:rsidRPr="009E3CC9">
        <w:rPr>
          <w:lang w:val="en-GB"/>
        </w:rPr>
        <w:t>Lithuania</w:t>
      </w:r>
      <w:r w:rsidR="00D77EAD" w:rsidRPr="009E3CC9">
        <w:rPr>
          <w:lang w:val="en-GB"/>
        </w:rPr>
        <w:t>n gas network</w:t>
      </w:r>
      <w:r w:rsidRPr="009E3CC9">
        <w:rPr>
          <w:lang w:val="en-GB"/>
        </w:rPr>
        <w:t>).</w:t>
      </w:r>
      <w:r w:rsidR="00471381" w:rsidRPr="009E3CC9">
        <w:rPr>
          <w:lang w:val="en-GB"/>
        </w:rPr>
        <w:t xml:space="preserve"> </w:t>
      </w:r>
    </w:p>
    <w:p w14:paraId="09C5561F" w14:textId="2A092059" w:rsidR="00471381" w:rsidRPr="009E3CC9" w:rsidRDefault="00471381" w:rsidP="00471381">
      <w:pPr>
        <w:pStyle w:val="Recital"/>
        <w:rPr>
          <w:lang w:val="en-GB"/>
        </w:rPr>
      </w:pPr>
      <w:r w:rsidRPr="009E3CC9">
        <w:rPr>
          <w:lang w:val="en-GB"/>
        </w:rPr>
        <w:t>Therefore, this framework partially implements the provisions of Regulation (EU) 2017/459 (‘CAM NC’)</w:t>
      </w:r>
      <w:r w:rsidRPr="009E3CC9">
        <w:rPr>
          <w:rStyle w:val="FootnoteReference"/>
          <w:lang w:val="en-GB"/>
        </w:rPr>
        <w:footnoteReference w:id="7"/>
      </w:r>
      <w:r w:rsidRPr="009E3CC9">
        <w:rPr>
          <w:lang w:val="en-GB"/>
        </w:rPr>
        <w:t>.</w:t>
      </w:r>
    </w:p>
    <w:p w14:paraId="24AB4256" w14:textId="19DED66E" w:rsidR="001F179C" w:rsidRPr="009E3CC9" w:rsidRDefault="003A787F" w:rsidP="001F179C">
      <w:pPr>
        <w:pStyle w:val="Recital"/>
        <w:rPr>
          <w:lang w:val="en-GB"/>
        </w:rPr>
      </w:pPr>
      <w:r w:rsidRPr="009E3CC9">
        <w:rPr>
          <w:lang w:val="en-GB"/>
        </w:rPr>
        <w:t>T</w:t>
      </w:r>
      <w:r w:rsidR="001F179C" w:rsidRPr="009E3CC9">
        <w:rPr>
          <w:lang w:val="en-GB"/>
        </w:rPr>
        <w:t>he capacity booked and the physical flows at the Luhamaa entry point have been scattered</w:t>
      </w:r>
      <w:r w:rsidRPr="009E3CC9">
        <w:rPr>
          <w:lang w:val="en-GB"/>
        </w:rPr>
        <w:t xml:space="preserve"> since 2023</w:t>
      </w:r>
      <w:r w:rsidR="001F179C" w:rsidRPr="009E3CC9">
        <w:rPr>
          <w:lang w:val="en-GB"/>
        </w:rPr>
        <w:t xml:space="preserve">, with capacity </w:t>
      </w:r>
      <w:r w:rsidR="00F25924">
        <w:rPr>
          <w:lang w:val="en-GB"/>
        </w:rPr>
        <w:t xml:space="preserve">only </w:t>
      </w:r>
      <w:r w:rsidR="001F179C" w:rsidRPr="009E3CC9">
        <w:rPr>
          <w:lang w:val="en-GB"/>
        </w:rPr>
        <w:t>booked for a few days in 2023 and in 2024.</w:t>
      </w:r>
      <w:r w:rsidR="002A5616" w:rsidRPr="009E3CC9">
        <w:rPr>
          <w:lang w:val="en-GB"/>
        </w:rPr>
        <w:t xml:space="preserve"> </w:t>
      </w:r>
      <w:r w:rsidRPr="009E3CC9">
        <w:rPr>
          <w:lang w:val="en-GB"/>
        </w:rPr>
        <w:t>Still</w:t>
      </w:r>
      <w:r w:rsidR="002A5616" w:rsidRPr="009E3CC9">
        <w:rPr>
          <w:lang w:val="en-GB"/>
        </w:rPr>
        <w:t>, the Luhamaa entry point can potentially ensure the flow of high volumes of gas</w:t>
      </w:r>
      <w:r w:rsidR="00DE515C">
        <w:rPr>
          <w:lang w:val="en-GB"/>
        </w:rPr>
        <w:t xml:space="preserve"> </w:t>
      </w:r>
      <w:r w:rsidR="002A5616" w:rsidRPr="009E3CC9">
        <w:rPr>
          <w:lang w:val="en-GB"/>
        </w:rPr>
        <w:t>compared to the size of the Estonian network.</w:t>
      </w:r>
    </w:p>
    <w:p w14:paraId="164AF825" w14:textId="77777777" w:rsidR="003A787F" w:rsidRPr="009E3CC9" w:rsidRDefault="003A787F" w:rsidP="003A787F">
      <w:pPr>
        <w:pStyle w:val="Recital"/>
        <w:numPr>
          <w:ilvl w:val="0"/>
          <w:numId w:val="0"/>
        </w:numPr>
        <w:ind w:left="567"/>
        <w:rPr>
          <w:b/>
          <w:bCs/>
          <w:lang w:val="en-GB"/>
        </w:rPr>
      </w:pPr>
      <w:r w:rsidRPr="009E3CC9">
        <w:rPr>
          <w:b/>
          <w:bCs/>
          <w:lang w:val="en-GB"/>
        </w:rPr>
        <w:lastRenderedPageBreak/>
        <w:t>Balancing</w:t>
      </w:r>
    </w:p>
    <w:p w14:paraId="48FD184C" w14:textId="38EB3BAF" w:rsidR="00297F52" w:rsidRPr="009E3CC9" w:rsidRDefault="00FE758B" w:rsidP="006076C5">
      <w:pPr>
        <w:pStyle w:val="Recital"/>
        <w:rPr>
          <w:lang w:val="en-GB"/>
        </w:rPr>
      </w:pPr>
      <w:r w:rsidRPr="009E3CC9">
        <w:rPr>
          <w:lang w:val="en-GB"/>
        </w:rPr>
        <w:t>ACER understand that a</w:t>
      </w:r>
      <w:r w:rsidR="00FF78A2" w:rsidRPr="009E3CC9">
        <w:rPr>
          <w:lang w:val="en-GB"/>
        </w:rPr>
        <w:t xml:space="preserve">ll the </w:t>
      </w:r>
      <w:r w:rsidR="003A787F" w:rsidRPr="009E3CC9">
        <w:rPr>
          <w:lang w:val="en-GB"/>
        </w:rPr>
        <w:t>provisions of Regulation (EU) 312/2014</w:t>
      </w:r>
      <w:r w:rsidR="003A787F" w:rsidRPr="009E3CC9">
        <w:rPr>
          <w:rStyle w:val="FootnoteReference"/>
          <w:lang w:val="en-GB"/>
        </w:rPr>
        <w:footnoteReference w:id="8"/>
      </w:r>
      <w:r w:rsidR="003A787F" w:rsidRPr="009E3CC9">
        <w:rPr>
          <w:lang w:val="en-GB"/>
        </w:rPr>
        <w:t xml:space="preserve"> (‘BAL NC’) </w:t>
      </w:r>
      <w:r w:rsidR="008F6397" w:rsidRPr="009E3CC9">
        <w:rPr>
          <w:lang w:val="en-GB"/>
        </w:rPr>
        <w:t xml:space="preserve">apply </w:t>
      </w:r>
      <w:r w:rsidR="00FF78A2" w:rsidRPr="009E3CC9">
        <w:rPr>
          <w:lang w:val="en-GB"/>
        </w:rPr>
        <w:t xml:space="preserve">at the </w:t>
      </w:r>
      <w:r w:rsidR="008F6397" w:rsidRPr="009E3CC9">
        <w:rPr>
          <w:lang w:val="en-GB"/>
        </w:rPr>
        <w:t>Luhamaa entry point</w:t>
      </w:r>
      <w:r w:rsidR="00FF78A2" w:rsidRPr="009E3CC9">
        <w:rPr>
          <w:lang w:val="en-GB"/>
        </w:rPr>
        <w:t xml:space="preserve"> (including those established in BAL NC Chapter VI</w:t>
      </w:r>
      <w:r w:rsidR="006076C5" w:rsidRPr="009E3CC9">
        <w:rPr>
          <w:lang w:val="en-GB"/>
        </w:rPr>
        <w:t>, i.e. regarding</w:t>
      </w:r>
      <w:r w:rsidR="00FF78A2" w:rsidRPr="009E3CC9">
        <w:rPr>
          <w:lang w:val="en-GB"/>
        </w:rPr>
        <w:t xml:space="preserve"> daily imbalance charges</w:t>
      </w:r>
      <w:r w:rsidR="006076C5" w:rsidRPr="009E3CC9">
        <w:rPr>
          <w:lang w:val="en-GB"/>
        </w:rPr>
        <w:t xml:space="preserve">, </w:t>
      </w:r>
      <w:r w:rsidR="00FF78A2" w:rsidRPr="009E3CC9">
        <w:rPr>
          <w:lang w:val="en-GB"/>
        </w:rPr>
        <w:t>and those</w:t>
      </w:r>
      <w:r w:rsidR="003A787F" w:rsidRPr="009E3CC9">
        <w:rPr>
          <w:lang w:val="en-GB"/>
        </w:rPr>
        <w:t xml:space="preserve"> </w:t>
      </w:r>
      <w:r w:rsidR="00FF78A2" w:rsidRPr="009E3CC9">
        <w:rPr>
          <w:lang w:val="en-GB"/>
        </w:rPr>
        <w:t xml:space="preserve">established in Chapter VII, </w:t>
      </w:r>
      <w:r w:rsidR="006076C5" w:rsidRPr="009E3CC9">
        <w:rPr>
          <w:lang w:val="en-GB"/>
        </w:rPr>
        <w:t xml:space="preserve">i.e. regarding </w:t>
      </w:r>
      <w:r w:rsidR="00FF78A2" w:rsidRPr="009E3CC9">
        <w:rPr>
          <w:lang w:val="en-GB"/>
        </w:rPr>
        <w:t>neutrality arrangements), excluding the following two ad-hoc provisions</w:t>
      </w:r>
      <w:r w:rsidR="006076C5" w:rsidRPr="009E3CC9">
        <w:rPr>
          <w:lang w:val="en-GB"/>
        </w:rPr>
        <w:t xml:space="preserve">. </w:t>
      </w:r>
    </w:p>
    <w:p w14:paraId="6B15E5D9" w14:textId="45A43E76" w:rsidR="00DB0385" w:rsidRPr="009E3CC9" w:rsidRDefault="006076C5" w:rsidP="006076C5">
      <w:pPr>
        <w:pStyle w:val="Recital"/>
        <w:rPr>
          <w:lang w:val="en-GB"/>
        </w:rPr>
      </w:pPr>
      <w:r w:rsidRPr="009E3CC9">
        <w:rPr>
          <w:lang w:val="en-GB"/>
        </w:rPr>
        <w:t>First, t</w:t>
      </w:r>
      <w:r w:rsidR="00DB0385" w:rsidRPr="009E3CC9">
        <w:rPr>
          <w:lang w:val="en-GB"/>
        </w:rPr>
        <w:t xml:space="preserve">he entry nominations and physical flows at Luhamaa entry point must equal the exit nominations and physical flows at the </w:t>
      </w:r>
      <w:r w:rsidR="003A787F" w:rsidRPr="009E3CC9">
        <w:rPr>
          <w:lang w:val="en-GB"/>
        </w:rPr>
        <w:t>Kiemenai exit point</w:t>
      </w:r>
      <w:r w:rsidR="00DB0385" w:rsidRPr="009E3CC9">
        <w:rPr>
          <w:lang w:val="en-GB"/>
        </w:rPr>
        <w:t xml:space="preserve">. </w:t>
      </w:r>
      <w:r w:rsidRPr="009E3CC9">
        <w:rPr>
          <w:lang w:val="en-GB"/>
        </w:rPr>
        <w:t>Second, t</w:t>
      </w:r>
      <w:r w:rsidR="004F58F9" w:rsidRPr="009E3CC9">
        <w:rPr>
          <w:lang w:val="en-GB"/>
        </w:rPr>
        <w:t xml:space="preserve">he imbalance volume in the event of discrepancies between the gas nominated and the gas physically injected at </w:t>
      </w:r>
      <w:r w:rsidR="00FF78A2" w:rsidRPr="009E3CC9">
        <w:rPr>
          <w:lang w:val="en-GB"/>
        </w:rPr>
        <w:t xml:space="preserve">the </w:t>
      </w:r>
      <w:r w:rsidR="004F58F9" w:rsidRPr="009E3CC9">
        <w:rPr>
          <w:lang w:val="en-GB"/>
        </w:rPr>
        <w:t xml:space="preserve">Luhamaa </w:t>
      </w:r>
      <w:r w:rsidR="00FF78A2" w:rsidRPr="009E3CC9">
        <w:rPr>
          <w:lang w:val="en-GB"/>
        </w:rPr>
        <w:t xml:space="preserve">entry point </w:t>
      </w:r>
      <w:r w:rsidR="004F58F9" w:rsidRPr="009E3CC9">
        <w:rPr>
          <w:lang w:val="en-GB"/>
        </w:rPr>
        <w:t xml:space="preserve">is allocated on </w:t>
      </w:r>
      <w:r w:rsidR="00DB0385" w:rsidRPr="009E3CC9">
        <w:rPr>
          <w:lang w:val="en-GB"/>
        </w:rPr>
        <w:t xml:space="preserve">a monthly basis and pro-rata on the basis of the share of capacity bookings </w:t>
      </w:r>
      <w:r w:rsidR="004F58F9" w:rsidRPr="009E3CC9">
        <w:rPr>
          <w:lang w:val="en-GB"/>
        </w:rPr>
        <w:t xml:space="preserve">at the Luhamaa entry point </w:t>
      </w:r>
      <w:r w:rsidR="00DB0385" w:rsidRPr="009E3CC9">
        <w:rPr>
          <w:lang w:val="en-GB"/>
        </w:rPr>
        <w:t xml:space="preserve">(while at other interconnection points of the common zone, </w:t>
      </w:r>
      <w:r w:rsidR="004F58F9" w:rsidRPr="009E3CC9">
        <w:rPr>
          <w:lang w:val="en-GB"/>
        </w:rPr>
        <w:t xml:space="preserve">the </w:t>
      </w:r>
      <w:r w:rsidR="00DB0385" w:rsidRPr="009E3CC9">
        <w:rPr>
          <w:lang w:val="en-GB"/>
        </w:rPr>
        <w:t xml:space="preserve">imbalance volumes are allocated on a daily basis and pro-rata on the basis of </w:t>
      </w:r>
      <w:r w:rsidR="004F58F9" w:rsidRPr="009E3CC9">
        <w:rPr>
          <w:lang w:val="en-GB"/>
        </w:rPr>
        <w:t xml:space="preserve">the share of </w:t>
      </w:r>
      <w:r w:rsidR="00DB0385" w:rsidRPr="009E3CC9">
        <w:rPr>
          <w:lang w:val="en-GB"/>
        </w:rPr>
        <w:t>network users</w:t>
      </w:r>
      <w:r w:rsidR="004F58F9" w:rsidRPr="009E3CC9">
        <w:rPr>
          <w:lang w:val="en-GB"/>
        </w:rPr>
        <w:t>’ nominations)</w:t>
      </w:r>
      <w:r w:rsidR="00DB0385" w:rsidRPr="009E3CC9">
        <w:rPr>
          <w:lang w:val="en-GB"/>
        </w:rPr>
        <w:t>.</w:t>
      </w:r>
    </w:p>
    <w:p w14:paraId="22481123" w14:textId="7E633163" w:rsidR="00FF78A2" w:rsidRPr="009E3CC9" w:rsidRDefault="00FF78A2" w:rsidP="00FF78A2">
      <w:pPr>
        <w:pStyle w:val="Recital"/>
        <w:numPr>
          <w:ilvl w:val="0"/>
          <w:numId w:val="0"/>
        </w:numPr>
        <w:ind w:left="568"/>
        <w:rPr>
          <w:b/>
          <w:bCs/>
          <w:lang w:val="en-GB"/>
        </w:rPr>
      </w:pPr>
      <w:r w:rsidRPr="009E3CC9">
        <w:rPr>
          <w:b/>
          <w:bCs/>
          <w:lang w:val="en-GB"/>
        </w:rPr>
        <w:t>Congestion management</w:t>
      </w:r>
    </w:p>
    <w:p w14:paraId="656D93D1" w14:textId="1DDF4B15" w:rsidR="00DB0385" w:rsidRPr="009E3CC9" w:rsidRDefault="00FF78A2" w:rsidP="00DB0385">
      <w:pPr>
        <w:pStyle w:val="Recital"/>
        <w:rPr>
          <w:lang w:val="en-GB"/>
        </w:rPr>
      </w:pPr>
      <w:r w:rsidRPr="009E3CC9">
        <w:rPr>
          <w:lang w:val="en-GB"/>
        </w:rPr>
        <w:t>No</w:t>
      </w:r>
      <w:r w:rsidR="00DB0385" w:rsidRPr="009E3CC9">
        <w:rPr>
          <w:lang w:val="en-GB"/>
        </w:rPr>
        <w:t xml:space="preserve">ne of the provisions </w:t>
      </w:r>
      <w:r w:rsidR="00C2672B" w:rsidRPr="009E3CC9">
        <w:rPr>
          <w:lang w:val="en-GB"/>
        </w:rPr>
        <w:t xml:space="preserve">established in </w:t>
      </w:r>
      <w:r w:rsidRPr="009E3CC9">
        <w:rPr>
          <w:lang w:val="en-GB"/>
        </w:rPr>
        <w:t>Annex I, paragraph 2.2.</w:t>
      </w:r>
      <w:r w:rsidR="00C2672B" w:rsidRPr="009E3CC9">
        <w:rPr>
          <w:lang w:val="en-GB"/>
        </w:rPr>
        <w:t xml:space="preserve"> of the recast Gas Regulation</w:t>
      </w:r>
      <w:r w:rsidRPr="009E3CC9">
        <w:rPr>
          <w:lang w:val="en-GB"/>
        </w:rPr>
        <w:t xml:space="preserve">, i.e. regarding congestion management procedures in the event of contractual congestion, </w:t>
      </w:r>
      <w:r w:rsidR="00DB0385" w:rsidRPr="009E3CC9">
        <w:rPr>
          <w:lang w:val="en-GB"/>
        </w:rPr>
        <w:t xml:space="preserve">apply at Luhamaa entry point. </w:t>
      </w:r>
      <w:r w:rsidR="00675265">
        <w:rPr>
          <w:lang w:val="en-GB"/>
        </w:rPr>
        <w:t xml:space="preserve">ACER notes that it </w:t>
      </w:r>
      <w:r w:rsidR="00DB0385" w:rsidRPr="009E3CC9">
        <w:rPr>
          <w:lang w:val="en-GB"/>
        </w:rPr>
        <w:t>is unlikely that measures to manage contractual congestions would be needed at Luhamaa entry point</w:t>
      </w:r>
      <w:r w:rsidR="00B3028B" w:rsidRPr="009E3CC9">
        <w:rPr>
          <w:lang w:val="en-GB"/>
        </w:rPr>
        <w:t xml:space="preserve"> under </w:t>
      </w:r>
      <w:r w:rsidR="00AB6841" w:rsidRPr="009E3CC9">
        <w:rPr>
          <w:lang w:val="en-GB"/>
        </w:rPr>
        <w:t xml:space="preserve">the current </w:t>
      </w:r>
      <w:r w:rsidR="00C2672B" w:rsidRPr="009E3CC9">
        <w:rPr>
          <w:lang w:val="en-GB"/>
        </w:rPr>
        <w:t xml:space="preserve">specific </w:t>
      </w:r>
      <w:r w:rsidR="00B3028B" w:rsidRPr="009E3CC9">
        <w:rPr>
          <w:lang w:val="en-GB"/>
        </w:rPr>
        <w:t>circumstances</w:t>
      </w:r>
      <w:r w:rsidR="00DB0385" w:rsidRPr="009E3CC9">
        <w:rPr>
          <w:lang w:val="en-GB"/>
        </w:rPr>
        <w:t>.</w:t>
      </w:r>
    </w:p>
    <w:p w14:paraId="7D8CA21C" w14:textId="07668E08" w:rsidR="00C2672B" w:rsidRPr="009E3CC9" w:rsidRDefault="00C2672B" w:rsidP="00C2672B">
      <w:pPr>
        <w:pStyle w:val="Recital"/>
        <w:numPr>
          <w:ilvl w:val="0"/>
          <w:numId w:val="0"/>
        </w:numPr>
        <w:ind w:left="567"/>
        <w:rPr>
          <w:b/>
          <w:bCs/>
          <w:lang w:val="en-GB"/>
        </w:rPr>
      </w:pPr>
      <w:r w:rsidRPr="009E3CC9">
        <w:rPr>
          <w:b/>
          <w:bCs/>
          <w:lang w:val="en-GB"/>
        </w:rPr>
        <w:t>Interoperability</w:t>
      </w:r>
    </w:p>
    <w:p w14:paraId="69429540" w14:textId="01DEE98A" w:rsidR="00C2672B" w:rsidRPr="009E3CC9" w:rsidRDefault="00C2672B" w:rsidP="00C663D7">
      <w:pPr>
        <w:pStyle w:val="Recital"/>
        <w:rPr>
          <w:lang w:val="en-GB"/>
        </w:rPr>
      </w:pPr>
      <w:r w:rsidRPr="009E3CC9">
        <w:rPr>
          <w:lang w:val="en-GB"/>
        </w:rPr>
        <w:t xml:space="preserve">Articles 16 of </w:t>
      </w:r>
      <w:r w:rsidR="006339B9" w:rsidRPr="009E3CC9">
        <w:rPr>
          <w:lang w:val="en-GB"/>
        </w:rPr>
        <w:t xml:space="preserve">Regulation (EU) </w:t>
      </w:r>
      <w:r w:rsidR="0000014B" w:rsidRPr="009E3CC9">
        <w:rPr>
          <w:lang w:val="en-GB"/>
        </w:rPr>
        <w:t>201</w:t>
      </w:r>
      <w:r w:rsidR="00E53F89">
        <w:rPr>
          <w:lang w:val="en-GB"/>
        </w:rPr>
        <w:t>5</w:t>
      </w:r>
      <w:r w:rsidR="0000014B" w:rsidRPr="009E3CC9">
        <w:rPr>
          <w:lang w:val="en-GB"/>
        </w:rPr>
        <w:t>/</w:t>
      </w:r>
      <w:r w:rsidR="00C61F42" w:rsidRPr="00C1185E">
        <w:t>703</w:t>
      </w:r>
      <w:r w:rsidRPr="009E3CC9">
        <w:rPr>
          <w:rStyle w:val="FootnoteReference"/>
          <w:lang w:val="en-GB"/>
        </w:rPr>
        <w:footnoteReference w:id="9"/>
      </w:r>
      <w:r w:rsidR="00EB4B71" w:rsidRPr="009E3CC9">
        <w:rPr>
          <w:lang w:val="en-GB"/>
        </w:rPr>
        <w:t xml:space="preserve"> (‘INT NC’)</w:t>
      </w:r>
      <w:r w:rsidRPr="009E3CC9">
        <w:rPr>
          <w:lang w:val="en-GB"/>
        </w:rPr>
        <w:t xml:space="preserve"> establish that TSOs shall publish on their website for each interconnection point, with a frequency of at least once per hour during the gas day, the Wobbe-index and gross calorific value for gas directly entering their networks. This provision is not implemented at the Luhamaa entry point.</w:t>
      </w:r>
    </w:p>
    <w:p w14:paraId="6D303251" w14:textId="77777777" w:rsidR="00471381" w:rsidRPr="009E3CC9" w:rsidRDefault="00C2672B" w:rsidP="00471381">
      <w:pPr>
        <w:pStyle w:val="Recital"/>
        <w:numPr>
          <w:ilvl w:val="0"/>
          <w:numId w:val="0"/>
        </w:numPr>
        <w:ind w:left="567"/>
        <w:rPr>
          <w:b/>
          <w:bCs/>
          <w:lang w:val="en-GB"/>
        </w:rPr>
      </w:pPr>
      <w:r w:rsidRPr="009E3CC9">
        <w:rPr>
          <w:b/>
          <w:bCs/>
          <w:lang w:val="en-GB"/>
        </w:rPr>
        <w:t>Tariffs</w:t>
      </w:r>
    </w:p>
    <w:p w14:paraId="0BD86610" w14:textId="66255D15" w:rsidR="00471381" w:rsidRPr="009E3CC9" w:rsidRDefault="00BE6C22" w:rsidP="00FE758B">
      <w:pPr>
        <w:pStyle w:val="Recital"/>
        <w:rPr>
          <w:lang w:val="en-GB"/>
        </w:rPr>
      </w:pPr>
      <w:r w:rsidRPr="009E3CC9">
        <w:rPr>
          <w:lang w:val="en-GB"/>
        </w:rPr>
        <w:t xml:space="preserve">ACER understands that </w:t>
      </w:r>
      <w:r w:rsidR="004F58F9" w:rsidRPr="009E3CC9">
        <w:rPr>
          <w:lang w:val="en-GB"/>
        </w:rPr>
        <w:t xml:space="preserve">the implementation of </w:t>
      </w:r>
      <w:r w:rsidR="00C2672B" w:rsidRPr="009E3CC9">
        <w:rPr>
          <w:lang w:val="en-GB"/>
        </w:rPr>
        <w:t>Regulation (EU) 2017/460</w:t>
      </w:r>
      <w:r w:rsidR="00700529" w:rsidRPr="009E3CC9">
        <w:rPr>
          <w:rStyle w:val="FootnoteReference"/>
          <w:lang w:val="en-GB"/>
        </w:rPr>
        <w:footnoteReference w:id="10"/>
      </w:r>
      <w:r w:rsidR="00C2672B" w:rsidRPr="009E3CC9">
        <w:rPr>
          <w:lang w:val="en-GB"/>
        </w:rPr>
        <w:t xml:space="preserve"> (‘TAR NC’) at the Luhamaa entry point </w:t>
      </w:r>
      <w:r w:rsidR="00FE758B" w:rsidRPr="009E3CC9">
        <w:rPr>
          <w:lang w:val="en-GB"/>
        </w:rPr>
        <w:t xml:space="preserve">was not completed </w:t>
      </w:r>
      <w:r w:rsidR="00632AFC" w:rsidRPr="009E3CC9">
        <w:rPr>
          <w:lang w:val="en-GB"/>
        </w:rPr>
        <w:t xml:space="preserve">by ECA when </w:t>
      </w:r>
      <w:r w:rsidR="00FE758B" w:rsidRPr="009E3CC9">
        <w:rPr>
          <w:lang w:val="en-GB"/>
        </w:rPr>
        <w:t xml:space="preserve">setting the reference price methodology for the Estonian </w:t>
      </w:r>
      <w:r w:rsidR="00632AFC" w:rsidRPr="009E3CC9">
        <w:rPr>
          <w:lang w:val="en-GB"/>
        </w:rPr>
        <w:t>gas network points for the regulatory period 2025-2029</w:t>
      </w:r>
      <w:r w:rsidR="00C2672B" w:rsidRPr="009E3CC9">
        <w:rPr>
          <w:lang w:val="en-GB"/>
        </w:rPr>
        <w:t xml:space="preserve">. </w:t>
      </w:r>
      <w:r w:rsidR="00632AFC" w:rsidRPr="009E3CC9">
        <w:rPr>
          <w:lang w:val="en-GB"/>
        </w:rPr>
        <w:t xml:space="preserve">In fact, in 2024 </w:t>
      </w:r>
      <w:r w:rsidRPr="009E3CC9">
        <w:rPr>
          <w:lang w:val="en-GB"/>
        </w:rPr>
        <w:t>ECA</w:t>
      </w:r>
      <w:r w:rsidR="009066B9" w:rsidRPr="009E3CC9">
        <w:rPr>
          <w:lang w:val="en-GB"/>
        </w:rPr>
        <w:t xml:space="preserve"> </w:t>
      </w:r>
      <w:r w:rsidR="00632AFC" w:rsidRPr="009E3CC9">
        <w:rPr>
          <w:lang w:val="en-GB"/>
        </w:rPr>
        <w:t xml:space="preserve">foresaw </w:t>
      </w:r>
      <w:r w:rsidR="00700529" w:rsidRPr="009E3CC9">
        <w:rPr>
          <w:lang w:val="en-GB"/>
        </w:rPr>
        <w:t xml:space="preserve">a </w:t>
      </w:r>
      <w:r w:rsidR="009066B9" w:rsidRPr="009E3CC9">
        <w:rPr>
          <w:lang w:val="en-GB"/>
        </w:rPr>
        <w:t>null level of bookings</w:t>
      </w:r>
      <w:r w:rsidR="00632AFC" w:rsidRPr="009E3CC9">
        <w:rPr>
          <w:lang w:val="en-GB"/>
        </w:rPr>
        <w:t xml:space="preserve"> at such interconnection point</w:t>
      </w:r>
      <w:r w:rsidRPr="009E3CC9">
        <w:rPr>
          <w:lang w:val="en-GB"/>
        </w:rPr>
        <w:t xml:space="preserve">. </w:t>
      </w:r>
    </w:p>
    <w:p w14:paraId="530F9007" w14:textId="182BCDBF" w:rsidR="00BE6C22" w:rsidRPr="009E3CC9" w:rsidRDefault="00FE758B" w:rsidP="00915876">
      <w:pPr>
        <w:pStyle w:val="Recital"/>
        <w:rPr>
          <w:lang w:val="en-GB"/>
        </w:rPr>
      </w:pPr>
      <w:r w:rsidRPr="009E3CC9">
        <w:rPr>
          <w:lang w:val="en-GB"/>
        </w:rPr>
        <w:t xml:space="preserve">Still, </w:t>
      </w:r>
      <w:r w:rsidR="00915876" w:rsidRPr="009E3CC9">
        <w:rPr>
          <w:lang w:val="en-GB"/>
        </w:rPr>
        <w:t xml:space="preserve">as </w:t>
      </w:r>
      <w:r w:rsidR="00BE6C22" w:rsidRPr="009E3CC9">
        <w:rPr>
          <w:lang w:val="en-GB"/>
        </w:rPr>
        <w:t xml:space="preserve">Estonia </w:t>
      </w:r>
      <w:r w:rsidR="00915876" w:rsidRPr="009E3CC9">
        <w:rPr>
          <w:lang w:val="en-GB"/>
        </w:rPr>
        <w:t xml:space="preserve">is </w:t>
      </w:r>
      <w:r w:rsidR="00BE6C22" w:rsidRPr="009E3CC9">
        <w:rPr>
          <w:lang w:val="en-GB"/>
        </w:rPr>
        <w:t xml:space="preserve">part of the FinEstLat gas zone, </w:t>
      </w:r>
      <w:r w:rsidR="00915876" w:rsidRPr="009E3CC9">
        <w:rPr>
          <w:lang w:val="en-GB"/>
        </w:rPr>
        <w:t xml:space="preserve">the tariff applying at the Luhamaa entry point is the same as </w:t>
      </w:r>
      <w:r w:rsidR="00576C4A" w:rsidRPr="009E3CC9">
        <w:rPr>
          <w:lang w:val="en-GB"/>
        </w:rPr>
        <w:t xml:space="preserve">the tariff applying at all the other entry points of the </w:t>
      </w:r>
      <w:r w:rsidR="00632C82" w:rsidRPr="009E3CC9">
        <w:rPr>
          <w:lang w:val="en-GB"/>
        </w:rPr>
        <w:t>FinEstLat zone</w:t>
      </w:r>
      <w:r w:rsidR="00915876" w:rsidRPr="009E3CC9">
        <w:rPr>
          <w:lang w:val="en-GB"/>
        </w:rPr>
        <w:t xml:space="preserve">. </w:t>
      </w:r>
      <w:r w:rsidR="00700529" w:rsidRPr="009E3CC9">
        <w:rPr>
          <w:lang w:val="en-GB"/>
        </w:rPr>
        <w:t xml:space="preserve">For </w:t>
      </w:r>
      <w:r w:rsidR="00915876" w:rsidRPr="009E3CC9">
        <w:rPr>
          <w:lang w:val="en-GB"/>
        </w:rPr>
        <w:t xml:space="preserve">2026, such tariff is </w:t>
      </w:r>
      <w:r w:rsidR="00576C4A" w:rsidRPr="009E3CC9">
        <w:rPr>
          <w:lang w:val="en-GB"/>
        </w:rPr>
        <w:t xml:space="preserve">set at </w:t>
      </w:r>
      <w:r w:rsidR="00BE6C22" w:rsidRPr="009E3CC9">
        <w:rPr>
          <w:lang w:val="en-GB"/>
        </w:rPr>
        <w:t>142.77 EUR/MWh/</w:t>
      </w:r>
      <w:r w:rsidR="00723E7A" w:rsidRPr="009E3CC9">
        <w:rPr>
          <w:lang w:val="en-GB"/>
        </w:rPr>
        <w:t>day,</w:t>
      </w:r>
      <w:r w:rsidR="00BE6C22" w:rsidRPr="009E3CC9">
        <w:rPr>
          <w:lang w:val="en-GB"/>
        </w:rPr>
        <w:t xml:space="preserve"> and </w:t>
      </w:r>
      <w:r w:rsidR="00F71EA3" w:rsidRPr="009E3CC9">
        <w:rPr>
          <w:lang w:val="en-GB"/>
        </w:rPr>
        <w:t xml:space="preserve">the </w:t>
      </w:r>
      <w:r w:rsidR="00576C4A" w:rsidRPr="009E3CC9">
        <w:rPr>
          <w:lang w:val="en-GB"/>
        </w:rPr>
        <w:t xml:space="preserve">relating </w:t>
      </w:r>
      <w:r w:rsidR="00700529" w:rsidRPr="009E3CC9">
        <w:rPr>
          <w:lang w:val="en-GB"/>
        </w:rPr>
        <w:t xml:space="preserve">daily </w:t>
      </w:r>
      <w:r w:rsidR="00847C49" w:rsidRPr="009E3CC9">
        <w:rPr>
          <w:lang w:val="en-GB"/>
        </w:rPr>
        <w:t>multiplier</w:t>
      </w:r>
      <w:r w:rsidR="00700529" w:rsidRPr="009E3CC9">
        <w:rPr>
          <w:lang w:val="en-GB"/>
        </w:rPr>
        <w:t xml:space="preserve"> is </w:t>
      </w:r>
      <w:r w:rsidR="00576C4A" w:rsidRPr="009E3CC9">
        <w:rPr>
          <w:lang w:val="en-GB"/>
        </w:rPr>
        <w:t xml:space="preserve">set at </w:t>
      </w:r>
      <w:r w:rsidR="00700529" w:rsidRPr="009E3CC9">
        <w:rPr>
          <w:lang w:val="en-GB"/>
        </w:rPr>
        <w:t>1</w:t>
      </w:r>
      <w:r w:rsidR="00BE6C22" w:rsidRPr="009E3CC9">
        <w:rPr>
          <w:lang w:val="en-GB"/>
        </w:rPr>
        <w:t>.</w:t>
      </w:r>
      <w:r w:rsidR="00700529" w:rsidRPr="009E3CC9">
        <w:rPr>
          <w:lang w:val="en-GB"/>
        </w:rPr>
        <w:t>5.</w:t>
      </w:r>
      <w:r w:rsidR="00BE6C22" w:rsidRPr="009E3CC9">
        <w:rPr>
          <w:lang w:val="en-GB"/>
        </w:rPr>
        <w:t xml:space="preserve"> </w:t>
      </w:r>
    </w:p>
    <w:p w14:paraId="4FCC3408" w14:textId="2117FD39" w:rsidR="00814488" w:rsidRPr="009E3CC9" w:rsidRDefault="00814488" w:rsidP="00BE6C22">
      <w:pPr>
        <w:pStyle w:val="2ndlevelHeading"/>
        <w:rPr>
          <w:lang w:val="en-GB"/>
        </w:rPr>
      </w:pPr>
      <w:r w:rsidRPr="009E3CC9">
        <w:rPr>
          <w:lang w:val="en-GB"/>
        </w:rPr>
        <w:t>ACER considerations</w:t>
      </w:r>
    </w:p>
    <w:p w14:paraId="0FEF7FAD" w14:textId="0D4BBFCD" w:rsidR="00576C4A" w:rsidRPr="009E3CC9" w:rsidRDefault="00576C4A" w:rsidP="00576C4A">
      <w:pPr>
        <w:pStyle w:val="Recital"/>
        <w:rPr>
          <w:lang w:val="en-GB"/>
        </w:rPr>
      </w:pPr>
      <w:r w:rsidRPr="009E3CC9">
        <w:rPr>
          <w:lang w:val="en-GB"/>
        </w:rPr>
        <w:t xml:space="preserve">ACER acknowledges the existence of an exceptional situation in Estonia, in which ECA is required to ensure both that the prohibition on importing gas originating from the Russian Federation into Estonia is respected and that gas originating from the Russian Federation reaches the Kaliningrad region </w:t>
      </w:r>
      <w:r w:rsidR="00CF3936" w:rsidRPr="009E3CC9">
        <w:rPr>
          <w:lang w:val="en-GB"/>
        </w:rPr>
        <w:t>as a back-up route</w:t>
      </w:r>
      <w:r w:rsidR="00CF3936" w:rsidRPr="009E3CC9">
        <w:rPr>
          <w:lang w:val="en-GB"/>
        </w:rPr>
        <w:t xml:space="preserve"> </w:t>
      </w:r>
      <w:r w:rsidRPr="009E3CC9">
        <w:rPr>
          <w:lang w:val="en-GB"/>
        </w:rPr>
        <w:t>via the Luhamaa entry point.</w:t>
      </w:r>
    </w:p>
    <w:p w14:paraId="1327587D" w14:textId="77777777" w:rsidR="00113C58" w:rsidRPr="009E3CC9" w:rsidRDefault="00113C58" w:rsidP="00113C58">
      <w:pPr>
        <w:pStyle w:val="Recital"/>
        <w:rPr>
          <w:lang w:val="en-GB"/>
        </w:rPr>
      </w:pPr>
      <w:bookmarkStart w:id="6" w:name="_Hlk224632041"/>
      <w:r w:rsidRPr="009E3CC9">
        <w:rPr>
          <w:lang w:val="en-GB"/>
        </w:rPr>
        <w:lastRenderedPageBreak/>
        <w:t>ACER acknowledges the role and the need for ECA to guarantee that the gas system is kept safe and secure</w:t>
      </w:r>
      <w:bookmarkEnd w:id="6"/>
      <w:r w:rsidRPr="009E3CC9">
        <w:rPr>
          <w:lang w:val="en-GB"/>
        </w:rPr>
        <w:t xml:space="preserve">. </w:t>
      </w:r>
    </w:p>
    <w:p w14:paraId="640B8FCA" w14:textId="1D0A239B" w:rsidR="006965DA" w:rsidRPr="009E3CC9" w:rsidRDefault="00432B68" w:rsidP="00925899">
      <w:pPr>
        <w:pStyle w:val="Recital"/>
        <w:rPr>
          <w:lang w:val="en-GB"/>
        </w:rPr>
      </w:pPr>
      <w:r w:rsidRPr="009E3CC9">
        <w:rPr>
          <w:lang w:val="en-GB"/>
        </w:rPr>
        <w:t xml:space="preserve">ACER notes that the recast Gas Directive and the recast Gas Regulation aim at creating a fully operational Union internal market for natural gas. In the case under consideration, the gas flowing from the Russian Federation via the Luhamaa entry point is not destined to the internal market itself, as it is transported through the infrastructure of Estonia. </w:t>
      </w:r>
    </w:p>
    <w:p w14:paraId="30EE1CA1" w14:textId="4F6DF96E" w:rsidR="00925899" w:rsidRPr="009E3CC9" w:rsidRDefault="001445E3" w:rsidP="006965DA">
      <w:pPr>
        <w:pStyle w:val="Recital"/>
        <w:rPr>
          <w:lang w:val="en-GB"/>
        </w:rPr>
      </w:pPr>
      <w:r w:rsidRPr="009E3CC9">
        <w:rPr>
          <w:lang w:val="en-GB"/>
        </w:rPr>
        <w:t>The Luhamaa entry point can potentially guarantee high levels of gas flows compared to the size of the Estonian network. S</w:t>
      </w:r>
      <w:r w:rsidR="00432B68" w:rsidRPr="009E3CC9">
        <w:rPr>
          <w:lang w:val="en-GB"/>
        </w:rPr>
        <w:t xml:space="preserve">uch point is not a standalone element of the integrated </w:t>
      </w:r>
      <w:r w:rsidR="00113C58" w:rsidRPr="009E3CC9">
        <w:rPr>
          <w:lang w:val="en-GB"/>
        </w:rPr>
        <w:t xml:space="preserve">Estonian </w:t>
      </w:r>
      <w:r w:rsidR="00432B68" w:rsidRPr="009E3CC9">
        <w:rPr>
          <w:lang w:val="en-GB"/>
        </w:rPr>
        <w:t>natural gas network.</w:t>
      </w:r>
      <w:r w:rsidR="00925899" w:rsidRPr="009E3CC9">
        <w:rPr>
          <w:lang w:val="en-GB"/>
        </w:rPr>
        <w:t xml:space="preserve"> </w:t>
      </w:r>
      <w:r w:rsidR="006965DA" w:rsidRPr="009E3CC9">
        <w:rPr>
          <w:lang w:val="en-GB"/>
        </w:rPr>
        <w:t>C</w:t>
      </w:r>
      <w:r w:rsidR="00925899" w:rsidRPr="009E3CC9">
        <w:rPr>
          <w:lang w:val="en-GB"/>
        </w:rPr>
        <w:t>ommon infrastructure elements are used to provide both transmission services for transporting gas through the system from the Luhamaa entry point and services for transporting gas to end-users within the Union</w:t>
      </w:r>
      <w:r w:rsidR="006965DA" w:rsidRPr="009E3CC9">
        <w:rPr>
          <w:lang w:val="en-GB"/>
        </w:rPr>
        <w:t xml:space="preserve">, making it </w:t>
      </w:r>
      <w:r w:rsidR="00925899" w:rsidRPr="009E3CC9">
        <w:rPr>
          <w:lang w:val="en-GB"/>
        </w:rPr>
        <w:t>difficult to establish a clear separation at asset level. Lacking such a clear separation of assets and costs, any exclusion of network costs would have to rely on assumptions and modelling</w:t>
      </w:r>
      <w:r w:rsidR="006965DA" w:rsidRPr="009E3CC9">
        <w:rPr>
          <w:lang w:val="en-GB"/>
        </w:rPr>
        <w:t xml:space="preserve">. The modelling may not reduce the risk of cross-subsidisation and decreased cost-reflectivity, both ultimately affecting the internal market for natural gas. This </w:t>
      </w:r>
      <w:r w:rsidR="00925899" w:rsidRPr="009E3CC9">
        <w:rPr>
          <w:lang w:val="en-GB"/>
        </w:rPr>
        <w:t>which would pose a risk of cross-subsidisation and decreased cost-reflectivity, due to the non-application of the TAR NC provisions.</w:t>
      </w:r>
      <w:r w:rsidRPr="009E3CC9">
        <w:rPr>
          <w:lang w:val="en-GB"/>
        </w:rPr>
        <w:t xml:space="preserve"> </w:t>
      </w:r>
    </w:p>
    <w:p w14:paraId="51669764" w14:textId="1EB21FF6" w:rsidR="001445E3" w:rsidRPr="009E3CC9" w:rsidRDefault="00C57661" w:rsidP="006965DA">
      <w:pPr>
        <w:pStyle w:val="Recital"/>
        <w:rPr>
          <w:lang w:val="en-GB"/>
        </w:rPr>
      </w:pPr>
      <w:r>
        <w:rPr>
          <w:lang w:val="en-GB"/>
        </w:rPr>
        <w:t>Therefore, w</w:t>
      </w:r>
      <w:r w:rsidR="00C76A75">
        <w:rPr>
          <w:lang w:val="en-GB"/>
        </w:rPr>
        <w:t xml:space="preserve">hile acknowledging that the transportation </w:t>
      </w:r>
      <w:r w:rsidR="001445E3" w:rsidRPr="009E3CC9">
        <w:rPr>
          <w:lang w:val="en-GB"/>
        </w:rPr>
        <w:t xml:space="preserve">capacity is </w:t>
      </w:r>
      <w:r w:rsidR="00C76A75">
        <w:rPr>
          <w:lang w:val="en-GB"/>
        </w:rPr>
        <w:t xml:space="preserve">rarely </w:t>
      </w:r>
      <w:r w:rsidR="001445E3" w:rsidRPr="009E3CC9">
        <w:rPr>
          <w:lang w:val="en-GB"/>
        </w:rPr>
        <w:t xml:space="preserve">booked and the corresponding </w:t>
      </w:r>
      <w:r w:rsidR="00C76A75">
        <w:rPr>
          <w:lang w:val="en-GB"/>
        </w:rPr>
        <w:t xml:space="preserve">network </w:t>
      </w:r>
      <w:r w:rsidR="001445E3" w:rsidRPr="009E3CC9">
        <w:rPr>
          <w:lang w:val="en-GB"/>
        </w:rPr>
        <w:t xml:space="preserve">usage is low, ACER </w:t>
      </w:r>
      <w:r w:rsidR="006D003A">
        <w:rPr>
          <w:lang w:val="en-GB"/>
        </w:rPr>
        <w:t>highlights</w:t>
      </w:r>
      <w:r w:rsidR="00C76A75">
        <w:rPr>
          <w:lang w:val="en-GB"/>
        </w:rPr>
        <w:t xml:space="preserve"> the </w:t>
      </w:r>
      <w:r w:rsidR="006D003A">
        <w:rPr>
          <w:lang w:val="en-GB"/>
        </w:rPr>
        <w:t>need to</w:t>
      </w:r>
      <w:r w:rsidR="001445E3" w:rsidRPr="009E3CC9">
        <w:rPr>
          <w:lang w:val="en-GB"/>
        </w:rPr>
        <w:t xml:space="preserve"> implementing at Luhamaa entry point the TAR NC in the same way as to all the other points of the Elering network. </w:t>
      </w:r>
    </w:p>
    <w:p w14:paraId="3E09A4FA" w14:textId="7194E95B" w:rsidR="00311083" w:rsidRPr="009E3CC9" w:rsidRDefault="00A07422" w:rsidP="00920F7A">
      <w:pPr>
        <w:pStyle w:val="1stLevelHeading"/>
        <w:rPr>
          <w:lang w:val="en-GB"/>
        </w:rPr>
      </w:pPr>
      <w:bookmarkStart w:id="7" w:name="_Toc204253820"/>
      <w:r w:rsidRPr="009E3CC9">
        <w:rPr>
          <w:lang w:val="en-GB"/>
        </w:rPr>
        <w:t>Conclusions</w:t>
      </w:r>
      <w:bookmarkEnd w:id="7"/>
    </w:p>
    <w:p w14:paraId="5C2CA7FA" w14:textId="02D54322" w:rsidR="00B72F5F" w:rsidRPr="009E3CC9" w:rsidRDefault="00B72F5F" w:rsidP="00D375D2">
      <w:pPr>
        <w:pStyle w:val="Recital"/>
        <w:rPr>
          <w:lang w:val="en-GB"/>
        </w:rPr>
      </w:pPr>
      <w:bookmarkStart w:id="8" w:name="_Hlk204253752"/>
      <w:r w:rsidRPr="009E3CC9">
        <w:rPr>
          <w:lang w:val="en-GB"/>
        </w:rPr>
        <w:t xml:space="preserve">ECA’s derogation request concerns the application of all EU Gas Network Codes and Guidelines at the Luhamaa interconnection point for an undetermined </w:t>
      </w:r>
      <w:r w:rsidR="00AA781E" w:rsidRPr="009E3CC9">
        <w:rPr>
          <w:lang w:val="en-GB"/>
        </w:rPr>
        <w:t>period yet</w:t>
      </w:r>
      <w:r w:rsidRPr="009E3CC9">
        <w:rPr>
          <w:lang w:val="en-GB"/>
        </w:rPr>
        <w:t xml:space="preserve"> conditioned on that the current prohibition to import gas from Russian origin remains in place.</w:t>
      </w:r>
    </w:p>
    <w:p w14:paraId="3D79AA44" w14:textId="7ABB95DB" w:rsidR="00D375D2" w:rsidRPr="009E3CC9" w:rsidRDefault="00D375D2" w:rsidP="00D375D2">
      <w:pPr>
        <w:pStyle w:val="Recital"/>
        <w:rPr>
          <w:lang w:val="en-GB"/>
        </w:rPr>
      </w:pPr>
      <w:r w:rsidRPr="009E3CC9">
        <w:rPr>
          <w:lang w:val="en-GB"/>
        </w:rPr>
        <w:t xml:space="preserve">ACER acknowledges the existence of an exceptional situation in </w:t>
      </w:r>
      <w:r w:rsidR="004E5F5A">
        <w:rPr>
          <w:lang w:val="en-GB"/>
        </w:rPr>
        <w:t>Estonia</w:t>
      </w:r>
      <w:r w:rsidRPr="009E3CC9">
        <w:rPr>
          <w:lang w:val="en-GB"/>
        </w:rPr>
        <w:t xml:space="preserve">, in which ECA is required to enforce the prohibition to import gas from Russia to Estonia and to ensure that gas of Russian origin reaches exclusively the Kaliningrad </w:t>
      </w:r>
      <w:r w:rsidR="006F1197" w:rsidRPr="009E3CC9">
        <w:rPr>
          <w:lang w:val="en-GB"/>
        </w:rPr>
        <w:t>region</w:t>
      </w:r>
      <w:r w:rsidRPr="009E3CC9">
        <w:rPr>
          <w:lang w:val="en-GB"/>
        </w:rPr>
        <w:t xml:space="preserve"> </w:t>
      </w:r>
      <w:r w:rsidR="00C71382">
        <w:rPr>
          <w:lang w:val="en-GB"/>
        </w:rPr>
        <w:t xml:space="preserve">as a </w:t>
      </w:r>
      <w:r w:rsidR="00AA781E" w:rsidRPr="009E3CC9">
        <w:rPr>
          <w:lang w:val="en-GB"/>
        </w:rPr>
        <w:t xml:space="preserve">back-up </w:t>
      </w:r>
      <w:r w:rsidR="00C71382">
        <w:rPr>
          <w:lang w:val="en-GB"/>
        </w:rPr>
        <w:t xml:space="preserve">route through the </w:t>
      </w:r>
      <w:r w:rsidRPr="009E3CC9">
        <w:rPr>
          <w:lang w:val="en-GB"/>
        </w:rPr>
        <w:t>Luhamaa</w:t>
      </w:r>
      <w:r w:rsidR="00AA781E" w:rsidRPr="009E3CC9">
        <w:rPr>
          <w:lang w:val="en-GB"/>
        </w:rPr>
        <w:t xml:space="preserve"> entry point</w:t>
      </w:r>
      <w:r w:rsidRPr="009E3CC9">
        <w:rPr>
          <w:lang w:val="en-GB"/>
        </w:rPr>
        <w:t>.</w:t>
      </w:r>
    </w:p>
    <w:p w14:paraId="36CD26D9" w14:textId="7EBB9B00" w:rsidR="009E3CC9" w:rsidRDefault="00AA781E" w:rsidP="004B7F9D">
      <w:pPr>
        <w:pStyle w:val="Recital"/>
        <w:rPr>
          <w:lang w:val="en-GB"/>
        </w:rPr>
      </w:pPr>
      <w:r w:rsidRPr="009E3CC9">
        <w:rPr>
          <w:lang w:val="en-GB"/>
        </w:rPr>
        <w:t>T</w:t>
      </w:r>
      <w:r w:rsidR="00D375D2" w:rsidRPr="009E3CC9">
        <w:rPr>
          <w:lang w:val="en-GB"/>
        </w:rPr>
        <w:t xml:space="preserve">he regulatory framework established by ECA deviates from the full set </w:t>
      </w:r>
      <w:r w:rsidRPr="009E3CC9">
        <w:rPr>
          <w:lang w:val="en-GB"/>
        </w:rPr>
        <w:t xml:space="preserve">of </w:t>
      </w:r>
      <w:r w:rsidR="007C7414" w:rsidRPr="009E3CC9">
        <w:rPr>
          <w:lang w:val="en-GB"/>
        </w:rPr>
        <w:t xml:space="preserve">the </w:t>
      </w:r>
      <w:r w:rsidRPr="009E3CC9">
        <w:rPr>
          <w:lang w:val="en-GB"/>
        </w:rPr>
        <w:t xml:space="preserve">EU network codes and guidelines to </w:t>
      </w:r>
      <w:r w:rsidR="007C7414" w:rsidRPr="009E3CC9">
        <w:rPr>
          <w:lang w:val="en-GB"/>
        </w:rPr>
        <w:t xml:space="preserve">correctly </w:t>
      </w:r>
      <w:r w:rsidR="00D375D2" w:rsidRPr="009E3CC9">
        <w:rPr>
          <w:lang w:val="en-GB"/>
        </w:rPr>
        <w:t xml:space="preserve">reflect the specific circumstances </w:t>
      </w:r>
      <w:r w:rsidRPr="009E3CC9">
        <w:rPr>
          <w:lang w:val="en-GB"/>
        </w:rPr>
        <w:t>affecting</w:t>
      </w:r>
      <w:r w:rsidR="00D375D2" w:rsidRPr="009E3CC9">
        <w:rPr>
          <w:lang w:val="en-GB"/>
        </w:rPr>
        <w:t xml:space="preserve"> </w:t>
      </w:r>
      <w:r w:rsidRPr="009E3CC9">
        <w:rPr>
          <w:lang w:val="en-GB"/>
        </w:rPr>
        <w:t xml:space="preserve">the Luhamaa entry </w:t>
      </w:r>
      <w:r w:rsidR="00D375D2" w:rsidRPr="009E3CC9">
        <w:rPr>
          <w:lang w:val="en-GB"/>
        </w:rPr>
        <w:t>point</w:t>
      </w:r>
      <w:r w:rsidRPr="009E3CC9">
        <w:rPr>
          <w:lang w:val="en-GB"/>
        </w:rPr>
        <w:t xml:space="preserve">. </w:t>
      </w:r>
    </w:p>
    <w:p w14:paraId="63E2E717" w14:textId="362597DF" w:rsidR="004B7F9D" w:rsidRPr="00140E7D" w:rsidRDefault="00140E7D" w:rsidP="00140E7D">
      <w:pPr>
        <w:pStyle w:val="Recital"/>
        <w:rPr>
          <w:lang w:val="en-GB"/>
        </w:rPr>
      </w:pPr>
      <w:r w:rsidRPr="009E3CC9">
        <w:rPr>
          <w:lang w:val="en-GB"/>
        </w:rPr>
        <w:t xml:space="preserve">ACER acknowledges the limited usage of such interconnection point while also noticing that implementing the provisions of the TAR NC in the same way as they apply to the other points of the Estonian gas network </w:t>
      </w:r>
      <w:r>
        <w:rPr>
          <w:lang w:val="en-GB"/>
        </w:rPr>
        <w:t xml:space="preserve">and the provisions of INT NC Article 16 </w:t>
      </w:r>
      <w:r w:rsidRPr="009E3CC9">
        <w:rPr>
          <w:lang w:val="en-GB"/>
        </w:rPr>
        <w:t xml:space="preserve">would further support the avoidance of cross-subsidisation and </w:t>
      </w:r>
      <w:r w:rsidR="0081158F">
        <w:rPr>
          <w:lang w:val="en-GB"/>
        </w:rPr>
        <w:t xml:space="preserve">guarantee equal </w:t>
      </w:r>
      <w:r w:rsidRPr="009E3CC9">
        <w:rPr>
          <w:lang w:val="en-GB"/>
        </w:rPr>
        <w:t>treatment of network users of the Union internal gas market.</w:t>
      </w:r>
      <w:r w:rsidR="009E3CC9" w:rsidRPr="00140E7D">
        <w:rPr>
          <w:lang w:val="en-GB"/>
        </w:rPr>
        <w:t xml:space="preserve"> </w:t>
      </w:r>
    </w:p>
    <w:p w14:paraId="6C539B82" w14:textId="77777777" w:rsidR="00140E7D" w:rsidRDefault="00140E7D" w:rsidP="004B7F9D">
      <w:pPr>
        <w:pStyle w:val="Recital"/>
        <w:numPr>
          <w:ilvl w:val="0"/>
          <w:numId w:val="0"/>
        </w:numPr>
        <w:rPr>
          <w:lang w:val="en-GB"/>
        </w:rPr>
      </w:pPr>
    </w:p>
    <w:p w14:paraId="23B69BC9" w14:textId="7A5A1138" w:rsidR="00F672CF" w:rsidRPr="009E3CC9" w:rsidRDefault="00A07422" w:rsidP="004B7F9D">
      <w:pPr>
        <w:pStyle w:val="Recital"/>
        <w:numPr>
          <w:ilvl w:val="0"/>
          <w:numId w:val="0"/>
        </w:numPr>
        <w:rPr>
          <w:lang w:val="en-GB"/>
        </w:rPr>
      </w:pPr>
      <w:r w:rsidRPr="009E3CC9">
        <w:rPr>
          <w:lang w:val="en-GB"/>
        </w:rPr>
        <w:t xml:space="preserve">This </w:t>
      </w:r>
      <w:r w:rsidR="00173CD4" w:rsidRPr="009E3CC9">
        <w:rPr>
          <w:lang w:val="en-GB"/>
        </w:rPr>
        <w:t>O</w:t>
      </w:r>
      <w:r w:rsidRPr="009E3CC9">
        <w:rPr>
          <w:lang w:val="en-GB"/>
        </w:rPr>
        <w:t>pinion is addressed to</w:t>
      </w:r>
      <w:r w:rsidR="007F60F2" w:rsidRPr="009E3CC9">
        <w:rPr>
          <w:lang w:val="en-GB"/>
        </w:rPr>
        <w:t xml:space="preserve"> the EU Commission </w:t>
      </w:r>
    </w:p>
    <w:p w14:paraId="2F832ADD" w14:textId="77777777" w:rsidR="00A07422" w:rsidRPr="009E3CC9" w:rsidRDefault="00A07422" w:rsidP="00173CD4">
      <w:pPr>
        <w:spacing w:before="840" w:after="840"/>
      </w:pPr>
      <w:r w:rsidRPr="009E3CC9">
        <w:t>Done at Ljubljana, on XX Month YYY</w:t>
      </w:r>
      <w:r w:rsidR="00920F7A" w:rsidRPr="009E3CC9">
        <w:t>Y</w:t>
      </w:r>
      <w:r w:rsidRPr="009E3CC9">
        <w:t>.</w:t>
      </w:r>
    </w:p>
    <w:bookmarkEnd w:id="8"/>
    <w:p w14:paraId="5F493206" w14:textId="77777777" w:rsidR="00173CD4" w:rsidRPr="009E3CC9" w:rsidRDefault="00173CD4">
      <w:pPr>
        <w:rPr>
          <w:rFonts w:ascii="Arial" w:hAnsi="Arial" w:cs="Arial"/>
          <w:b/>
          <w:bCs/>
          <w:color w:val="004FEE" w:themeColor="text2"/>
          <w:sz w:val="36"/>
          <w:szCs w:val="36"/>
          <w:lang w:eastAsia="en-GB"/>
        </w:rPr>
      </w:pPr>
      <w:r w:rsidRPr="009E3CC9">
        <w:br w:type="page"/>
      </w:r>
    </w:p>
    <w:p w14:paraId="1610EF1E" w14:textId="4F5614BD" w:rsidR="00BC2DDD" w:rsidRPr="009E3CC9" w:rsidRDefault="007C3485" w:rsidP="00920F7A">
      <w:pPr>
        <w:pStyle w:val="Heading1"/>
        <w:rPr>
          <w:lang w:val="en-GB"/>
        </w:rPr>
      </w:pPr>
      <w:bookmarkStart w:id="9" w:name="_Toc204253821"/>
      <w:r w:rsidRPr="009E3CC9">
        <w:rPr>
          <w:lang w:val="en-GB"/>
        </w:rPr>
        <w:lastRenderedPageBreak/>
        <w:t xml:space="preserve">Annex </w:t>
      </w:r>
      <w:r w:rsidR="00173CD4" w:rsidRPr="009E3CC9">
        <w:rPr>
          <w:lang w:val="en-GB"/>
        </w:rPr>
        <w:t>I</w:t>
      </w:r>
      <w:r w:rsidRPr="009E3CC9">
        <w:rPr>
          <w:lang w:val="en-GB"/>
        </w:rPr>
        <w:t xml:space="preserve">: </w:t>
      </w:r>
      <w:bookmarkEnd w:id="9"/>
      <w:r w:rsidR="00E90ACD" w:rsidRPr="009E3CC9">
        <w:rPr>
          <w:lang w:val="en-GB"/>
        </w:rPr>
        <w:t>Legal Background</w:t>
      </w:r>
    </w:p>
    <w:p w14:paraId="4C8B34FB" w14:textId="77777777" w:rsidR="00E90ACD" w:rsidRPr="009E3CC9" w:rsidRDefault="00E90ACD">
      <w:pPr>
        <w:rPr>
          <w:i/>
          <w:iCs/>
        </w:rPr>
      </w:pPr>
      <w:bookmarkStart w:id="10" w:name="_Toc67250966"/>
      <w:bookmarkStart w:id="11" w:name="_Toc67251209"/>
      <w:bookmarkStart w:id="12" w:name="_Toc67292992"/>
      <w:r w:rsidRPr="009E3CC9">
        <w:rPr>
          <w:i/>
          <w:iCs/>
        </w:rPr>
        <w:t xml:space="preserve">CHAPTER IV NETWORK CODES AND GUIDELINES </w:t>
      </w:r>
    </w:p>
    <w:p w14:paraId="7356F895" w14:textId="77777777" w:rsidR="00E90ACD" w:rsidRPr="009E3CC9" w:rsidRDefault="00E90ACD">
      <w:pPr>
        <w:rPr>
          <w:i/>
          <w:iCs/>
        </w:rPr>
      </w:pPr>
      <w:r w:rsidRPr="009E3CC9">
        <w:rPr>
          <w:i/>
          <w:iCs/>
        </w:rPr>
        <w:t xml:space="preserve">Article 70 Adoption of network codes and guidelines </w:t>
      </w:r>
    </w:p>
    <w:p w14:paraId="2058931C" w14:textId="77777777" w:rsidR="00E90ACD" w:rsidRPr="009E3CC9" w:rsidRDefault="00E90ACD">
      <w:pPr>
        <w:rPr>
          <w:i/>
          <w:iCs/>
        </w:rPr>
      </w:pPr>
      <w:r w:rsidRPr="009E3CC9">
        <w:rPr>
          <w:i/>
          <w:iCs/>
        </w:rPr>
        <w:t xml:space="preserve">1. The Commission may, subject to the empowerments laid down in Articles 71 to 74, adopt delegated or implementing acts. Such acts may either be adopted as network codes on the basis of text proposals developed by the ENTSO for Gas or the ENNOH, or, where so provided for in the priority list established pursuant to Article 71(3), by the EU DSO entity, where relevant in cooperation with the ENTSO for Gas, the ENNOH and ACER, pursuant to the procedure laid down in Articles 71, 72 and 73, or as guidelines pursuant to the procedure laid down in Article 74. </w:t>
      </w:r>
    </w:p>
    <w:p w14:paraId="3E6ABE67" w14:textId="77777777" w:rsidR="00E90ACD" w:rsidRPr="009E3CC9" w:rsidRDefault="00E90ACD">
      <w:pPr>
        <w:rPr>
          <w:i/>
          <w:iCs/>
        </w:rPr>
      </w:pPr>
      <w:r w:rsidRPr="009E3CC9">
        <w:rPr>
          <w:i/>
          <w:iCs/>
        </w:rPr>
        <w:t xml:space="preserve">2. The network codes and guidelines shall: </w:t>
      </w:r>
    </w:p>
    <w:p w14:paraId="52F82E80" w14:textId="77777777" w:rsidR="00E90ACD" w:rsidRPr="009E3CC9" w:rsidRDefault="00E90ACD">
      <w:pPr>
        <w:rPr>
          <w:i/>
          <w:iCs/>
        </w:rPr>
      </w:pPr>
      <w:r w:rsidRPr="009E3CC9">
        <w:rPr>
          <w:i/>
          <w:iCs/>
        </w:rPr>
        <w:t xml:space="preserve">(a) provide the minimum degree of harmonisation required to achieve the objectives of this </w:t>
      </w:r>
      <w:proofErr w:type="gramStart"/>
      <w:r w:rsidRPr="009E3CC9">
        <w:rPr>
          <w:i/>
          <w:iCs/>
        </w:rPr>
        <w:t>Regulation;</w:t>
      </w:r>
      <w:proofErr w:type="gramEnd"/>
      <w:r w:rsidRPr="009E3CC9">
        <w:rPr>
          <w:i/>
          <w:iCs/>
        </w:rPr>
        <w:t xml:space="preserve"> </w:t>
      </w:r>
    </w:p>
    <w:p w14:paraId="4B226077" w14:textId="77777777" w:rsidR="00E90ACD" w:rsidRPr="009E3CC9" w:rsidRDefault="00E90ACD">
      <w:pPr>
        <w:rPr>
          <w:i/>
          <w:iCs/>
        </w:rPr>
      </w:pPr>
      <w:r w:rsidRPr="009E3CC9">
        <w:rPr>
          <w:i/>
          <w:iCs/>
        </w:rPr>
        <w:t xml:space="preserve">(b) </w:t>
      </w:r>
      <w:proofErr w:type="gramStart"/>
      <w:r w:rsidRPr="009E3CC9">
        <w:rPr>
          <w:i/>
          <w:iCs/>
        </w:rPr>
        <w:t>take into account</w:t>
      </w:r>
      <w:proofErr w:type="gramEnd"/>
      <w:r w:rsidRPr="009E3CC9">
        <w:rPr>
          <w:i/>
          <w:iCs/>
        </w:rPr>
        <w:t xml:space="preserve"> regional specificities, where </w:t>
      </w:r>
      <w:proofErr w:type="gramStart"/>
      <w:r w:rsidRPr="009E3CC9">
        <w:rPr>
          <w:i/>
          <w:iCs/>
        </w:rPr>
        <w:t>appropriate;</w:t>
      </w:r>
      <w:proofErr w:type="gramEnd"/>
      <w:r w:rsidRPr="009E3CC9">
        <w:rPr>
          <w:i/>
          <w:iCs/>
        </w:rPr>
        <w:t xml:space="preserve"> </w:t>
      </w:r>
    </w:p>
    <w:p w14:paraId="2267C8A0" w14:textId="77777777" w:rsidR="00E90ACD" w:rsidRPr="009E3CC9" w:rsidRDefault="00E90ACD">
      <w:pPr>
        <w:rPr>
          <w:i/>
          <w:iCs/>
        </w:rPr>
      </w:pPr>
      <w:r w:rsidRPr="009E3CC9">
        <w:rPr>
          <w:i/>
          <w:iCs/>
        </w:rPr>
        <w:t xml:space="preserve">(c) not go beyond what is necessary for the purposes of point (a); and (d) apply to all interconnection points within the Union and entry points from and exit points to third countries from 5 August 2026. </w:t>
      </w:r>
    </w:p>
    <w:p w14:paraId="74E4954D" w14:textId="78E0D156" w:rsidR="00E90ACD" w:rsidRPr="009E3CC9" w:rsidRDefault="00E90ACD" w:rsidP="00DC1B09">
      <w:pPr>
        <w:rPr>
          <w:i/>
          <w:iCs/>
        </w:rPr>
      </w:pPr>
      <w:r w:rsidRPr="009E3CC9">
        <w:rPr>
          <w:i/>
          <w:iCs/>
        </w:rPr>
        <w:t>3. Until 5 February 2026, regulatory authorities may submit a request to the Commission for a derogation from the application of the network codes and guidelines referred to in paragraph 1 at entry points from and exit points to third countries pursuant to paragraph 2, point (d). The request for a derogation shall be submitted simultaneously to the Commission and to ACER. Within three months of the date of receipt of the request for a derogation ACER shall provide a reasoned opinion to the Commission.</w:t>
      </w:r>
    </w:p>
    <w:p w14:paraId="2BE0C747" w14:textId="1D9A2FC3" w:rsidR="00E90ACD" w:rsidRPr="009E3CC9" w:rsidRDefault="00E90ACD" w:rsidP="00DC1B09">
      <w:pPr>
        <w:rPr>
          <w:i/>
          <w:iCs/>
        </w:rPr>
      </w:pPr>
      <w:r w:rsidRPr="009E3CC9">
        <w:rPr>
          <w:i/>
          <w:iCs/>
        </w:rPr>
        <w:t xml:space="preserve">The Commission shall adopt a decision on the request for a derogation, </w:t>
      </w:r>
      <w:proofErr w:type="gramStart"/>
      <w:r w:rsidRPr="009E3CC9">
        <w:rPr>
          <w:i/>
          <w:iCs/>
        </w:rPr>
        <w:t>taking into account</w:t>
      </w:r>
      <w:proofErr w:type="gramEnd"/>
      <w:r w:rsidRPr="009E3CC9">
        <w:rPr>
          <w:i/>
          <w:iCs/>
        </w:rPr>
        <w:t xml:space="preserve"> ACER’s reasoned opinion and after assessing whether the regulatory authority has:</w:t>
      </w:r>
    </w:p>
    <w:p w14:paraId="42096102" w14:textId="77777777" w:rsidR="00E90ACD" w:rsidRPr="009E3CC9" w:rsidRDefault="00E90ACD" w:rsidP="00DC1B09">
      <w:pPr>
        <w:rPr>
          <w:i/>
          <w:iCs/>
        </w:rPr>
      </w:pPr>
      <w:r w:rsidRPr="009E3CC9">
        <w:rPr>
          <w:i/>
          <w:iCs/>
        </w:rPr>
        <w:t xml:space="preserve">(a) demonstrated that a network code or guideline, or specific element of those acts, cannot be effectively implemented at entry points from and exit points to third countries; in the case of interconnection points with third countries which have the obligation to adapt to the Union energy acquis, including this Regulation, pursuant to an agreement concluded between the Union and those third countries, but where application or implementation has not been completed, the request for a derogation shall specify which provisions of this Regulation have not been effectively applied or implemented in the third country concerned or which technical rules or lack of technical rules in the third country impede the application of the specific provisions of the relevant network code or guideline; </w:t>
      </w:r>
    </w:p>
    <w:p w14:paraId="62C1DFE5" w14:textId="77777777" w:rsidR="00E90ACD" w:rsidRPr="009E3CC9" w:rsidRDefault="00E90ACD" w:rsidP="00DC1B09">
      <w:pPr>
        <w:rPr>
          <w:i/>
          <w:iCs/>
        </w:rPr>
      </w:pPr>
      <w:r w:rsidRPr="009E3CC9">
        <w:rPr>
          <w:i/>
          <w:iCs/>
        </w:rPr>
        <w:t xml:space="preserve">(b) explained which measures were taken to alleviate the obstacles to the application of the specific provisions of the relevant network code or </w:t>
      </w:r>
      <w:proofErr w:type="gramStart"/>
      <w:r w:rsidRPr="009E3CC9">
        <w:rPr>
          <w:i/>
          <w:iCs/>
        </w:rPr>
        <w:t>guideline;</w:t>
      </w:r>
      <w:proofErr w:type="gramEnd"/>
      <w:r w:rsidRPr="009E3CC9">
        <w:rPr>
          <w:i/>
          <w:iCs/>
        </w:rPr>
        <w:t xml:space="preserve"> </w:t>
      </w:r>
    </w:p>
    <w:p w14:paraId="3658C495" w14:textId="63AF98F3" w:rsidR="003E44FE" w:rsidRPr="009E3CC9" w:rsidRDefault="00E90ACD" w:rsidP="00DC1B09">
      <w:pPr>
        <w:rPr>
          <w:b/>
          <w:bCs/>
          <w:i/>
          <w:iCs/>
        </w:rPr>
      </w:pPr>
      <w:r w:rsidRPr="009E3CC9">
        <w:rPr>
          <w:i/>
          <w:iCs/>
        </w:rPr>
        <w:t xml:space="preserve">(c) demonstrated that the derogation is not detrimental to the proper functioning of the internal market for natural gas, or to the security of supply of the Union or of a Member State. The derogation shall be limited to the specific provisions that cannot be effectively implemented and shall be granted for a limited </w:t>
      </w:r>
      <w:proofErr w:type="gramStart"/>
      <w:r w:rsidRPr="009E3CC9">
        <w:rPr>
          <w:i/>
          <w:iCs/>
        </w:rPr>
        <w:t>period of time</w:t>
      </w:r>
      <w:proofErr w:type="gramEnd"/>
      <w:r w:rsidRPr="009E3CC9">
        <w:rPr>
          <w:i/>
          <w:iCs/>
        </w:rPr>
        <w:t>.</w:t>
      </w:r>
      <w:bookmarkEnd w:id="10"/>
      <w:bookmarkEnd w:id="11"/>
      <w:bookmarkEnd w:id="12"/>
    </w:p>
    <w:sectPr w:rsidR="003E44FE" w:rsidRPr="009E3CC9" w:rsidSect="00920F7A">
      <w:pgSz w:w="11906" w:h="16838" w:code="9"/>
      <w:pgMar w:top="1440" w:right="1440" w:bottom="851" w:left="1440" w:header="737" w:footer="26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A0E6" w14:textId="77777777" w:rsidR="00632ED7" w:rsidRDefault="00632ED7" w:rsidP="00DC1B09">
      <w:r>
        <w:separator/>
      </w:r>
    </w:p>
    <w:p w14:paraId="27409643" w14:textId="77777777" w:rsidR="00632ED7" w:rsidRDefault="00632ED7" w:rsidP="00DC1B09"/>
    <w:p w14:paraId="73D141CF" w14:textId="77777777" w:rsidR="00632ED7" w:rsidRDefault="00632ED7" w:rsidP="00DC1B09"/>
    <w:p w14:paraId="3DD68841" w14:textId="77777777" w:rsidR="00632ED7" w:rsidRDefault="00632ED7" w:rsidP="00DC1B09"/>
    <w:p w14:paraId="6A35E85F" w14:textId="77777777" w:rsidR="00632ED7" w:rsidRDefault="00632ED7" w:rsidP="00DC1B09"/>
    <w:p w14:paraId="31207EA5" w14:textId="77777777" w:rsidR="00632ED7" w:rsidRDefault="00632ED7" w:rsidP="00DC1B09"/>
    <w:p w14:paraId="46A75CA1" w14:textId="77777777" w:rsidR="00632ED7" w:rsidRDefault="00632ED7" w:rsidP="00DC1B09"/>
  </w:endnote>
  <w:endnote w:type="continuationSeparator" w:id="0">
    <w:p w14:paraId="1F2E6AC1" w14:textId="77777777" w:rsidR="00632ED7" w:rsidRDefault="00632ED7" w:rsidP="00DC1B09">
      <w:r>
        <w:continuationSeparator/>
      </w:r>
    </w:p>
    <w:p w14:paraId="52C22436" w14:textId="77777777" w:rsidR="00632ED7" w:rsidRDefault="00632ED7" w:rsidP="00DC1B09"/>
    <w:p w14:paraId="7CF40AFF" w14:textId="77777777" w:rsidR="00632ED7" w:rsidRDefault="00632ED7" w:rsidP="00DC1B09"/>
    <w:p w14:paraId="3956E19B" w14:textId="77777777" w:rsidR="00632ED7" w:rsidRDefault="00632ED7" w:rsidP="00DC1B09"/>
    <w:p w14:paraId="5519D2A5" w14:textId="77777777" w:rsidR="00632ED7" w:rsidRDefault="00632ED7" w:rsidP="00DC1B09"/>
    <w:p w14:paraId="5AB2EDE4" w14:textId="77777777" w:rsidR="00632ED7" w:rsidRDefault="00632ED7" w:rsidP="00DC1B09"/>
    <w:p w14:paraId="1D5D1787" w14:textId="77777777" w:rsidR="00632ED7" w:rsidRDefault="00632ED7" w:rsidP="00DC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Inter">
    <w:panose1 w:val="020B0502030000000004"/>
    <w:charset w:val="00"/>
    <w:family w:val="swiss"/>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yriadPro-Regular">
    <w:altName w:val="Calibri"/>
    <w:panose1 w:val="00000000000000000000"/>
    <w:charset w:val="00"/>
    <w:family w:val="swiss"/>
    <w:notTrueType/>
    <w:pitch w:val="variable"/>
    <w:sig w:usb0="20000287" w:usb1="00000001"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color w:val="7F7F7F" w:themeColor="text1" w:themeTint="80"/>
        <w:sz w:val="16"/>
        <w:szCs w:val="16"/>
      </w:rPr>
      <w:id w:val="1549181818"/>
      <w:docPartObj>
        <w:docPartGallery w:val="Page Numbers (Bottom of Page)"/>
        <w:docPartUnique/>
      </w:docPartObj>
    </w:sdtPr>
    <w:sdtEndPr/>
    <w:sdtContent>
      <w:sdt>
        <w:sdtPr>
          <w:rPr>
            <w:b w:val="0"/>
            <w:color w:val="7F7F7F" w:themeColor="text1" w:themeTint="80"/>
            <w:sz w:val="16"/>
            <w:szCs w:val="16"/>
          </w:rPr>
          <w:id w:val="1728636285"/>
          <w:docPartObj>
            <w:docPartGallery w:val="Page Numbers (Top of Page)"/>
            <w:docPartUnique/>
          </w:docPartObj>
        </w:sdtPr>
        <w:sdtEndPr/>
        <w:sdtContent>
          <w:p w14:paraId="256AB726" w14:textId="77777777" w:rsidR="002B3F46" w:rsidRPr="00064164" w:rsidRDefault="002B3F46" w:rsidP="002B3F46">
            <w:pPr>
              <w:pStyle w:val="Footer"/>
              <w:widowControl w:val="0"/>
              <w:snapToGrid w:val="0"/>
              <w:spacing w:line="300" w:lineRule="exact"/>
              <w:jc w:val="right"/>
              <w:rPr>
                <w:b w:val="0"/>
                <w:color w:val="7F7F7F" w:themeColor="text1" w:themeTint="80"/>
                <w:sz w:val="16"/>
                <w:szCs w:val="16"/>
              </w:rPr>
            </w:pPr>
            <w:r w:rsidRPr="00064164">
              <w:rPr>
                <w:b w:val="0"/>
                <w:color w:val="7F7F7F" w:themeColor="text1" w:themeTint="80"/>
                <w:sz w:val="16"/>
                <w:szCs w:val="16"/>
              </w:rPr>
              <w:t xml:space="preserve">Page </w:t>
            </w:r>
            <w:r w:rsidRPr="00064164">
              <w:rPr>
                <w:b w:val="0"/>
                <w:color w:val="7F7F7F" w:themeColor="text1" w:themeTint="80"/>
                <w:sz w:val="16"/>
                <w:szCs w:val="16"/>
              </w:rPr>
              <w:fldChar w:fldCharType="begin"/>
            </w:r>
            <w:r w:rsidRPr="00064164">
              <w:rPr>
                <w:b w:val="0"/>
                <w:color w:val="7F7F7F" w:themeColor="text1" w:themeTint="80"/>
                <w:sz w:val="16"/>
                <w:szCs w:val="16"/>
              </w:rPr>
              <w:instrText xml:space="preserve"> PAGE </w:instrText>
            </w:r>
            <w:r w:rsidRPr="00064164">
              <w:rPr>
                <w:b w:val="0"/>
                <w:color w:val="7F7F7F" w:themeColor="text1" w:themeTint="80"/>
                <w:sz w:val="16"/>
                <w:szCs w:val="16"/>
              </w:rPr>
              <w:fldChar w:fldCharType="separate"/>
            </w:r>
            <w:r>
              <w:rPr>
                <w:b w:val="0"/>
                <w:color w:val="7F7F7F" w:themeColor="text1" w:themeTint="80"/>
                <w:sz w:val="16"/>
                <w:szCs w:val="16"/>
              </w:rPr>
              <w:t>4</w:t>
            </w:r>
            <w:r w:rsidRPr="00064164">
              <w:rPr>
                <w:b w:val="0"/>
                <w:color w:val="7F7F7F" w:themeColor="text1" w:themeTint="80"/>
                <w:sz w:val="16"/>
                <w:szCs w:val="16"/>
              </w:rPr>
              <w:fldChar w:fldCharType="end"/>
            </w:r>
            <w:r w:rsidRPr="00064164">
              <w:rPr>
                <w:b w:val="0"/>
                <w:color w:val="7F7F7F" w:themeColor="text1" w:themeTint="80"/>
                <w:sz w:val="16"/>
                <w:szCs w:val="16"/>
              </w:rPr>
              <w:t xml:space="preserve"> of </w:t>
            </w:r>
            <w:r w:rsidRPr="00064164">
              <w:rPr>
                <w:b w:val="0"/>
                <w:color w:val="7F7F7F" w:themeColor="text1" w:themeTint="80"/>
                <w:sz w:val="16"/>
                <w:szCs w:val="16"/>
              </w:rPr>
              <w:fldChar w:fldCharType="begin"/>
            </w:r>
            <w:r w:rsidRPr="00064164">
              <w:rPr>
                <w:b w:val="0"/>
                <w:color w:val="7F7F7F" w:themeColor="text1" w:themeTint="80"/>
                <w:sz w:val="16"/>
                <w:szCs w:val="16"/>
              </w:rPr>
              <w:instrText xml:space="preserve"> NUMPAGES  </w:instrText>
            </w:r>
            <w:r w:rsidRPr="00064164">
              <w:rPr>
                <w:b w:val="0"/>
                <w:color w:val="7F7F7F" w:themeColor="text1" w:themeTint="80"/>
                <w:sz w:val="16"/>
                <w:szCs w:val="16"/>
              </w:rPr>
              <w:fldChar w:fldCharType="separate"/>
            </w:r>
            <w:r>
              <w:rPr>
                <w:b w:val="0"/>
                <w:color w:val="7F7F7F" w:themeColor="text1" w:themeTint="80"/>
                <w:sz w:val="16"/>
                <w:szCs w:val="16"/>
              </w:rPr>
              <w:t>9</w:t>
            </w:r>
            <w:r w:rsidRPr="00064164">
              <w:rPr>
                <w:b w:val="0"/>
                <w:color w:val="7F7F7F" w:themeColor="text1" w:themeTint="80"/>
                <w:sz w:val="16"/>
                <w:szCs w:val="16"/>
              </w:rPr>
              <w:fldChar w:fldCharType="end"/>
            </w:r>
          </w:p>
        </w:sdtContent>
      </w:sdt>
    </w:sdtContent>
  </w:sdt>
  <w:p w14:paraId="0A00E933" w14:textId="77777777" w:rsidR="002B3F46" w:rsidRDefault="002B3F46" w:rsidP="002B3F46">
    <w:pPr>
      <w:tabs>
        <w:tab w:val="left" w:pos="6082"/>
      </w:tabs>
    </w:pPr>
    <w:r>
      <w:tab/>
    </w:r>
  </w:p>
  <w:p w14:paraId="5FFF0C70" w14:textId="77777777" w:rsidR="002B3F46" w:rsidRDefault="002B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7139" w14:textId="77777777" w:rsidR="00632ED7" w:rsidRDefault="00632ED7" w:rsidP="00DC1B09">
      <w:r>
        <w:separator/>
      </w:r>
    </w:p>
  </w:footnote>
  <w:footnote w:type="continuationSeparator" w:id="0">
    <w:p w14:paraId="2FB2634E" w14:textId="77777777" w:rsidR="00632ED7" w:rsidRDefault="00632ED7" w:rsidP="00DC1B09">
      <w:r>
        <w:continuationSeparator/>
      </w:r>
    </w:p>
    <w:p w14:paraId="6998752F" w14:textId="77777777" w:rsidR="00632ED7" w:rsidRDefault="00632ED7" w:rsidP="00DC1B09"/>
    <w:p w14:paraId="18D481B7" w14:textId="77777777" w:rsidR="00632ED7" w:rsidRDefault="00632ED7" w:rsidP="00DC1B09"/>
    <w:p w14:paraId="2B8103B4" w14:textId="77777777" w:rsidR="00632ED7" w:rsidRDefault="00632ED7" w:rsidP="00DC1B09"/>
    <w:p w14:paraId="0F77C90A" w14:textId="77777777" w:rsidR="00632ED7" w:rsidRDefault="00632ED7" w:rsidP="00DC1B09"/>
    <w:p w14:paraId="01684467" w14:textId="77777777" w:rsidR="00632ED7" w:rsidRDefault="00632ED7" w:rsidP="00DC1B09"/>
    <w:p w14:paraId="1814C6A3" w14:textId="77777777" w:rsidR="00632ED7" w:rsidRDefault="00632ED7" w:rsidP="00DC1B09"/>
  </w:footnote>
  <w:footnote w:id="1">
    <w:p w14:paraId="307DE874" w14:textId="5367A86C" w:rsidR="002D7ACA" w:rsidRDefault="002D7ACA">
      <w:pPr>
        <w:pStyle w:val="FootnoteText"/>
      </w:pPr>
      <w:r>
        <w:rPr>
          <w:rStyle w:val="FootnoteReference"/>
        </w:rPr>
        <w:footnoteRef/>
      </w:r>
      <w:r>
        <w:t xml:space="preserve"> </w:t>
      </w:r>
      <w:r w:rsidRPr="002D7ACA">
        <w:t>Regulation (EU) 2024/1789 of the European Parliament and of the Council of 13 June 2024 on the internal markets for ren</w:t>
      </w:r>
      <w:r w:rsidRPr="00170380">
        <w:t>ewable gas, natural gas and hydrogen, amending Regulations (EU) No 1227/2011, (EU) 2017/1938, (EU) 2019/942 and (EU) 2022/869 and Decision (EU) 2017/684 and repealing Regulation (EC) No 715/2009 (recast)</w:t>
      </w:r>
      <w:r w:rsidRPr="00170380">
        <w:t>.</w:t>
      </w:r>
      <w:r w:rsidR="00170380" w:rsidRPr="00170380">
        <w:t xml:space="preserve"> Official Journal </w:t>
      </w:r>
      <w:r w:rsidR="00170380" w:rsidRPr="00170380">
        <w:t>2024/1789, 15.7.2024</w:t>
      </w:r>
      <w:r w:rsidR="00170380" w:rsidRPr="00170380">
        <w:t>.</w:t>
      </w:r>
      <w:r>
        <w:t xml:space="preserve"> </w:t>
      </w:r>
    </w:p>
  </w:footnote>
  <w:footnote w:id="2">
    <w:p w14:paraId="1A787D21" w14:textId="4A414A86" w:rsidR="00781549" w:rsidRDefault="00781549" w:rsidP="00781549">
      <w:pPr>
        <w:pStyle w:val="FootnoteText"/>
      </w:pPr>
      <w:r w:rsidRPr="001B55E7">
        <w:rPr>
          <w:rStyle w:val="FootnoteReference"/>
        </w:rPr>
        <w:footnoteRef/>
      </w:r>
      <w:r w:rsidRPr="001B55E7">
        <w:t xml:space="preserve"> </w:t>
      </w:r>
      <w:r w:rsidR="00532693" w:rsidRPr="00532693">
        <w:t>Directive (EU) 2024/1788 of the European Parliament and of the Council of 13 June 2024 on common rules for the internal markets for renewable gas, natural gas and hydrogen, amending Directive (EU) 2023/1791 and repealing Directive 2009/73/EC (recast)</w:t>
      </w:r>
      <w:r w:rsidR="00532693">
        <w:t xml:space="preserve">. </w:t>
      </w:r>
      <w:r w:rsidR="00532693" w:rsidRPr="00532693">
        <w:t>OJ L, 2024/1788, 15.7.2024</w:t>
      </w:r>
      <w:r w:rsidR="00532693">
        <w:t>.</w:t>
      </w:r>
    </w:p>
  </w:footnote>
  <w:footnote w:id="3">
    <w:p w14:paraId="2EFB6EC5" w14:textId="37EC0777" w:rsidR="00EF05C7" w:rsidRDefault="00EF05C7" w:rsidP="00EF05C7">
      <w:pPr>
        <w:pStyle w:val="FootnoteText"/>
      </w:pPr>
      <w:r>
        <w:rPr>
          <w:rStyle w:val="FootnoteReference"/>
        </w:rPr>
        <w:footnoteRef/>
      </w:r>
      <w:r>
        <w:t xml:space="preserve"> </w:t>
      </w:r>
      <w:r w:rsidR="00F3780E">
        <w:t xml:space="preserve">Established in </w:t>
      </w:r>
      <w:r w:rsidR="006A1686" w:rsidRPr="00EE6605">
        <w:t>Regulation No 93 of the Government of the Estonian Republic of 29 September 2022 on the Implementation of Sanctions by the Government of the Republic Prohibiting the Purchase of Natural Gas and Liquefied Natural Gas in Connection with the Aggression of the Russian Federation in Ukraine, Supported by the Republic of Belarus</w:t>
      </w:r>
      <w:r w:rsidR="006A1686">
        <w:t xml:space="preserve"> </w:t>
      </w:r>
      <w:hyperlink r:id="rId1" w:history="1">
        <w:r w:rsidR="006A1686" w:rsidRPr="006A1686">
          <w:rPr>
            <w:rStyle w:val="Hyperlink"/>
            <w:rFonts w:asciiTheme="minorHAnsi" w:hAnsiTheme="minorHAnsi"/>
          </w:rPr>
          <w:t>RT I, 01.10.2022, 7</w:t>
        </w:r>
      </w:hyperlink>
      <w:r w:rsidR="000A16AA">
        <w:t xml:space="preserve"> </w:t>
      </w:r>
      <w:hyperlink r:id="rId2" w:history="1">
        <w:r w:rsidR="000A16AA" w:rsidRPr="00056482">
          <w:rPr>
            <w:rStyle w:val="Hyperlink"/>
            <w:rFonts w:asciiTheme="minorHAnsi" w:hAnsiTheme="minorHAnsi"/>
          </w:rPr>
          <w:t>https://www.riigiteataja.ee/akt/101102022007</w:t>
        </w:r>
      </w:hyperlink>
      <w:r>
        <w:t>.</w:t>
      </w:r>
    </w:p>
  </w:footnote>
  <w:footnote w:id="4">
    <w:p w14:paraId="1A87E73E" w14:textId="605BA77A" w:rsidR="00BA65C9" w:rsidRDefault="00BA65C9">
      <w:pPr>
        <w:pStyle w:val="FootnoteText"/>
      </w:pPr>
      <w:r>
        <w:rPr>
          <w:rStyle w:val="FootnoteReference"/>
        </w:rPr>
        <w:footnoteRef/>
      </w:r>
      <w:r>
        <w:t xml:space="preserve"> P</w:t>
      </w:r>
      <w:r w:rsidRPr="00CB0264">
        <w:t>ursuant to ECA decision No 7-29/2024-002 of 1 October 2024</w:t>
      </w:r>
    </w:p>
  </w:footnote>
  <w:footnote w:id="5">
    <w:p w14:paraId="54F970AA" w14:textId="694DDC59" w:rsidR="00F521C5" w:rsidRPr="00483497" w:rsidRDefault="00F521C5">
      <w:pPr>
        <w:pStyle w:val="FootnoteText"/>
      </w:pPr>
      <w:r w:rsidRPr="00483497">
        <w:rPr>
          <w:rStyle w:val="FootnoteReference"/>
        </w:rPr>
        <w:footnoteRef/>
      </w:r>
      <w:r w:rsidRPr="00483497">
        <w:t xml:space="preserve"> Regulation (EU) 2026/261 of the European Parliament and of the Council of 26 January 2026 on phasing out Russian natural gas imports and preparing the phase-out of Russian oil imports, improving monitoring of potential energy dependencies and amending Regulation (EU) 2017/1938. </w:t>
      </w:r>
      <w:r w:rsidRPr="00F521C5">
        <w:t>O</w:t>
      </w:r>
      <w:r w:rsidRPr="00483497">
        <w:t xml:space="preserve">fficial </w:t>
      </w:r>
      <w:r w:rsidRPr="00F521C5">
        <w:t>J</w:t>
      </w:r>
      <w:r w:rsidRPr="00483497">
        <w:t>ournal</w:t>
      </w:r>
      <w:r w:rsidRPr="00F521C5">
        <w:t xml:space="preserve"> L, 2026/261, 2.2.2026</w:t>
      </w:r>
      <w:r w:rsidR="00483497">
        <w:t>.</w:t>
      </w:r>
    </w:p>
  </w:footnote>
  <w:footnote w:id="6">
    <w:p w14:paraId="3D601427" w14:textId="77777777" w:rsidR="00DB2673" w:rsidRPr="00145914" w:rsidRDefault="00DB2673" w:rsidP="00DB2673">
      <w:pPr>
        <w:pStyle w:val="FootnoteText"/>
      </w:pPr>
      <w:r w:rsidRPr="00145914">
        <w:rPr>
          <w:rStyle w:val="FootnoteReference"/>
        </w:rPr>
        <w:footnoteRef/>
      </w:r>
      <w:r w:rsidRPr="00145914">
        <w:t xml:space="preserve"> </w:t>
      </w:r>
      <w:r>
        <w:t>Estonia</w:t>
      </w:r>
      <w:r w:rsidRPr="00145914">
        <w:t>, as an EU Member State, cannot implement provisions whose application depend</w:t>
      </w:r>
      <w:r>
        <w:t>s</w:t>
      </w:r>
      <w:r w:rsidRPr="00145914">
        <w:t xml:space="preserve"> on </w:t>
      </w:r>
      <w:r>
        <w:t xml:space="preserve">the </w:t>
      </w:r>
      <w:r w:rsidRPr="00145914">
        <w:t xml:space="preserve">simultaneous implementation by a third country which is outside its control, as these provisions are not binding upon </w:t>
      </w:r>
      <w:r>
        <w:t>the Russian Federation</w:t>
      </w:r>
      <w:r w:rsidRPr="00145914">
        <w:t>.</w:t>
      </w:r>
    </w:p>
  </w:footnote>
  <w:footnote w:id="7">
    <w:p w14:paraId="5886BEB4" w14:textId="77777777" w:rsidR="00471381" w:rsidRPr="002E6A54" w:rsidRDefault="00471381" w:rsidP="00471381">
      <w:pPr>
        <w:pStyle w:val="FootnoteText"/>
      </w:pPr>
      <w:r>
        <w:rPr>
          <w:rStyle w:val="FootnoteReference"/>
        </w:rPr>
        <w:footnoteRef/>
      </w:r>
      <w:r>
        <w:t xml:space="preserve"> </w:t>
      </w:r>
      <w:r w:rsidRPr="0024025A">
        <w:t xml:space="preserve">Commission Regulation (EU) 2017/459 of 16 March 2017 establishing a network code on capacity allocation mechanisms in gas transmission systems and repealing </w:t>
      </w:r>
      <w:r w:rsidRPr="002E6A54">
        <w:t xml:space="preserve">Regulation (EU) No 984/2013. C/2017/1660. </w:t>
      </w:r>
      <w:r w:rsidRPr="00E86F1C">
        <w:t>Official Journal L 72, 17.3.2017.</w:t>
      </w:r>
      <w:r>
        <w:t xml:space="preserve"> </w:t>
      </w:r>
      <w:r w:rsidRPr="002E6A54">
        <w:t>The standard products established in the CAM NC are yearly, quarterly, monthly, daily, and within-day products</w:t>
      </w:r>
      <w:r>
        <w:t>.</w:t>
      </w:r>
    </w:p>
  </w:footnote>
  <w:footnote w:id="8">
    <w:p w14:paraId="4F22406F" w14:textId="77777777" w:rsidR="003A787F" w:rsidRDefault="003A787F" w:rsidP="003A787F">
      <w:pPr>
        <w:pStyle w:val="FootnoteText"/>
      </w:pPr>
      <w:r w:rsidRPr="002E6A54">
        <w:rPr>
          <w:rStyle w:val="FootnoteReference"/>
        </w:rPr>
        <w:footnoteRef/>
      </w:r>
      <w:r w:rsidRPr="002E6A54">
        <w:t xml:space="preserve"> Commission Regulation (EU) No 312/2014 of 26 March 2014 establishing a Network Code on Gas Balancing of Transmission Network. Official Journal </w:t>
      </w:r>
      <w:r w:rsidRPr="000D6732">
        <w:t>L 91, 27.3.2014.</w:t>
      </w:r>
    </w:p>
  </w:footnote>
  <w:footnote w:id="9">
    <w:p w14:paraId="712AEA65" w14:textId="77777777" w:rsidR="00C2672B" w:rsidRDefault="00C2672B" w:rsidP="00C2672B">
      <w:pPr>
        <w:pStyle w:val="FootnoteText"/>
      </w:pPr>
      <w:r>
        <w:rPr>
          <w:rStyle w:val="FootnoteReference"/>
        </w:rPr>
        <w:footnoteRef/>
      </w:r>
      <w:r>
        <w:t xml:space="preserve"> </w:t>
      </w:r>
      <w:r w:rsidRPr="00C1185E">
        <w:t xml:space="preserve">Commission Regulation (EU) 2015/703 of 30 April 2015 establishing a network code on interoperability and data exchange rules. </w:t>
      </w:r>
      <w:r w:rsidRPr="00E86F1C">
        <w:t>Official Journal L 113, 1.5.2015.</w:t>
      </w:r>
    </w:p>
  </w:footnote>
  <w:footnote w:id="10">
    <w:p w14:paraId="3A52B73B" w14:textId="77777777" w:rsidR="00700529" w:rsidRDefault="00700529" w:rsidP="00700529">
      <w:pPr>
        <w:pStyle w:val="FootnoteText"/>
      </w:pPr>
      <w:r>
        <w:rPr>
          <w:rStyle w:val="FootnoteReference"/>
        </w:rPr>
        <w:footnoteRef/>
      </w:r>
      <w:r>
        <w:t xml:space="preserve"> </w:t>
      </w:r>
      <w:r w:rsidRPr="00AF679A">
        <w:t xml:space="preserve">Commission Regulation (EU) 2017/460 of 16 March 2017 establishing a network code on harmonised transmission tariff structures for gas. Official Journal L </w:t>
      </w:r>
      <w:r w:rsidRPr="00E86F1C">
        <w:t>72, 17.3.2017.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CAFC" w14:textId="77777777" w:rsidR="00DC1B09" w:rsidRPr="00064164" w:rsidRDefault="00DC1B09" w:rsidP="00DC1B09">
    <w:pPr>
      <w:pStyle w:val="Header"/>
      <w:pBdr>
        <w:bottom w:val="single" w:sz="4" w:space="1" w:color="auto"/>
      </w:pBdr>
      <w:tabs>
        <w:tab w:val="clear" w:pos="9026"/>
      </w:tabs>
      <w:adjustRightInd w:val="0"/>
      <w:snapToGrid w:val="0"/>
      <w:jc w:val="left"/>
      <w:rPr>
        <w:spacing w:val="40"/>
        <w:lang w:val="sl-SI"/>
      </w:rPr>
    </w:pPr>
    <w:r w:rsidRPr="00064164">
      <w:rPr>
        <w:rFonts w:ascii="Arial Black" w:hAnsi="Arial Black"/>
        <w:b/>
        <w:bCs/>
        <w:color w:val="004FEE" w:themeColor="text2"/>
        <w:spacing w:val="40"/>
        <w:lang w:val="sl-SI"/>
      </w:rPr>
      <w:t>ACER</w:t>
    </w:r>
    <w:r w:rsidRPr="007D3899">
      <w:rPr>
        <w:b/>
        <w:color w:val="004FEE" w:themeColor="text2"/>
        <w:spacing w:val="40"/>
        <w:lang w:val="sl-SI"/>
      </w:rPr>
      <w:t xml:space="preserve">  </w:t>
    </w:r>
    <w:r w:rsidRPr="007D3899">
      <w:rPr>
        <w:color w:val="004FEE" w:themeColor="text2"/>
        <w:spacing w:val="40"/>
        <w:lang w:val="sl-SI"/>
      </w:rPr>
      <w:t xml:space="preserve"> </w:t>
    </w:r>
    <w:r w:rsidR="00F672CF">
      <w:rPr>
        <w:spacing w:val="40"/>
        <w:lang w:val="sl-SI"/>
      </w:rPr>
      <w:t>OPINION NO XX/YYYY</w:t>
    </w:r>
  </w:p>
  <w:p w14:paraId="1580FF2A" w14:textId="77777777" w:rsidR="000252D2" w:rsidRPr="00DC1B09" w:rsidRDefault="000252D2" w:rsidP="00DC1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522" w14:textId="77777777" w:rsidR="004C1887" w:rsidRPr="00AD33CD" w:rsidRDefault="00820E84" w:rsidP="00DC1B09">
    <w:pPr>
      <w:pStyle w:val="Header"/>
    </w:pPr>
    <w:r w:rsidRPr="00820E84">
      <w:rPr>
        <w:noProof/>
        <w:lang w:eastAsia="en-GB"/>
      </w:rPr>
      <w:drawing>
        <wp:anchor distT="0" distB="0" distL="114300" distR="114300" simplePos="0" relativeHeight="251658240" behindDoc="0" locked="0" layoutInCell="1" allowOverlap="0" wp14:anchorId="78368165" wp14:editId="5E0F00F1">
          <wp:simplePos x="0" y="0"/>
          <wp:positionH relativeFrom="column">
            <wp:posOffset>-259876</wp:posOffset>
          </wp:positionH>
          <wp:positionV relativeFrom="page">
            <wp:posOffset>659130</wp:posOffset>
          </wp:positionV>
          <wp:extent cx="2750400" cy="896400"/>
          <wp:effectExtent l="0" t="0" r="0" b="0"/>
          <wp:wrapTopAndBottom/>
          <wp:docPr id="4" name="Picture 4" descr="C:\Users\cebelul\AppData\Local\Microsoft\Windows\INetCache\Content.Outlook\CTEUO2M5\ACER_logo_RGB_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belul\AppData\Local\Microsoft\Windows\INetCache\Content.Outlook\CTEUO2M5\ACER_logo_RGB_hq.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3CD">
      <w:tab/>
    </w:r>
    <w:r w:rsidR="00AD33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D1"/>
    <w:multiLevelType w:val="hybridMultilevel"/>
    <w:tmpl w:val="96443184"/>
    <w:lvl w:ilvl="0" w:tplc="F572D8AE">
      <w:start w:val="1"/>
      <w:numFmt w:val="decimal"/>
      <w:pStyle w:val="Recital"/>
      <w:lvlText w:val="%1"/>
      <w:lvlJc w:val="left"/>
      <w:pPr>
        <w:tabs>
          <w:tab w:val="num" w:pos="567"/>
        </w:tabs>
        <w:ind w:left="567" w:hanging="567"/>
      </w:pPr>
      <w:rPr>
        <w:color w:val="BFBFBF" w:themeColor="background1" w:themeShade="BF"/>
        <w:sz w:val="16"/>
        <w:szCs w:val="16"/>
      </w:rPr>
    </w:lvl>
    <w:lvl w:ilvl="1" w:tplc="27D45FB2">
      <w:start w:val="1"/>
      <w:numFmt w:val="bullet"/>
      <w:lvlText w:val=""/>
      <w:lvlJc w:val="left"/>
      <w:pPr>
        <w:ind w:left="928" w:hanging="360"/>
      </w:pPr>
      <w:rPr>
        <w:rFonts w:ascii="Symbol" w:hAnsi="Symbol" w:hint="default"/>
        <w:color w:val="004FEE"/>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72F52"/>
    <w:multiLevelType w:val="hybridMultilevel"/>
    <w:tmpl w:val="152C9282"/>
    <w:lvl w:ilvl="0" w:tplc="F8CA0ED4">
      <w:start w:val="3"/>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D0122"/>
    <w:multiLevelType w:val="hybridMultilevel"/>
    <w:tmpl w:val="676624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DB5F4B"/>
    <w:multiLevelType w:val="multilevel"/>
    <w:tmpl w:val="2A88F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315F7"/>
    <w:multiLevelType w:val="hybridMultilevel"/>
    <w:tmpl w:val="D60048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90219D"/>
    <w:multiLevelType w:val="multilevel"/>
    <w:tmpl w:val="7D26871A"/>
    <w:styleLink w:val="CurrentList10"/>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6" w15:restartNumberingAfterBreak="0">
    <w:nsid w:val="27D30258"/>
    <w:multiLevelType w:val="hybridMultilevel"/>
    <w:tmpl w:val="9BDCEC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D3541"/>
    <w:multiLevelType w:val="multilevel"/>
    <w:tmpl w:val="784EE878"/>
    <w:styleLink w:val="CurrentList9"/>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0724EF5"/>
    <w:multiLevelType w:val="multilevel"/>
    <w:tmpl w:val="7D26871A"/>
    <w:styleLink w:val="CurrentList12"/>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9" w15:restartNumberingAfterBreak="0">
    <w:nsid w:val="317A400E"/>
    <w:multiLevelType w:val="multilevel"/>
    <w:tmpl w:val="2FD450CC"/>
    <w:styleLink w:val="CurrentList4"/>
    <w:lvl w:ilvl="0">
      <w:start w:val="1"/>
      <w:numFmt w:val="decimal"/>
      <w:lvlText w:val="%1."/>
      <w:lvlJc w:val="left"/>
      <w:pPr>
        <w:ind w:left="567" w:hanging="567"/>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D0FAD"/>
    <w:multiLevelType w:val="hybridMultilevel"/>
    <w:tmpl w:val="479216D8"/>
    <w:lvl w:ilvl="0" w:tplc="08090017">
      <w:start w:val="1"/>
      <w:numFmt w:val="lowerLetter"/>
      <w:lvlText w:val="%1)"/>
      <w:lvlJc w:val="lef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1" w15:restartNumberingAfterBreak="0">
    <w:nsid w:val="3A645800"/>
    <w:multiLevelType w:val="multilevel"/>
    <w:tmpl w:val="39F4C24C"/>
    <w:styleLink w:val="CurrentList2"/>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154991"/>
    <w:multiLevelType w:val="hybridMultilevel"/>
    <w:tmpl w:val="ECC8469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D0235F6"/>
    <w:multiLevelType w:val="hybridMultilevel"/>
    <w:tmpl w:val="A99E95A2"/>
    <w:lvl w:ilvl="0" w:tplc="08090017">
      <w:start w:val="1"/>
      <w:numFmt w:val="lowerLetter"/>
      <w:lvlText w:val="%1)"/>
      <w:lvlJc w:val="left"/>
      <w:pPr>
        <w:ind w:left="1340" w:hanging="360"/>
      </w:pPr>
    </w:lvl>
    <w:lvl w:ilvl="1" w:tplc="08090019" w:tentative="1">
      <w:start w:val="1"/>
      <w:numFmt w:val="lowerLetter"/>
      <w:lvlText w:val="%2."/>
      <w:lvlJc w:val="left"/>
      <w:pPr>
        <w:ind w:left="2060" w:hanging="360"/>
      </w:pPr>
    </w:lvl>
    <w:lvl w:ilvl="2" w:tplc="0809001B" w:tentative="1">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abstractNum w:abstractNumId="14" w15:restartNumberingAfterBreak="0">
    <w:nsid w:val="455752A1"/>
    <w:multiLevelType w:val="hybridMultilevel"/>
    <w:tmpl w:val="45764B72"/>
    <w:lvl w:ilvl="0" w:tplc="27D45FB2">
      <w:start w:val="1"/>
      <w:numFmt w:val="bullet"/>
      <w:lvlText w:val=""/>
      <w:lvlJc w:val="left"/>
      <w:pPr>
        <w:ind w:left="644" w:hanging="360"/>
      </w:pPr>
      <w:rPr>
        <w:rFonts w:ascii="Symbol" w:hAnsi="Symbol" w:hint="default"/>
        <w:b w:val="0"/>
        <w:i w:val="0"/>
        <w:color w:val="004FEE"/>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CC42E5"/>
    <w:multiLevelType w:val="hybridMultilevel"/>
    <w:tmpl w:val="3BD2465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C657AE8"/>
    <w:multiLevelType w:val="hybridMultilevel"/>
    <w:tmpl w:val="9BDCEC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7554C"/>
    <w:multiLevelType w:val="hybridMultilevel"/>
    <w:tmpl w:val="E6EA51D6"/>
    <w:lvl w:ilvl="0" w:tplc="D3948060">
      <w:start w:val="1"/>
      <w:numFmt w:val="bullet"/>
      <w:pStyle w:val="Bullets2ndlevel"/>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9190E"/>
    <w:multiLevelType w:val="multilevel"/>
    <w:tmpl w:val="D7907166"/>
    <w:styleLink w:val="CurrentList7"/>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19" w15:restartNumberingAfterBreak="0">
    <w:nsid w:val="584053F1"/>
    <w:multiLevelType w:val="hybridMultilevel"/>
    <w:tmpl w:val="147E6BEA"/>
    <w:lvl w:ilvl="0" w:tplc="8AB01876">
      <w:start w:val="1"/>
      <w:numFmt w:val="decimal"/>
      <w:lvlText w:val="%1"/>
      <w:lvlJc w:val="left"/>
      <w:pPr>
        <w:ind w:left="720" w:hanging="360"/>
      </w:pPr>
    </w:lvl>
    <w:lvl w:ilvl="1" w:tplc="C1CA1902">
      <w:start w:val="1"/>
      <w:numFmt w:val="lowerLetter"/>
      <w:lvlText w:val="%2."/>
      <w:lvlJc w:val="left"/>
      <w:pPr>
        <w:ind w:left="1440" w:hanging="360"/>
      </w:pPr>
    </w:lvl>
    <w:lvl w:ilvl="2" w:tplc="B31CE444">
      <w:start w:val="1"/>
      <w:numFmt w:val="lowerRoman"/>
      <w:lvlText w:val="%3."/>
      <w:lvlJc w:val="right"/>
      <w:pPr>
        <w:ind w:left="2160" w:hanging="180"/>
      </w:pPr>
    </w:lvl>
    <w:lvl w:ilvl="3" w:tplc="C54C91B2">
      <w:start w:val="1"/>
      <w:numFmt w:val="decimal"/>
      <w:lvlText w:val="%4."/>
      <w:lvlJc w:val="left"/>
      <w:pPr>
        <w:ind w:left="2880" w:hanging="360"/>
      </w:pPr>
    </w:lvl>
    <w:lvl w:ilvl="4" w:tplc="F5987188">
      <w:start w:val="1"/>
      <w:numFmt w:val="lowerLetter"/>
      <w:lvlText w:val="%5."/>
      <w:lvlJc w:val="left"/>
      <w:pPr>
        <w:ind w:left="3600" w:hanging="360"/>
      </w:pPr>
    </w:lvl>
    <w:lvl w:ilvl="5" w:tplc="062E5552">
      <w:start w:val="1"/>
      <w:numFmt w:val="lowerRoman"/>
      <w:lvlText w:val="%6."/>
      <w:lvlJc w:val="right"/>
      <w:pPr>
        <w:ind w:left="4320" w:hanging="180"/>
      </w:pPr>
    </w:lvl>
    <w:lvl w:ilvl="6" w:tplc="827E84C4">
      <w:start w:val="1"/>
      <w:numFmt w:val="decimal"/>
      <w:lvlText w:val="%7."/>
      <w:lvlJc w:val="left"/>
      <w:pPr>
        <w:ind w:left="5040" w:hanging="360"/>
      </w:pPr>
    </w:lvl>
    <w:lvl w:ilvl="7" w:tplc="ED2EB8B8">
      <w:start w:val="1"/>
      <w:numFmt w:val="lowerLetter"/>
      <w:lvlText w:val="%8."/>
      <w:lvlJc w:val="left"/>
      <w:pPr>
        <w:ind w:left="5760" w:hanging="360"/>
      </w:pPr>
    </w:lvl>
    <w:lvl w:ilvl="8" w:tplc="1D86F4A2">
      <w:start w:val="1"/>
      <w:numFmt w:val="lowerRoman"/>
      <w:lvlText w:val="%9."/>
      <w:lvlJc w:val="right"/>
      <w:pPr>
        <w:ind w:left="6480" w:hanging="180"/>
      </w:pPr>
    </w:lvl>
  </w:abstractNum>
  <w:abstractNum w:abstractNumId="20" w15:restartNumberingAfterBreak="0">
    <w:nsid w:val="586B5109"/>
    <w:multiLevelType w:val="multilevel"/>
    <w:tmpl w:val="DF463082"/>
    <w:styleLink w:val="CurrentList8"/>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1" w15:restartNumberingAfterBreak="0">
    <w:nsid w:val="58E33AF6"/>
    <w:multiLevelType w:val="multilevel"/>
    <w:tmpl w:val="DB585AB2"/>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5F5A1C"/>
    <w:multiLevelType w:val="multilevel"/>
    <w:tmpl w:val="0CB8469C"/>
    <w:styleLink w:val="CurrentList3"/>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793B7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DF0CA7"/>
    <w:multiLevelType w:val="multilevel"/>
    <w:tmpl w:val="7D26871A"/>
    <w:styleLink w:val="CurrentList11"/>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5" w15:restartNumberingAfterBreak="0">
    <w:nsid w:val="5B5056D8"/>
    <w:multiLevelType w:val="multilevel"/>
    <w:tmpl w:val="8294F98E"/>
    <w:styleLink w:val="CurrentList6"/>
    <w:lvl w:ilvl="0">
      <w:start w:val="1"/>
      <w:numFmt w:val="decimal"/>
      <w:lvlText w:val="%1."/>
      <w:lvlJc w:val="left"/>
      <w:pPr>
        <w:tabs>
          <w:tab w:val="num" w:pos="0"/>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6" w15:restartNumberingAfterBreak="0">
    <w:nsid w:val="5B5F1975"/>
    <w:multiLevelType w:val="hybridMultilevel"/>
    <w:tmpl w:val="A91C1528"/>
    <w:lvl w:ilvl="0" w:tplc="08090001">
      <w:start w:val="1"/>
      <w:numFmt w:val="bullet"/>
      <w:lvlText w:val=""/>
      <w:lvlJc w:val="left"/>
      <w:pPr>
        <w:tabs>
          <w:tab w:val="num" w:pos="1134"/>
        </w:tabs>
        <w:ind w:left="1134" w:hanging="567"/>
      </w:pPr>
      <w:rPr>
        <w:rFonts w:ascii="Symbol" w:hAnsi="Symbol" w:hint="default"/>
        <w:color w:val="BFBFBF" w:themeColor="background1" w:themeShade="BF"/>
        <w:sz w:val="16"/>
        <w:szCs w:val="16"/>
      </w:rPr>
    </w:lvl>
    <w:lvl w:ilvl="1" w:tplc="FFFFFFFF">
      <w:start w:val="1"/>
      <w:numFmt w:val="bullet"/>
      <w:lvlText w:val=""/>
      <w:lvlJc w:val="left"/>
      <w:pPr>
        <w:ind w:left="1495" w:hanging="360"/>
      </w:pPr>
      <w:rPr>
        <w:rFonts w:ascii="Symbol" w:hAnsi="Symbol" w:hint="default"/>
        <w:color w:val="004FEE"/>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C6D105E"/>
    <w:multiLevelType w:val="hybridMultilevel"/>
    <w:tmpl w:val="36524B9C"/>
    <w:lvl w:ilvl="0" w:tplc="2D50D86A">
      <w:start w:val="1"/>
      <w:numFmt w:val="bullet"/>
      <w:pStyle w:val="Bullets1stlevel"/>
      <w:lvlText w:val=""/>
      <w:lvlJc w:val="left"/>
      <w:pPr>
        <w:tabs>
          <w:tab w:val="num" w:pos="284"/>
        </w:tabs>
        <w:ind w:left="284" w:hanging="284"/>
      </w:pPr>
      <w:rPr>
        <w:rFonts w:ascii="Symbol" w:hAnsi="Symbol" w:hint="default"/>
        <w:b/>
        <w:i w:val="0"/>
        <w:color w:val="004FEE" w:themeColor="text2"/>
        <w:sz w:val="20"/>
      </w:rPr>
    </w:lvl>
    <w:lvl w:ilvl="1" w:tplc="281AC992">
      <w:start w:val="1"/>
      <w:numFmt w:val="bullet"/>
      <w:lvlText w:val=""/>
      <w:lvlJc w:val="left"/>
      <w:pPr>
        <w:ind w:left="644" w:hanging="360"/>
      </w:pPr>
      <w:rPr>
        <w:rFonts w:ascii="Symbol" w:hAnsi="Symbol" w:hint="default"/>
        <w:b w:val="0"/>
        <w:i w:val="0"/>
        <w:color w:val="auto"/>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F3897"/>
    <w:multiLevelType w:val="multilevel"/>
    <w:tmpl w:val="5EFEBE14"/>
    <w:styleLink w:val="CurrentList5"/>
    <w:lvl w:ilvl="0">
      <w:start w:val="1"/>
      <w:numFmt w:val="decimal"/>
      <w:lvlText w:val="%1."/>
      <w:lvlJc w:val="left"/>
      <w:pPr>
        <w:ind w:left="-513" w:hanging="567"/>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9" w15:restartNumberingAfterBreak="0">
    <w:nsid w:val="67421AF4"/>
    <w:multiLevelType w:val="hybridMultilevel"/>
    <w:tmpl w:val="609E018E"/>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15:restartNumberingAfterBreak="0">
    <w:nsid w:val="6C1E0A58"/>
    <w:multiLevelType w:val="hybridMultilevel"/>
    <w:tmpl w:val="ECC8469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C5E1007"/>
    <w:multiLevelType w:val="multilevel"/>
    <w:tmpl w:val="8E82BDF4"/>
    <w:lvl w:ilvl="0">
      <w:start w:val="1"/>
      <w:numFmt w:val="decimal"/>
      <w:pStyle w:val="1stLevelHeading"/>
      <w:lvlText w:val="%1."/>
      <w:lvlJc w:val="left"/>
      <w:pPr>
        <w:ind w:left="561" w:hanging="561"/>
      </w:pPr>
      <w:rPr>
        <w:rFonts w:hint="default"/>
        <w:color w:val="004FEE" w:themeColor="text2"/>
      </w:rPr>
    </w:lvl>
    <w:lvl w:ilvl="1">
      <w:start w:val="1"/>
      <w:numFmt w:val="decimal"/>
      <w:pStyle w:val="2ndlevelHeading"/>
      <w:lvlText w:val="%1.%2."/>
      <w:lvlJc w:val="left"/>
      <w:pPr>
        <w:ind w:left="0" w:firstLine="0"/>
      </w:pPr>
      <w:rPr>
        <w:rFonts w:hint="default"/>
      </w:rPr>
    </w:lvl>
    <w:lvl w:ilvl="2">
      <w:start w:val="1"/>
      <w:numFmt w:val="decimal"/>
      <w:pStyle w:val="3rdlevelHeading"/>
      <w:lvlText w:val="%1.%2.%3."/>
      <w:lvlJc w:val="left"/>
      <w:pPr>
        <w:ind w:left="720" w:hanging="720"/>
      </w:pPr>
      <w:rPr>
        <w:rFonts w:hint="default"/>
      </w:rPr>
    </w:lvl>
    <w:lvl w:ilvl="3">
      <w:start w:val="1"/>
      <w:numFmt w:val="decimal"/>
      <w:pStyle w:val="4thLevelHeading"/>
      <w:lvlText w:val="%1.%2.%3.%4."/>
      <w:lvlJc w:val="left"/>
      <w:pPr>
        <w:ind w:left="561" w:hanging="561"/>
      </w:pPr>
      <w:rPr>
        <w:rFonts w:hint="default"/>
      </w:rPr>
    </w:lvl>
    <w:lvl w:ilvl="4">
      <w:start w:val="1"/>
      <w:numFmt w:val="decimal"/>
      <w:lvlText w:val="%1.%2.%3.%4.%5."/>
      <w:lvlJc w:val="left"/>
      <w:pPr>
        <w:ind w:left="561" w:hanging="561"/>
      </w:pPr>
      <w:rPr>
        <w:rFonts w:hint="default"/>
      </w:rPr>
    </w:lvl>
    <w:lvl w:ilvl="5">
      <w:start w:val="1"/>
      <w:numFmt w:val="decimal"/>
      <w:lvlText w:val="%1.%2.%3.%4.%5.%6."/>
      <w:lvlJc w:val="left"/>
      <w:pPr>
        <w:ind w:left="561" w:hanging="561"/>
      </w:pPr>
      <w:rPr>
        <w:rFonts w:hint="default"/>
      </w:rPr>
    </w:lvl>
    <w:lvl w:ilvl="6">
      <w:start w:val="1"/>
      <w:numFmt w:val="decimal"/>
      <w:lvlText w:val="%1.%2.%3.%4.%5.%6.%7."/>
      <w:lvlJc w:val="left"/>
      <w:pPr>
        <w:ind w:left="2703" w:hanging="561"/>
      </w:pPr>
      <w:rPr>
        <w:rFonts w:hint="default"/>
      </w:rPr>
    </w:lvl>
    <w:lvl w:ilvl="7">
      <w:start w:val="1"/>
      <w:numFmt w:val="decimal"/>
      <w:lvlText w:val="%1.%2.%3.%4.%5.%6.%7.%8."/>
      <w:lvlJc w:val="left"/>
      <w:pPr>
        <w:ind w:left="3060" w:hanging="561"/>
      </w:pPr>
      <w:rPr>
        <w:rFonts w:hint="default"/>
      </w:rPr>
    </w:lvl>
    <w:lvl w:ilvl="8">
      <w:start w:val="1"/>
      <w:numFmt w:val="decimal"/>
      <w:lvlText w:val="%1.%2.%3.%4.%5.%6.%7.%8.%9."/>
      <w:lvlJc w:val="left"/>
      <w:pPr>
        <w:ind w:left="3417" w:hanging="561"/>
      </w:pPr>
      <w:rPr>
        <w:rFonts w:hint="default"/>
      </w:rPr>
    </w:lvl>
  </w:abstractNum>
  <w:abstractNum w:abstractNumId="32" w15:restartNumberingAfterBreak="0">
    <w:nsid w:val="6F7B0A56"/>
    <w:multiLevelType w:val="hybridMultilevel"/>
    <w:tmpl w:val="775C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A2FC4"/>
    <w:multiLevelType w:val="hybridMultilevel"/>
    <w:tmpl w:val="0EBEFF4C"/>
    <w:lvl w:ilvl="0" w:tplc="D1D4349E">
      <w:start w:val="1"/>
      <w:numFmt w:val="decimal"/>
      <w:pStyle w:val="Numbered"/>
      <w:lvlText w:val="%1."/>
      <w:lvlJc w:val="left"/>
      <w:pPr>
        <w:ind w:left="360" w:hanging="360"/>
      </w:pPr>
      <w:rPr>
        <w:color w:val="004FEE" w:themeColor="text2"/>
      </w:rPr>
    </w:lvl>
    <w:lvl w:ilvl="1" w:tplc="08090019">
      <w:start w:val="1"/>
      <w:numFmt w:val="lowerLetter"/>
      <w:lvlText w:val="%2."/>
      <w:lvlJc w:val="left"/>
      <w:pPr>
        <w:ind w:left="644"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BF5BD7"/>
    <w:multiLevelType w:val="multilevel"/>
    <w:tmpl w:val="451498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3628150">
    <w:abstractNumId w:val="23"/>
  </w:num>
  <w:num w:numId="2" w16cid:durableId="1268347619">
    <w:abstractNumId w:val="27"/>
  </w:num>
  <w:num w:numId="3" w16cid:durableId="30108877">
    <w:abstractNumId w:val="17"/>
  </w:num>
  <w:num w:numId="4" w16cid:durableId="293830288">
    <w:abstractNumId w:val="0"/>
  </w:num>
  <w:num w:numId="5" w16cid:durableId="153229108">
    <w:abstractNumId w:val="21"/>
  </w:num>
  <w:num w:numId="6" w16cid:durableId="1767917621">
    <w:abstractNumId w:val="11"/>
  </w:num>
  <w:num w:numId="7" w16cid:durableId="92359760">
    <w:abstractNumId w:val="22"/>
  </w:num>
  <w:num w:numId="8" w16cid:durableId="545917921">
    <w:abstractNumId w:val="9"/>
  </w:num>
  <w:num w:numId="9" w16cid:durableId="758864761">
    <w:abstractNumId w:val="28"/>
  </w:num>
  <w:num w:numId="10" w16cid:durableId="1089351853">
    <w:abstractNumId w:val="25"/>
  </w:num>
  <w:num w:numId="11" w16cid:durableId="1406368472">
    <w:abstractNumId w:val="18"/>
  </w:num>
  <w:num w:numId="12" w16cid:durableId="1019772625">
    <w:abstractNumId w:val="20"/>
  </w:num>
  <w:num w:numId="13" w16cid:durableId="954361110">
    <w:abstractNumId w:val="7"/>
  </w:num>
  <w:num w:numId="14" w16cid:durableId="1207910793">
    <w:abstractNumId w:val="5"/>
  </w:num>
  <w:num w:numId="15" w16cid:durableId="755859410">
    <w:abstractNumId w:val="24"/>
  </w:num>
  <w:num w:numId="16" w16cid:durableId="1429158042">
    <w:abstractNumId w:val="8"/>
  </w:num>
  <w:num w:numId="17" w16cid:durableId="818889217">
    <w:abstractNumId w:val="31"/>
  </w:num>
  <w:num w:numId="18" w16cid:durableId="1976518542">
    <w:abstractNumId w:val="33"/>
  </w:num>
  <w:num w:numId="19" w16cid:durableId="747533000">
    <w:abstractNumId w:val="14"/>
  </w:num>
  <w:num w:numId="20" w16cid:durableId="1459956960">
    <w:abstractNumId w:val="16"/>
  </w:num>
  <w:num w:numId="21" w16cid:durableId="443815760">
    <w:abstractNumId w:val="6"/>
  </w:num>
  <w:num w:numId="22" w16cid:durableId="714813747">
    <w:abstractNumId w:val="4"/>
  </w:num>
  <w:num w:numId="23" w16cid:durableId="1396197345">
    <w:abstractNumId w:val="15"/>
  </w:num>
  <w:num w:numId="24" w16cid:durableId="484666723">
    <w:abstractNumId w:val="12"/>
  </w:num>
  <w:num w:numId="25" w16cid:durableId="1931885721">
    <w:abstractNumId w:val="30"/>
  </w:num>
  <w:num w:numId="26" w16cid:durableId="969870364">
    <w:abstractNumId w:val="13"/>
  </w:num>
  <w:num w:numId="27" w16cid:durableId="1437796921">
    <w:abstractNumId w:val="29"/>
  </w:num>
  <w:num w:numId="28" w16cid:durableId="150368234">
    <w:abstractNumId w:val="10"/>
  </w:num>
  <w:num w:numId="29" w16cid:durableId="1338533416">
    <w:abstractNumId w:val="0"/>
  </w:num>
  <w:num w:numId="30" w16cid:durableId="225994968">
    <w:abstractNumId w:val="0"/>
  </w:num>
  <w:num w:numId="31" w16cid:durableId="1354503297">
    <w:abstractNumId w:val="1"/>
  </w:num>
  <w:num w:numId="32" w16cid:durableId="1895655696">
    <w:abstractNumId w:val="1"/>
  </w:num>
  <w:num w:numId="33" w16cid:durableId="1238442164">
    <w:abstractNumId w:val="26"/>
  </w:num>
  <w:num w:numId="34" w16cid:durableId="817069007">
    <w:abstractNumId w:val="3"/>
  </w:num>
  <w:num w:numId="35" w16cid:durableId="507712951">
    <w:abstractNumId w:val="34"/>
  </w:num>
  <w:num w:numId="36" w16cid:durableId="695545548">
    <w:abstractNumId w:val="19"/>
  </w:num>
  <w:num w:numId="37" w16cid:durableId="74087462">
    <w:abstractNumId w:val="2"/>
  </w:num>
  <w:num w:numId="38" w16cid:durableId="1428501506">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DD"/>
    <w:rsid w:val="0000014B"/>
    <w:rsid w:val="00001DB3"/>
    <w:rsid w:val="00003D34"/>
    <w:rsid w:val="00007E29"/>
    <w:rsid w:val="00011DF7"/>
    <w:rsid w:val="00014A98"/>
    <w:rsid w:val="0001566F"/>
    <w:rsid w:val="00016A4D"/>
    <w:rsid w:val="00017C69"/>
    <w:rsid w:val="00017FA0"/>
    <w:rsid w:val="00022480"/>
    <w:rsid w:val="000246CB"/>
    <w:rsid w:val="000252D2"/>
    <w:rsid w:val="000255B6"/>
    <w:rsid w:val="0002751D"/>
    <w:rsid w:val="0003618A"/>
    <w:rsid w:val="00041777"/>
    <w:rsid w:val="00044CC8"/>
    <w:rsid w:val="00046C7E"/>
    <w:rsid w:val="00050740"/>
    <w:rsid w:val="00051B8A"/>
    <w:rsid w:val="000529CB"/>
    <w:rsid w:val="00052E12"/>
    <w:rsid w:val="00054424"/>
    <w:rsid w:val="00056112"/>
    <w:rsid w:val="00061B9F"/>
    <w:rsid w:val="00061C03"/>
    <w:rsid w:val="000640D3"/>
    <w:rsid w:val="00064164"/>
    <w:rsid w:val="000655CD"/>
    <w:rsid w:val="00070D83"/>
    <w:rsid w:val="00072DD5"/>
    <w:rsid w:val="000746D4"/>
    <w:rsid w:val="000820A0"/>
    <w:rsid w:val="00082BB9"/>
    <w:rsid w:val="00082C89"/>
    <w:rsid w:val="00082CAC"/>
    <w:rsid w:val="00091142"/>
    <w:rsid w:val="00097F86"/>
    <w:rsid w:val="000A00DD"/>
    <w:rsid w:val="000A0307"/>
    <w:rsid w:val="000A03BF"/>
    <w:rsid w:val="000A16AA"/>
    <w:rsid w:val="000A3C42"/>
    <w:rsid w:val="000A598B"/>
    <w:rsid w:val="000A6ABE"/>
    <w:rsid w:val="000B02BF"/>
    <w:rsid w:val="000B327D"/>
    <w:rsid w:val="000B45C1"/>
    <w:rsid w:val="000B7B5A"/>
    <w:rsid w:val="000C07FA"/>
    <w:rsid w:val="000C45D9"/>
    <w:rsid w:val="000C4980"/>
    <w:rsid w:val="000C6607"/>
    <w:rsid w:val="000C7499"/>
    <w:rsid w:val="000D669E"/>
    <w:rsid w:val="000E1DA6"/>
    <w:rsid w:val="000E2E0A"/>
    <w:rsid w:val="000E336C"/>
    <w:rsid w:val="000E3F3B"/>
    <w:rsid w:val="000F2DB5"/>
    <w:rsid w:val="000F4DED"/>
    <w:rsid w:val="001016DA"/>
    <w:rsid w:val="00103632"/>
    <w:rsid w:val="00103BCE"/>
    <w:rsid w:val="00104993"/>
    <w:rsid w:val="00110951"/>
    <w:rsid w:val="001130E2"/>
    <w:rsid w:val="001138FA"/>
    <w:rsid w:val="00113A1B"/>
    <w:rsid w:val="00113C58"/>
    <w:rsid w:val="00114072"/>
    <w:rsid w:val="001149DC"/>
    <w:rsid w:val="0011722C"/>
    <w:rsid w:val="00120C21"/>
    <w:rsid w:val="001232F6"/>
    <w:rsid w:val="001234AD"/>
    <w:rsid w:val="00124FC3"/>
    <w:rsid w:val="0013017C"/>
    <w:rsid w:val="00131D78"/>
    <w:rsid w:val="001347B6"/>
    <w:rsid w:val="00136139"/>
    <w:rsid w:val="00136DB9"/>
    <w:rsid w:val="001375F2"/>
    <w:rsid w:val="00140E7D"/>
    <w:rsid w:val="0014251A"/>
    <w:rsid w:val="001431DE"/>
    <w:rsid w:val="001445E3"/>
    <w:rsid w:val="00145B50"/>
    <w:rsid w:val="00145BC8"/>
    <w:rsid w:val="0015047F"/>
    <w:rsid w:val="001507E2"/>
    <w:rsid w:val="00150997"/>
    <w:rsid w:val="00151C75"/>
    <w:rsid w:val="00152602"/>
    <w:rsid w:val="00153457"/>
    <w:rsid w:val="00153970"/>
    <w:rsid w:val="00156C4E"/>
    <w:rsid w:val="00157CF9"/>
    <w:rsid w:val="00161133"/>
    <w:rsid w:val="00165D52"/>
    <w:rsid w:val="00167F98"/>
    <w:rsid w:val="00170380"/>
    <w:rsid w:val="00170C73"/>
    <w:rsid w:val="00173299"/>
    <w:rsid w:val="00173CD4"/>
    <w:rsid w:val="00174383"/>
    <w:rsid w:val="00175097"/>
    <w:rsid w:val="00175813"/>
    <w:rsid w:val="00175D7F"/>
    <w:rsid w:val="001778CF"/>
    <w:rsid w:val="0018008A"/>
    <w:rsid w:val="00180BFA"/>
    <w:rsid w:val="00181155"/>
    <w:rsid w:val="00182212"/>
    <w:rsid w:val="001860E6"/>
    <w:rsid w:val="0018648C"/>
    <w:rsid w:val="00194C7A"/>
    <w:rsid w:val="00194F10"/>
    <w:rsid w:val="001973D6"/>
    <w:rsid w:val="001A103C"/>
    <w:rsid w:val="001A2FD7"/>
    <w:rsid w:val="001A4993"/>
    <w:rsid w:val="001A54CF"/>
    <w:rsid w:val="001B0272"/>
    <w:rsid w:val="001B0899"/>
    <w:rsid w:val="001B5378"/>
    <w:rsid w:val="001B631B"/>
    <w:rsid w:val="001B688C"/>
    <w:rsid w:val="001C0432"/>
    <w:rsid w:val="001C09B0"/>
    <w:rsid w:val="001C6AC0"/>
    <w:rsid w:val="001C7A51"/>
    <w:rsid w:val="001D38DD"/>
    <w:rsid w:val="001D78A7"/>
    <w:rsid w:val="001E28C1"/>
    <w:rsid w:val="001E3308"/>
    <w:rsid w:val="001E381C"/>
    <w:rsid w:val="001E7C88"/>
    <w:rsid w:val="001F179C"/>
    <w:rsid w:val="001F5848"/>
    <w:rsid w:val="001F619D"/>
    <w:rsid w:val="00200AC5"/>
    <w:rsid w:val="00202AB6"/>
    <w:rsid w:val="00204D2A"/>
    <w:rsid w:val="00206A7E"/>
    <w:rsid w:val="00210769"/>
    <w:rsid w:val="00213C9B"/>
    <w:rsid w:val="00215FC1"/>
    <w:rsid w:val="002167BB"/>
    <w:rsid w:val="0022115F"/>
    <w:rsid w:val="0022258D"/>
    <w:rsid w:val="00223D6D"/>
    <w:rsid w:val="00224509"/>
    <w:rsid w:val="002252ED"/>
    <w:rsid w:val="00226C76"/>
    <w:rsid w:val="00227217"/>
    <w:rsid w:val="002301CC"/>
    <w:rsid w:val="00231A84"/>
    <w:rsid w:val="002353B2"/>
    <w:rsid w:val="00235BAE"/>
    <w:rsid w:val="0024153E"/>
    <w:rsid w:val="0025151D"/>
    <w:rsid w:val="00256A50"/>
    <w:rsid w:val="002571D4"/>
    <w:rsid w:val="002573DE"/>
    <w:rsid w:val="002611BE"/>
    <w:rsid w:val="002660C6"/>
    <w:rsid w:val="002724A9"/>
    <w:rsid w:val="0027393E"/>
    <w:rsid w:val="00273EDD"/>
    <w:rsid w:val="00283D14"/>
    <w:rsid w:val="002870A8"/>
    <w:rsid w:val="00297883"/>
    <w:rsid w:val="00297F52"/>
    <w:rsid w:val="002A02D6"/>
    <w:rsid w:val="002A4B2D"/>
    <w:rsid w:val="002A5616"/>
    <w:rsid w:val="002A68D2"/>
    <w:rsid w:val="002A7FBB"/>
    <w:rsid w:val="002B01DB"/>
    <w:rsid w:val="002B0C74"/>
    <w:rsid w:val="002B2017"/>
    <w:rsid w:val="002B2088"/>
    <w:rsid w:val="002B3F46"/>
    <w:rsid w:val="002B5326"/>
    <w:rsid w:val="002B7476"/>
    <w:rsid w:val="002D41A6"/>
    <w:rsid w:val="002D7ACA"/>
    <w:rsid w:val="002E5892"/>
    <w:rsid w:val="002F1E01"/>
    <w:rsid w:val="002F4BC5"/>
    <w:rsid w:val="002F577A"/>
    <w:rsid w:val="00302E46"/>
    <w:rsid w:val="00304D43"/>
    <w:rsid w:val="00305CDE"/>
    <w:rsid w:val="00306314"/>
    <w:rsid w:val="003070CE"/>
    <w:rsid w:val="00310E07"/>
    <w:rsid w:val="00311083"/>
    <w:rsid w:val="0031451F"/>
    <w:rsid w:val="00315A14"/>
    <w:rsid w:val="003208E0"/>
    <w:rsid w:val="00320C23"/>
    <w:rsid w:val="00323283"/>
    <w:rsid w:val="0032395E"/>
    <w:rsid w:val="00326B68"/>
    <w:rsid w:val="0033337E"/>
    <w:rsid w:val="00333A2E"/>
    <w:rsid w:val="003343F5"/>
    <w:rsid w:val="00335DC1"/>
    <w:rsid w:val="0033662E"/>
    <w:rsid w:val="00341579"/>
    <w:rsid w:val="0034795B"/>
    <w:rsid w:val="0035001D"/>
    <w:rsid w:val="00351EAA"/>
    <w:rsid w:val="00352F3A"/>
    <w:rsid w:val="0035526D"/>
    <w:rsid w:val="0035553F"/>
    <w:rsid w:val="00355974"/>
    <w:rsid w:val="00356141"/>
    <w:rsid w:val="00356E6C"/>
    <w:rsid w:val="00357C10"/>
    <w:rsid w:val="0036608E"/>
    <w:rsid w:val="0036779B"/>
    <w:rsid w:val="00371257"/>
    <w:rsid w:val="00373D57"/>
    <w:rsid w:val="00380667"/>
    <w:rsid w:val="00381ED7"/>
    <w:rsid w:val="003832BF"/>
    <w:rsid w:val="003848B3"/>
    <w:rsid w:val="00387928"/>
    <w:rsid w:val="00396D0E"/>
    <w:rsid w:val="003A6276"/>
    <w:rsid w:val="003A6C8A"/>
    <w:rsid w:val="003A7454"/>
    <w:rsid w:val="003A787F"/>
    <w:rsid w:val="003C3024"/>
    <w:rsid w:val="003C67D9"/>
    <w:rsid w:val="003C6D33"/>
    <w:rsid w:val="003D5175"/>
    <w:rsid w:val="003D6D25"/>
    <w:rsid w:val="003E44FE"/>
    <w:rsid w:val="003E66FE"/>
    <w:rsid w:val="003E73D1"/>
    <w:rsid w:val="003F049A"/>
    <w:rsid w:val="003F08FE"/>
    <w:rsid w:val="003F3E94"/>
    <w:rsid w:val="003F747A"/>
    <w:rsid w:val="0040102C"/>
    <w:rsid w:val="004032C5"/>
    <w:rsid w:val="00405EE6"/>
    <w:rsid w:val="00407346"/>
    <w:rsid w:val="00407F54"/>
    <w:rsid w:val="004152E4"/>
    <w:rsid w:val="004153AC"/>
    <w:rsid w:val="0041611D"/>
    <w:rsid w:val="00416399"/>
    <w:rsid w:val="00417522"/>
    <w:rsid w:val="00420F32"/>
    <w:rsid w:val="0042583D"/>
    <w:rsid w:val="004263AD"/>
    <w:rsid w:val="00427C76"/>
    <w:rsid w:val="004304F0"/>
    <w:rsid w:val="00431610"/>
    <w:rsid w:val="00432B68"/>
    <w:rsid w:val="0043589F"/>
    <w:rsid w:val="004405A6"/>
    <w:rsid w:val="00440B23"/>
    <w:rsid w:val="0044108D"/>
    <w:rsid w:val="004411F3"/>
    <w:rsid w:val="004428A9"/>
    <w:rsid w:val="004428F8"/>
    <w:rsid w:val="004436EF"/>
    <w:rsid w:val="00443D60"/>
    <w:rsid w:val="00444BA6"/>
    <w:rsid w:val="00446C17"/>
    <w:rsid w:val="004532BD"/>
    <w:rsid w:val="00456ABD"/>
    <w:rsid w:val="00462CD1"/>
    <w:rsid w:val="004636E8"/>
    <w:rsid w:val="00463E76"/>
    <w:rsid w:val="004649DD"/>
    <w:rsid w:val="00464B29"/>
    <w:rsid w:val="00465CCE"/>
    <w:rsid w:val="00471381"/>
    <w:rsid w:val="00473A90"/>
    <w:rsid w:val="00474988"/>
    <w:rsid w:val="00482984"/>
    <w:rsid w:val="00482FB7"/>
    <w:rsid w:val="00483497"/>
    <w:rsid w:val="004902BE"/>
    <w:rsid w:val="00492311"/>
    <w:rsid w:val="004942AB"/>
    <w:rsid w:val="004977FB"/>
    <w:rsid w:val="004A2CD0"/>
    <w:rsid w:val="004A58CC"/>
    <w:rsid w:val="004A59C6"/>
    <w:rsid w:val="004A6D50"/>
    <w:rsid w:val="004B2E68"/>
    <w:rsid w:val="004B4CFB"/>
    <w:rsid w:val="004B71F1"/>
    <w:rsid w:val="004B7F9D"/>
    <w:rsid w:val="004C0EFD"/>
    <w:rsid w:val="004C1414"/>
    <w:rsid w:val="004C1887"/>
    <w:rsid w:val="004C200E"/>
    <w:rsid w:val="004C6F1D"/>
    <w:rsid w:val="004D0899"/>
    <w:rsid w:val="004D2B54"/>
    <w:rsid w:val="004D4CDB"/>
    <w:rsid w:val="004E08DB"/>
    <w:rsid w:val="004E48F1"/>
    <w:rsid w:val="004E54DE"/>
    <w:rsid w:val="004E5F5A"/>
    <w:rsid w:val="004E7AF1"/>
    <w:rsid w:val="004E7CC2"/>
    <w:rsid w:val="004F00DD"/>
    <w:rsid w:val="004F1494"/>
    <w:rsid w:val="004F58BE"/>
    <w:rsid w:val="004F58F9"/>
    <w:rsid w:val="004F7708"/>
    <w:rsid w:val="004F7E71"/>
    <w:rsid w:val="00501C78"/>
    <w:rsid w:val="0050236E"/>
    <w:rsid w:val="00504A48"/>
    <w:rsid w:val="005074B4"/>
    <w:rsid w:val="0051112B"/>
    <w:rsid w:val="005113D2"/>
    <w:rsid w:val="00513DD8"/>
    <w:rsid w:val="00513EF4"/>
    <w:rsid w:val="0051448C"/>
    <w:rsid w:val="0051528D"/>
    <w:rsid w:val="005204C3"/>
    <w:rsid w:val="00522019"/>
    <w:rsid w:val="00524063"/>
    <w:rsid w:val="005247AE"/>
    <w:rsid w:val="00524EC7"/>
    <w:rsid w:val="00526D04"/>
    <w:rsid w:val="005324C0"/>
    <w:rsid w:val="00532693"/>
    <w:rsid w:val="00532912"/>
    <w:rsid w:val="005345D6"/>
    <w:rsid w:val="005378B1"/>
    <w:rsid w:val="005408D1"/>
    <w:rsid w:val="00540A69"/>
    <w:rsid w:val="00540D0D"/>
    <w:rsid w:val="00542904"/>
    <w:rsid w:val="00545D81"/>
    <w:rsid w:val="00546A08"/>
    <w:rsid w:val="00553419"/>
    <w:rsid w:val="0056229F"/>
    <w:rsid w:val="005630BB"/>
    <w:rsid w:val="0056378F"/>
    <w:rsid w:val="00564713"/>
    <w:rsid w:val="00565924"/>
    <w:rsid w:val="00566EAC"/>
    <w:rsid w:val="005675A3"/>
    <w:rsid w:val="00572EB6"/>
    <w:rsid w:val="00576C4A"/>
    <w:rsid w:val="005776D3"/>
    <w:rsid w:val="00577BB4"/>
    <w:rsid w:val="00581715"/>
    <w:rsid w:val="00581F9E"/>
    <w:rsid w:val="005848B8"/>
    <w:rsid w:val="0058790F"/>
    <w:rsid w:val="005879F8"/>
    <w:rsid w:val="00590101"/>
    <w:rsid w:val="00592535"/>
    <w:rsid w:val="0059402E"/>
    <w:rsid w:val="005A1D48"/>
    <w:rsid w:val="005A3C00"/>
    <w:rsid w:val="005A58AE"/>
    <w:rsid w:val="005B1601"/>
    <w:rsid w:val="005B3D01"/>
    <w:rsid w:val="005B7ABD"/>
    <w:rsid w:val="005C5DF6"/>
    <w:rsid w:val="005D1657"/>
    <w:rsid w:val="005D29AE"/>
    <w:rsid w:val="005D2BA9"/>
    <w:rsid w:val="005D31D8"/>
    <w:rsid w:val="005D6E4E"/>
    <w:rsid w:val="005D7C1B"/>
    <w:rsid w:val="005E0913"/>
    <w:rsid w:val="005E0F96"/>
    <w:rsid w:val="005E2EE8"/>
    <w:rsid w:val="005E6365"/>
    <w:rsid w:val="005E7E13"/>
    <w:rsid w:val="005F53AD"/>
    <w:rsid w:val="005F568D"/>
    <w:rsid w:val="005F5D54"/>
    <w:rsid w:val="005F650B"/>
    <w:rsid w:val="005F736B"/>
    <w:rsid w:val="005F7E39"/>
    <w:rsid w:val="0060099E"/>
    <w:rsid w:val="00601F32"/>
    <w:rsid w:val="00602E68"/>
    <w:rsid w:val="00603B92"/>
    <w:rsid w:val="006042F6"/>
    <w:rsid w:val="00606F5B"/>
    <w:rsid w:val="0060736A"/>
    <w:rsid w:val="006076C5"/>
    <w:rsid w:val="00610A13"/>
    <w:rsid w:val="00611170"/>
    <w:rsid w:val="00612179"/>
    <w:rsid w:val="00616732"/>
    <w:rsid w:val="00616ED0"/>
    <w:rsid w:val="00623137"/>
    <w:rsid w:val="0063041A"/>
    <w:rsid w:val="00632AFC"/>
    <w:rsid w:val="00632C82"/>
    <w:rsid w:val="00632ED7"/>
    <w:rsid w:val="006339B9"/>
    <w:rsid w:val="00633B32"/>
    <w:rsid w:val="00636035"/>
    <w:rsid w:val="00637040"/>
    <w:rsid w:val="006370D7"/>
    <w:rsid w:val="00637977"/>
    <w:rsid w:val="0064002D"/>
    <w:rsid w:val="00643367"/>
    <w:rsid w:val="00643928"/>
    <w:rsid w:val="006442C8"/>
    <w:rsid w:val="00644F8D"/>
    <w:rsid w:val="0064779B"/>
    <w:rsid w:val="00650AB9"/>
    <w:rsid w:val="00651D41"/>
    <w:rsid w:val="00652102"/>
    <w:rsid w:val="006536AA"/>
    <w:rsid w:val="00653EFD"/>
    <w:rsid w:val="00655491"/>
    <w:rsid w:val="006609B6"/>
    <w:rsid w:val="0066142F"/>
    <w:rsid w:val="00661621"/>
    <w:rsid w:val="0066570B"/>
    <w:rsid w:val="00670183"/>
    <w:rsid w:val="00672D7A"/>
    <w:rsid w:val="00675265"/>
    <w:rsid w:val="006763AE"/>
    <w:rsid w:val="00677DFE"/>
    <w:rsid w:val="006827A7"/>
    <w:rsid w:val="00682EE7"/>
    <w:rsid w:val="00684E2E"/>
    <w:rsid w:val="00684E41"/>
    <w:rsid w:val="006856FE"/>
    <w:rsid w:val="00692798"/>
    <w:rsid w:val="006965DA"/>
    <w:rsid w:val="00697388"/>
    <w:rsid w:val="00697438"/>
    <w:rsid w:val="006A11BA"/>
    <w:rsid w:val="006A1686"/>
    <w:rsid w:val="006A18DE"/>
    <w:rsid w:val="006A3985"/>
    <w:rsid w:val="006A7565"/>
    <w:rsid w:val="006B6CCE"/>
    <w:rsid w:val="006B7AB0"/>
    <w:rsid w:val="006C1768"/>
    <w:rsid w:val="006C38A4"/>
    <w:rsid w:val="006C6A4E"/>
    <w:rsid w:val="006C6C80"/>
    <w:rsid w:val="006C7C23"/>
    <w:rsid w:val="006C7D77"/>
    <w:rsid w:val="006D003A"/>
    <w:rsid w:val="006D02C6"/>
    <w:rsid w:val="006D0AAE"/>
    <w:rsid w:val="006D0E6A"/>
    <w:rsid w:val="006D1175"/>
    <w:rsid w:val="006D2092"/>
    <w:rsid w:val="006D4087"/>
    <w:rsid w:val="006D59D8"/>
    <w:rsid w:val="006E1A80"/>
    <w:rsid w:val="006E3850"/>
    <w:rsid w:val="006E621A"/>
    <w:rsid w:val="006E652E"/>
    <w:rsid w:val="006F1197"/>
    <w:rsid w:val="006F2EEF"/>
    <w:rsid w:val="006F759C"/>
    <w:rsid w:val="007000C4"/>
    <w:rsid w:val="00700529"/>
    <w:rsid w:val="0070140A"/>
    <w:rsid w:val="00701D50"/>
    <w:rsid w:val="0070793D"/>
    <w:rsid w:val="00707DAC"/>
    <w:rsid w:val="00712FC7"/>
    <w:rsid w:val="0071343B"/>
    <w:rsid w:val="00720807"/>
    <w:rsid w:val="007213AB"/>
    <w:rsid w:val="007218AC"/>
    <w:rsid w:val="00721C04"/>
    <w:rsid w:val="00723E7A"/>
    <w:rsid w:val="007265AD"/>
    <w:rsid w:val="00732955"/>
    <w:rsid w:val="00735265"/>
    <w:rsid w:val="00737321"/>
    <w:rsid w:val="0074324A"/>
    <w:rsid w:val="0074456F"/>
    <w:rsid w:val="00747933"/>
    <w:rsid w:val="0074796D"/>
    <w:rsid w:val="00750335"/>
    <w:rsid w:val="00751D1A"/>
    <w:rsid w:val="00752CAC"/>
    <w:rsid w:val="007546D7"/>
    <w:rsid w:val="00754E19"/>
    <w:rsid w:val="00761B7B"/>
    <w:rsid w:val="00761DF2"/>
    <w:rsid w:val="007700DE"/>
    <w:rsid w:val="00772469"/>
    <w:rsid w:val="00775547"/>
    <w:rsid w:val="007775F2"/>
    <w:rsid w:val="007809ED"/>
    <w:rsid w:val="00781549"/>
    <w:rsid w:val="00797B20"/>
    <w:rsid w:val="007A113B"/>
    <w:rsid w:val="007B2DC2"/>
    <w:rsid w:val="007B3D1F"/>
    <w:rsid w:val="007B46C2"/>
    <w:rsid w:val="007B4812"/>
    <w:rsid w:val="007B5E9D"/>
    <w:rsid w:val="007B7C61"/>
    <w:rsid w:val="007C013D"/>
    <w:rsid w:val="007C097C"/>
    <w:rsid w:val="007C1A5F"/>
    <w:rsid w:val="007C3485"/>
    <w:rsid w:val="007C3B1B"/>
    <w:rsid w:val="007C48E0"/>
    <w:rsid w:val="007C6922"/>
    <w:rsid w:val="007C7414"/>
    <w:rsid w:val="007C7E1E"/>
    <w:rsid w:val="007D013C"/>
    <w:rsid w:val="007D1692"/>
    <w:rsid w:val="007D3884"/>
    <w:rsid w:val="007D3899"/>
    <w:rsid w:val="007D4FE4"/>
    <w:rsid w:val="007D5FB0"/>
    <w:rsid w:val="007D7A99"/>
    <w:rsid w:val="007D7D4D"/>
    <w:rsid w:val="007E1CE5"/>
    <w:rsid w:val="007E2691"/>
    <w:rsid w:val="007E27E1"/>
    <w:rsid w:val="007E2BBC"/>
    <w:rsid w:val="007E41C9"/>
    <w:rsid w:val="007E6D18"/>
    <w:rsid w:val="007F075A"/>
    <w:rsid w:val="007F2C76"/>
    <w:rsid w:val="007F56F5"/>
    <w:rsid w:val="007F60F2"/>
    <w:rsid w:val="007F63AF"/>
    <w:rsid w:val="0080368B"/>
    <w:rsid w:val="00803E71"/>
    <w:rsid w:val="00804141"/>
    <w:rsid w:val="00804F29"/>
    <w:rsid w:val="00805299"/>
    <w:rsid w:val="008060A4"/>
    <w:rsid w:val="00806112"/>
    <w:rsid w:val="00811063"/>
    <w:rsid w:val="00811495"/>
    <w:rsid w:val="0081158F"/>
    <w:rsid w:val="008128D3"/>
    <w:rsid w:val="00814488"/>
    <w:rsid w:val="00816EE2"/>
    <w:rsid w:val="008177CA"/>
    <w:rsid w:val="008179C1"/>
    <w:rsid w:val="00820302"/>
    <w:rsid w:val="00820BB6"/>
    <w:rsid w:val="00820E84"/>
    <w:rsid w:val="00821A17"/>
    <w:rsid w:val="00822103"/>
    <w:rsid w:val="00824871"/>
    <w:rsid w:val="0082707E"/>
    <w:rsid w:val="008272C2"/>
    <w:rsid w:val="00827D1C"/>
    <w:rsid w:val="008308D6"/>
    <w:rsid w:val="00831998"/>
    <w:rsid w:val="00837913"/>
    <w:rsid w:val="00844050"/>
    <w:rsid w:val="00844C60"/>
    <w:rsid w:val="00845028"/>
    <w:rsid w:val="00845973"/>
    <w:rsid w:val="00846D14"/>
    <w:rsid w:val="00847C49"/>
    <w:rsid w:val="0085052C"/>
    <w:rsid w:val="00850BEE"/>
    <w:rsid w:val="00851EC3"/>
    <w:rsid w:val="0085291A"/>
    <w:rsid w:val="008535CC"/>
    <w:rsid w:val="00855E87"/>
    <w:rsid w:val="0085695B"/>
    <w:rsid w:val="00863EBD"/>
    <w:rsid w:val="00865135"/>
    <w:rsid w:val="00870483"/>
    <w:rsid w:val="008733A6"/>
    <w:rsid w:val="008808BE"/>
    <w:rsid w:val="00881B05"/>
    <w:rsid w:val="00883B5E"/>
    <w:rsid w:val="0089070F"/>
    <w:rsid w:val="00891FFA"/>
    <w:rsid w:val="00892A2A"/>
    <w:rsid w:val="00892F7D"/>
    <w:rsid w:val="00895920"/>
    <w:rsid w:val="008A51AD"/>
    <w:rsid w:val="008A70A1"/>
    <w:rsid w:val="008A7AE9"/>
    <w:rsid w:val="008B19A0"/>
    <w:rsid w:val="008B321B"/>
    <w:rsid w:val="008B3DCC"/>
    <w:rsid w:val="008B6854"/>
    <w:rsid w:val="008C15CC"/>
    <w:rsid w:val="008C164E"/>
    <w:rsid w:val="008C203B"/>
    <w:rsid w:val="008C4417"/>
    <w:rsid w:val="008C4B0D"/>
    <w:rsid w:val="008C7536"/>
    <w:rsid w:val="008D10D9"/>
    <w:rsid w:val="008D16C8"/>
    <w:rsid w:val="008D21AB"/>
    <w:rsid w:val="008D5CBB"/>
    <w:rsid w:val="008D64B3"/>
    <w:rsid w:val="008D71A2"/>
    <w:rsid w:val="008E3F8D"/>
    <w:rsid w:val="008F1468"/>
    <w:rsid w:val="008F50B4"/>
    <w:rsid w:val="008F6397"/>
    <w:rsid w:val="008F72D9"/>
    <w:rsid w:val="008F7392"/>
    <w:rsid w:val="00902498"/>
    <w:rsid w:val="009049A1"/>
    <w:rsid w:val="00905004"/>
    <w:rsid w:val="009066B9"/>
    <w:rsid w:val="0090673A"/>
    <w:rsid w:val="009068BB"/>
    <w:rsid w:val="00913434"/>
    <w:rsid w:val="00913490"/>
    <w:rsid w:val="00915465"/>
    <w:rsid w:val="00915876"/>
    <w:rsid w:val="00920F7A"/>
    <w:rsid w:val="00921DF7"/>
    <w:rsid w:val="00923D00"/>
    <w:rsid w:val="00925899"/>
    <w:rsid w:val="00925CFD"/>
    <w:rsid w:val="009333DA"/>
    <w:rsid w:val="00933A38"/>
    <w:rsid w:val="0093763A"/>
    <w:rsid w:val="009434B8"/>
    <w:rsid w:val="009460DD"/>
    <w:rsid w:val="009465F5"/>
    <w:rsid w:val="0094725F"/>
    <w:rsid w:val="009513B3"/>
    <w:rsid w:val="009552AB"/>
    <w:rsid w:val="00962E69"/>
    <w:rsid w:val="009659DB"/>
    <w:rsid w:val="0096710D"/>
    <w:rsid w:val="00967D3F"/>
    <w:rsid w:val="009710C9"/>
    <w:rsid w:val="009722F2"/>
    <w:rsid w:val="00976037"/>
    <w:rsid w:val="0097688C"/>
    <w:rsid w:val="00976BA1"/>
    <w:rsid w:val="00981E02"/>
    <w:rsid w:val="009845BA"/>
    <w:rsid w:val="009874F6"/>
    <w:rsid w:val="00990F85"/>
    <w:rsid w:val="0099191E"/>
    <w:rsid w:val="00993E21"/>
    <w:rsid w:val="00994B23"/>
    <w:rsid w:val="00995219"/>
    <w:rsid w:val="009A1762"/>
    <w:rsid w:val="009A393E"/>
    <w:rsid w:val="009A4EE8"/>
    <w:rsid w:val="009A7D1E"/>
    <w:rsid w:val="009B0A76"/>
    <w:rsid w:val="009B1874"/>
    <w:rsid w:val="009B1FA7"/>
    <w:rsid w:val="009B5988"/>
    <w:rsid w:val="009B6384"/>
    <w:rsid w:val="009B7699"/>
    <w:rsid w:val="009C0083"/>
    <w:rsid w:val="009D1264"/>
    <w:rsid w:val="009D66DA"/>
    <w:rsid w:val="009E092C"/>
    <w:rsid w:val="009E3CC9"/>
    <w:rsid w:val="009E4FFC"/>
    <w:rsid w:val="009E5CB5"/>
    <w:rsid w:val="009E6C49"/>
    <w:rsid w:val="009F0440"/>
    <w:rsid w:val="009F2BDD"/>
    <w:rsid w:val="009F3197"/>
    <w:rsid w:val="009F3488"/>
    <w:rsid w:val="009F442E"/>
    <w:rsid w:val="009F4AD7"/>
    <w:rsid w:val="009F5767"/>
    <w:rsid w:val="00A05B86"/>
    <w:rsid w:val="00A07422"/>
    <w:rsid w:val="00A07679"/>
    <w:rsid w:val="00A11258"/>
    <w:rsid w:val="00A12AC3"/>
    <w:rsid w:val="00A1304C"/>
    <w:rsid w:val="00A14341"/>
    <w:rsid w:val="00A14CAA"/>
    <w:rsid w:val="00A16C2C"/>
    <w:rsid w:val="00A16F7F"/>
    <w:rsid w:val="00A23B9C"/>
    <w:rsid w:val="00A2626C"/>
    <w:rsid w:val="00A263A4"/>
    <w:rsid w:val="00A333DF"/>
    <w:rsid w:val="00A360CD"/>
    <w:rsid w:val="00A42FBF"/>
    <w:rsid w:val="00A4404D"/>
    <w:rsid w:val="00A4505A"/>
    <w:rsid w:val="00A452AB"/>
    <w:rsid w:val="00A45D9F"/>
    <w:rsid w:val="00A47825"/>
    <w:rsid w:val="00A47DDD"/>
    <w:rsid w:val="00A551DD"/>
    <w:rsid w:val="00A5537E"/>
    <w:rsid w:val="00A63226"/>
    <w:rsid w:val="00A660B3"/>
    <w:rsid w:val="00A70211"/>
    <w:rsid w:val="00A703EE"/>
    <w:rsid w:val="00A71A46"/>
    <w:rsid w:val="00A72E3A"/>
    <w:rsid w:val="00A738ED"/>
    <w:rsid w:val="00A813D6"/>
    <w:rsid w:val="00A844F3"/>
    <w:rsid w:val="00A90DBD"/>
    <w:rsid w:val="00A92D7E"/>
    <w:rsid w:val="00A958EE"/>
    <w:rsid w:val="00AA0031"/>
    <w:rsid w:val="00AA234A"/>
    <w:rsid w:val="00AA2E9F"/>
    <w:rsid w:val="00AA37DD"/>
    <w:rsid w:val="00AA476B"/>
    <w:rsid w:val="00AA5E66"/>
    <w:rsid w:val="00AA7410"/>
    <w:rsid w:val="00AA781E"/>
    <w:rsid w:val="00AB1876"/>
    <w:rsid w:val="00AB1C67"/>
    <w:rsid w:val="00AB2A4C"/>
    <w:rsid w:val="00AB60E3"/>
    <w:rsid w:val="00AB61DD"/>
    <w:rsid w:val="00AB6841"/>
    <w:rsid w:val="00AB7817"/>
    <w:rsid w:val="00AC1D43"/>
    <w:rsid w:val="00AC7C4F"/>
    <w:rsid w:val="00AD2097"/>
    <w:rsid w:val="00AD33CD"/>
    <w:rsid w:val="00AD3E11"/>
    <w:rsid w:val="00AE0D21"/>
    <w:rsid w:val="00AE166C"/>
    <w:rsid w:val="00AE21D3"/>
    <w:rsid w:val="00AE235C"/>
    <w:rsid w:val="00AE2FE4"/>
    <w:rsid w:val="00AE3A96"/>
    <w:rsid w:val="00AE5593"/>
    <w:rsid w:val="00AE61E6"/>
    <w:rsid w:val="00AE75FF"/>
    <w:rsid w:val="00AF06B3"/>
    <w:rsid w:val="00AF0967"/>
    <w:rsid w:val="00AF2754"/>
    <w:rsid w:val="00AF4884"/>
    <w:rsid w:val="00AF4F33"/>
    <w:rsid w:val="00AF60F5"/>
    <w:rsid w:val="00B02D97"/>
    <w:rsid w:val="00B04A22"/>
    <w:rsid w:val="00B04B4E"/>
    <w:rsid w:val="00B11AA0"/>
    <w:rsid w:val="00B1221F"/>
    <w:rsid w:val="00B147AF"/>
    <w:rsid w:val="00B14F58"/>
    <w:rsid w:val="00B15CC0"/>
    <w:rsid w:val="00B20A50"/>
    <w:rsid w:val="00B214D3"/>
    <w:rsid w:val="00B23814"/>
    <w:rsid w:val="00B25704"/>
    <w:rsid w:val="00B25FA0"/>
    <w:rsid w:val="00B27DA7"/>
    <w:rsid w:val="00B3028B"/>
    <w:rsid w:val="00B30A7E"/>
    <w:rsid w:val="00B32659"/>
    <w:rsid w:val="00B3410A"/>
    <w:rsid w:val="00B34A66"/>
    <w:rsid w:val="00B35612"/>
    <w:rsid w:val="00B35BC3"/>
    <w:rsid w:val="00B3681F"/>
    <w:rsid w:val="00B4022E"/>
    <w:rsid w:val="00B43A4C"/>
    <w:rsid w:val="00B50257"/>
    <w:rsid w:val="00B5119D"/>
    <w:rsid w:val="00B52D63"/>
    <w:rsid w:val="00B57267"/>
    <w:rsid w:val="00B57C86"/>
    <w:rsid w:val="00B608E0"/>
    <w:rsid w:val="00B630D7"/>
    <w:rsid w:val="00B63490"/>
    <w:rsid w:val="00B64328"/>
    <w:rsid w:val="00B64B0F"/>
    <w:rsid w:val="00B67C4D"/>
    <w:rsid w:val="00B71FA2"/>
    <w:rsid w:val="00B72F5F"/>
    <w:rsid w:val="00B75C89"/>
    <w:rsid w:val="00B81130"/>
    <w:rsid w:val="00B82567"/>
    <w:rsid w:val="00B8308C"/>
    <w:rsid w:val="00B84381"/>
    <w:rsid w:val="00B8761B"/>
    <w:rsid w:val="00B91A2D"/>
    <w:rsid w:val="00B9484A"/>
    <w:rsid w:val="00B954C6"/>
    <w:rsid w:val="00B96954"/>
    <w:rsid w:val="00BA0585"/>
    <w:rsid w:val="00BA0644"/>
    <w:rsid w:val="00BA09C8"/>
    <w:rsid w:val="00BA2CB6"/>
    <w:rsid w:val="00BA332D"/>
    <w:rsid w:val="00BA4237"/>
    <w:rsid w:val="00BA65C9"/>
    <w:rsid w:val="00BB4AC7"/>
    <w:rsid w:val="00BB7B02"/>
    <w:rsid w:val="00BC0FF0"/>
    <w:rsid w:val="00BC17E8"/>
    <w:rsid w:val="00BC29A1"/>
    <w:rsid w:val="00BC2DDD"/>
    <w:rsid w:val="00BC2E41"/>
    <w:rsid w:val="00BC3F44"/>
    <w:rsid w:val="00BC41D6"/>
    <w:rsid w:val="00BC5CBE"/>
    <w:rsid w:val="00BD3026"/>
    <w:rsid w:val="00BD3409"/>
    <w:rsid w:val="00BD4400"/>
    <w:rsid w:val="00BD461F"/>
    <w:rsid w:val="00BD58AD"/>
    <w:rsid w:val="00BD65DE"/>
    <w:rsid w:val="00BD77F9"/>
    <w:rsid w:val="00BE0045"/>
    <w:rsid w:val="00BE06C3"/>
    <w:rsid w:val="00BE1056"/>
    <w:rsid w:val="00BE1185"/>
    <w:rsid w:val="00BE2045"/>
    <w:rsid w:val="00BE2405"/>
    <w:rsid w:val="00BE2651"/>
    <w:rsid w:val="00BE2A1D"/>
    <w:rsid w:val="00BE6C22"/>
    <w:rsid w:val="00BE72DD"/>
    <w:rsid w:val="00BF066E"/>
    <w:rsid w:val="00BF1186"/>
    <w:rsid w:val="00BF2C4C"/>
    <w:rsid w:val="00BF2FA0"/>
    <w:rsid w:val="00BF383E"/>
    <w:rsid w:val="00BF4336"/>
    <w:rsid w:val="00BF6EB9"/>
    <w:rsid w:val="00C01410"/>
    <w:rsid w:val="00C06E00"/>
    <w:rsid w:val="00C1021D"/>
    <w:rsid w:val="00C128B2"/>
    <w:rsid w:val="00C15E71"/>
    <w:rsid w:val="00C167B9"/>
    <w:rsid w:val="00C20F8D"/>
    <w:rsid w:val="00C21FBB"/>
    <w:rsid w:val="00C23BF1"/>
    <w:rsid w:val="00C243C5"/>
    <w:rsid w:val="00C24C55"/>
    <w:rsid w:val="00C24E90"/>
    <w:rsid w:val="00C2672B"/>
    <w:rsid w:val="00C26AB8"/>
    <w:rsid w:val="00C27EB6"/>
    <w:rsid w:val="00C3105B"/>
    <w:rsid w:val="00C310CC"/>
    <w:rsid w:val="00C369D2"/>
    <w:rsid w:val="00C45BE0"/>
    <w:rsid w:val="00C4756A"/>
    <w:rsid w:val="00C50639"/>
    <w:rsid w:val="00C522A6"/>
    <w:rsid w:val="00C57661"/>
    <w:rsid w:val="00C576D2"/>
    <w:rsid w:val="00C60C32"/>
    <w:rsid w:val="00C61F42"/>
    <w:rsid w:val="00C64A80"/>
    <w:rsid w:val="00C64F16"/>
    <w:rsid w:val="00C65D4C"/>
    <w:rsid w:val="00C663D8"/>
    <w:rsid w:val="00C66F04"/>
    <w:rsid w:val="00C6741E"/>
    <w:rsid w:val="00C70E4B"/>
    <w:rsid w:val="00C71382"/>
    <w:rsid w:val="00C7173B"/>
    <w:rsid w:val="00C7290E"/>
    <w:rsid w:val="00C753A5"/>
    <w:rsid w:val="00C764AD"/>
    <w:rsid w:val="00C76A75"/>
    <w:rsid w:val="00C7742E"/>
    <w:rsid w:val="00C82033"/>
    <w:rsid w:val="00C83172"/>
    <w:rsid w:val="00C84ACA"/>
    <w:rsid w:val="00C87789"/>
    <w:rsid w:val="00C90805"/>
    <w:rsid w:val="00CA0B6D"/>
    <w:rsid w:val="00CA2DA7"/>
    <w:rsid w:val="00CB0264"/>
    <w:rsid w:val="00CB1CCE"/>
    <w:rsid w:val="00CB7BE9"/>
    <w:rsid w:val="00CC074E"/>
    <w:rsid w:val="00CC4722"/>
    <w:rsid w:val="00CD3A74"/>
    <w:rsid w:val="00CD5DE7"/>
    <w:rsid w:val="00CD6582"/>
    <w:rsid w:val="00CE4141"/>
    <w:rsid w:val="00CE4F47"/>
    <w:rsid w:val="00CE7E83"/>
    <w:rsid w:val="00CF3936"/>
    <w:rsid w:val="00CF5C94"/>
    <w:rsid w:val="00CF69F0"/>
    <w:rsid w:val="00CF7A44"/>
    <w:rsid w:val="00D01C42"/>
    <w:rsid w:val="00D05C04"/>
    <w:rsid w:val="00D06C60"/>
    <w:rsid w:val="00D07576"/>
    <w:rsid w:val="00D1102B"/>
    <w:rsid w:val="00D31E4B"/>
    <w:rsid w:val="00D32EFD"/>
    <w:rsid w:val="00D36DEA"/>
    <w:rsid w:val="00D375D2"/>
    <w:rsid w:val="00D378B5"/>
    <w:rsid w:val="00D419EE"/>
    <w:rsid w:val="00D42724"/>
    <w:rsid w:val="00D51B3D"/>
    <w:rsid w:val="00D51E22"/>
    <w:rsid w:val="00D576AF"/>
    <w:rsid w:val="00D604E3"/>
    <w:rsid w:val="00D6160A"/>
    <w:rsid w:val="00D6199E"/>
    <w:rsid w:val="00D62F5C"/>
    <w:rsid w:val="00D74B10"/>
    <w:rsid w:val="00D774A2"/>
    <w:rsid w:val="00D77EAD"/>
    <w:rsid w:val="00D80121"/>
    <w:rsid w:val="00D87A11"/>
    <w:rsid w:val="00D90080"/>
    <w:rsid w:val="00D908F5"/>
    <w:rsid w:val="00D95718"/>
    <w:rsid w:val="00D9624E"/>
    <w:rsid w:val="00D979A3"/>
    <w:rsid w:val="00DA3AE8"/>
    <w:rsid w:val="00DA52D3"/>
    <w:rsid w:val="00DB0385"/>
    <w:rsid w:val="00DB0692"/>
    <w:rsid w:val="00DB2673"/>
    <w:rsid w:val="00DB590F"/>
    <w:rsid w:val="00DC09E7"/>
    <w:rsid w:val="00DC1B09"/>
    <w:rsid w:val="00DC2790"/>
    <w:rsid w:val="00DC2A78"/>
    <w:rsid w:val="00DC6332"/>
    <w:rsid w:val="00DD084D"/>
    <w:rsid w:val="00DD23C1"/>
    <w:rsid w:val="00DD4288"/>
    <w:rsid w:val="00DD588A"/>
    <w:rsid w:val="00DD616A"/>
    <w:rsid w:val="00DD6489"/>
    <w:rsid w:val="00DD7C36"/>
    <w:rsid w:val="00DE01DF"/>
    <w:rsid w:val="00DE2CF4"/>
    <w:rsid w:val="00DE31E3"/>
    <w:rsid w:val="00DE4666"/>
    <w:rsid w:val="00DE515C"/>
    <w:rsid w:val="00DE6C7A"/>
    <w:rsid w:val="00DF12E3"/>
    <w:rsid w:val="00DF1382"/>
    <w:rsid w:val="00DF2A7F"/>
    <w:rsid w:val="00DF3E27"/>
    <w:rsid w:val="00DF4337"/>
    <w:rsid w:val="00E1323E"/>
    <w:rsid w:val="00E153EC"/>
    <w:rsid w:val="00E154EB"/>
    <w:rsid w:val="00E16C82"/>
    <w:rsid w:val="00E208D6"/>
    <w:rsid w:val="00E21161"/>
    <w:rsid w:val="00E24F0E"/>
    <w:rsid w:val="00E257FF"/>
    <w:rsid w:val="00E26096"/>
    <w:rsid w:val="00E267B9"/>
    <w:rsid w:val="00E271A9"/>
    <w:rsid w:val="00E3370A"/>
    <w:rsid w:val="00E34288"/>
    <w:rsid w:val="00E35AEA"/>
    <w:rsid w:val="00E3693F"/>
    <w:rsid w:val="00E43E64"/>
    <w:rsid w:val="00E4428C"/>
    <w:rsid w:val="00E45680"/>
    <w:rsid w:val="00E46D6F"/>
    <w:rsid w:val="00E503EF"/>
    <w:rsid w:val="00E50CC1"/>
    <w:rsid w:val="00E5154C"/>
    <w:rsid w:val="00E53F89"/>
    <w:rsid w:val="00E55182"/>
    <w:rsid w:val="00E5768D"/>
    <w:rsid w:val="00E576B3"/>
    <w:rsid w:val="00E57CEF"/>
    <w:rsid w:val="00E6095C"/>
    <w:rsid w:val="00E6458D"/>
    <w:rsid w:val="00E65F0C"/>
    <w:rsid w:val="00E66448"/>
    <w:rsid w:val="00E7051B"/>
    <w:rsid w:val="00E727E6"/>
    <w:rsid w:val="00E72D93"/>
    <w:rsid w:val="00E72F4E"/>
    <w:rsid w:val="00E732ED"/>
    <w:rsid w:val="00E85AA2"/>
    <w:rsid w:val="00E87FEC"/>
    <w:rsid w:val="00E9009E"/>
    <w:rsid w:val="00E90ACD"/>
    <w:rsid w:val="00E929C7"/>
    <w:rsid w:val="00E94CCA"/>
    <w:rsid w:val="00E94DA5"/>
    <w:rsid w:val="00EA2FB5"/>
    <w:rsid w:val="00EA3168"/>
    <w:rsid w:val="00EB4B71"/>
    <w:rsid w:val="00EC1C13"/>
    <w:rsid w:val="00EC207F"/>
    <w:rsid w:val="00EC3C92"/>
    <w:rsid w:val="00EC7A66"/>
    <w:rsid w:val="00ED2B5E"/>
    <w:rsid w:val="00ED36C8"/>
    <w:rsid w:val="00ED4BB7"/>
    <w:rsid w:val="00ED61D9"/>
    <w:rsid w:val="00EE0E62"/>
    <w:rsid w:val="00EE3720"/>
    <w:rsid w:val="00EE4495"/>
    <w:rsid w:val="00EE6605"/>
    <w:rsid w:val="00EF05C7"/>
    <w:rsid w:val="00EF0857"/>
    <w:rsid w:val="00EF1C2B"/>
    <w:rsid w:val="00EF2636"/>
    <w:rsid w:val="00EF3977"/>
    <w:rsid w:val="00F00DE5"/>
    <w:rsid w:val="00F00F27"/>
    <w:rsid w:val="00F051D5"/>
    <w:rsid w:val="00F10584"/>
    <w:rsid w:val="00F14294"/>
    <w:rsid w:val="00F1634D"/>
    <w:rsid w:val="00F16DB8"/>
    <w:rsid w:val="00F172E4"/>
    <w:rsid w:val="00F216F7"/>
    <w:rsid w:val="00F22D26"/>
    <w:rsid w:val="00F24937"/>
    <w:rsid w:val="00F25924"/>
    <w:rsid w:val="00F25B84"/>
    <w:rsid w:val="00F26248"/>
    <w:rsid w:val="00F33695"/>
    <w:rsid w:val="00F3780E"/>
    <w:rsid w:val="00F4123D"/>
    <w:rsid w:val="00F43DEC"/>
    <w:rsid w:val="00F44A52"/>
    <w:rsid w:val="00F44C13"/>
    <w:rsid w:val="00F50787"/>
    <w:rsid w:val="00F507F0"/>
    <w:rsid w:val="00F50C2E"/>
    <w:rsid w:val="00F521C5"/>
    <w:rsid w:val="00F52493"/>
    <w:rsid w:val="00F61EDC"/>
    <w:rsid w:val="00F6627E"/>
    <w:rsid w:val="00F66A65"/>
    <w:rsid w:val="00F672CF"/>
    <w:rsid w:val="00F71EA3"/>
    <w:rsid w:val="00F73477"/>
    <w:rsid w:val="00F7499F"/>
    <w:rsid w:val="00F74F72"/>
    <w:rsid w:val="00F821E6"/>
    <w:rsid w:val="00F829A3"/>
    <w:rsid w:val="00F83087"/>
    <w:rsid w:val="00F8423B"/>
    <w:rsid w:val="00F85389"/>
    <w:rsid w:val="00F85DEB"/>
    <w:rsid w:val="00F874D7"/>
    <w:rsid w:val="00F87622"/>
    <w:rsid w:val="00F87B49"/>
    <w:rsid w:val="00F94722"/>
    <w:rsid w:val="00F957EC"/>
    <w:rsid w:val="00F95D71"/>
    <w:rsid w:val="00FB26ED"/>
    <w:rsid w:val="00FB3C22"/>
    <w:rsid w:val="00FB5011"/>
    <w:rsid w:val="00FB5628"/>
    <w:rsid w:val="00FB6632"/>
    <w:rsid w:val="00FB707C"/>
    <w:rsid w:val="00FC4AE2"/>
    <w:rsid w:val="00FC5B97"/>
    <w:rsid w:val="00FC677B"/>
    <w:rsid w:val="00FC79AA"/>
    <w:rsid w:val="00FD540D"/>
    <w:rsid w:val="00FE1596"/>
    <w:rsid w:val="00FE4CF9"/>
    <w:rsid w:val="00FE5148"/>
    <w:rsid w:val="00FE5404"/>
    <w:rsid w:val="00FE6695"/>
    <w:rsid w:val="00FE758B"/>
    <w:rsid w:val="00FE7A82"/>
    <w:rsid w:val="00FF1C86"/>
    <w:rsid w:val="00FF1ECC"/>
    <w:rsid w:val="00FF2059"/>
    <w:rsid w:val="00FF269B"/>
    <w:rsid w:val="00FF40D5"/>
    <w:rsid w:val="00FF498E"/>
    <w:rsid w:val="00FF4E6C"/>
    <w:rsid w:val="00FF624B"/>
    <w:rsid w:val="00FF78A2"/>
    <w:rsid w:val="4E7A3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1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before="120" w:after="120"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09"/>
    <w:rPr>
      <w:sz w:val="20"/>
      <w:szCs w:val="20"/>
    </w:rPr>
  </w:style>
  <w:style w:type="paragraph" w:styleId="Heading1">
    <w:name w:val="heading 1"/>
    <w:basedOn w:val="1stLevelHeading"/>
    <w:next w:val="Numbered"/>
    <w:link w:val="Heading1Char"/>
    <w:uiPriority w:val="9"/>
    <w:qFormat/>
    <w:rsid w:val="000255B6"/>
    <w:pPr>
      <w:numPr>
        <w:numId w:val="0"/>
      </w:numPr>
    </w:pPr>
  </w:style>
  <w:style w:type="paragraph" w:styleId="Heading2">
    <w:name w:val="heading 2"/>
    <w:next w:val="Numbered"/>
    <w:link w:val="Heading2Char"/>
    <w:uiPriority w:val="9"/>
    <w:unhideWhenUsed/>
    <w:qFormat/>
    <w:rsid w:val="000255B6"/>
    <w:pPr>
      <w:spacing w:after="360" w:line="280" w:lineRule="exact"/>
      <w:outlineLvl w:val="1"/>
    </w:pPr>
    <w:rPr>
      <w:rFonts w:ascii="Arial" w:eastAsiaTheme="majorEastAsia" w:hAnsi="Arial" w:cstheme="majorBidi"/>
      <w:b/>
      <w:color w:val="004FEE" w:themeColor="text2"/>
      <w:sz w:val="30"/>
      <w:szCs w:val="26"/>
    </w:rPr>
  </w:style>
  <w:style w:type="paragraph" w:styleId="Heading3">
    <w:name w:val="heading 3"/>
    <w:next w:val="Numbered"/>
    <w:link w:val="Heading3Char"/>
    <w:uiPriority w:val="9"/>
    <w:unhideWhenUsed/>
    <w:qFormat/>
    <w:rsid w:val="000255B6"/>
    <w:pPr>
      <w:outlineLvl w:val="2"/>
    </w:pPr>
    <w:rPr>
      <w:rFonts w:ascii="Arial" w:eastAsiaTheme="majorEastAsia" w:hAnsi="Arial" w:cs="Arial"/>
      <w:b/>
      <w:color w:val="004FEE" w:themeColor="text2"/>
      <w:sz w:val="24"/>
      <w:szCs w:val="24"/>
    </w:rPr>
  </w:style>
  <w:style w:type="paragraph" w:styleId="Heading4">
    <w:name w:val="heading 4"/>
    <w:next w:val="Numbered"/>
    <w:link w:val="Heading4Char"/>
    <w:uiPriority w:val="9"/>
    <w:unhideWhenUsed/>
    <w:qFormat/>
    <w:rsid w:val="000255B6"/>
    <w:pPr>
      <w:keepNext/>
      <w:keepLines/>
      <w:adjustRightInd w:val="0"/>
      <w:snapToGrid w:val="0"/>
      <w:spacing w:after="240"/>
      <w:outlineLvl w:val="3"/>
    </w:pPr>
    <w:rPr>
      <w:rFonts w:ascii="Arial" w:eastAsiaTheme="majorEastAsia" w:hAnsi="Arial" w:cs="Arial"/>
      <w:b/>
      <w:iCs/>
      <w:color w:val="004FEE" w:themeColor="text2"/>
      <w:sz w:val="20"/>
    </w:rPr>
  </w:style>
  <w:style w:type="paragraph" w:styleId="Heading5">
    <w:name w:val="heading 5"/>
    <w:basedOn w:val="Normal"/>
    <w:next w:val="Normal"/>
    <w:link w:val="Heading5Char"/>
    <w:uiPriority w:val="9"/>
    <w:semiHidden/>
    <w:unhideWhenUsed/>
    <w:qFormat/>
    <w:rsid w:val="00064164"/>
    <w:pPr>
      <w:keepNext/>
      <w:keepLines/>
      <w:spacing w:before="40" w:after="0"/>
      <w:outlineLvl w:val="4"/>
    </w:pPr>
    <w:rPr>
      <w:rFonts w:eastAsiaTheme="majorEastAsia" w:cstheme="majorBidi"/>
      <w:color w:val="2DB3D1" w:themeColor="accent1" w:themeShade="BF"/>
    </w:rPr>
  </w:style>
  <w:style w:type="paragraph" w:styleId="Heading6">
    <w:name w:val="heading 6"/>
    <w:basedOn w:val="Normal"/>
    <w:next w:val="Normal"/>
    <w:link w:val="Heading6Char"/>
    <w:uiPriority w:val="9"/>
    <w:semiHidden/>
    <w:unhideWhenUsed/>
    <w:qFormat/>
    <w:rsid w:val="002660C6"/>
    <w:pPr>
      <w:keepNext/>
      <w:keepLines/>
      <w:spacing w:before="40" w:after="0"/>
      <w:outlineLvl w:val="5"/>
    </w:pPr>
    <w:rPr>
      <w:rFonts w:asciiTheme="majorHAnsi" w:eastAsiaTheme="majorEastAsia" w:hAnsiTheme="majorHAnsi" w:cstheme="majorBidi"/>
      <w:color w:val="1E778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8E0"/>
    <w:pPr>
      <w:tabs>
        <w:tab w:val="center" w:pos="4513"/>
        <w:tab w:val="right" w:pos="9026"/>
      </w:tabs>
      <w:spacing w:after="0"/>
    </w:pPr>
  </w:style>
  <w:style w:type="character" w:customStyle="1" w:styleId="HeaderChar">
    <w:name w:val="Header Char"/>
    <w:basedOn w:val="DefaultParagraphFont"/>
    <w:link w:val="Header"/>
    <w:uiPriority w:val="99"/>
    <w:rsid w:val="003208E0"/>
  </w:style>
  <w:style w:type="paragraph" w:styleId="Footer">
    <w:name w:val="footer"/>
    <w:basedOn w:val="Normal"/>
    <w:link w:val="FooterChar"/>
    <w:uiPriority w:val="99"/>
    <w:unhideWhenUsed/>
    <w:rsid w:val="00064164"/>
    <w:pPr>
      <w:tabs>
        <w:tab w:val="center" w:pos="4513"/>
        <w:tab w:val="right" w:pos="9026"/>
      </w:tabs>
      <w:spacing w:after="0"/>
    </w:pPr>
    <w:rPr>
      <w:b/>
    </w:rPr>
  </w:style>
  <w:style w:type="character" w:customStyle="1" w:styleId="FooterChar">
    <w:name w:val="Footer Char"/>
    <w:basedOn w:val="DefaultParagraphFont"/>
    <w:link w:val="Footer"/>
    <w:uiPriority w:val="99"/>
    <w:rsid w:val="00064164"/>
    <w:rPr>
      <w:rFonts w:ascii="Arial" w:hAnsi="Arial" w:cs="Arial"/>
      <w:b/>
      <w:color w:val="000000" w:themeColor="text1"/>
      <w:sz w:val="20"/>
    </w:rPr>
  </w:style>
  <w:style w:type="table" w:styleId="TableGrid">
    <w:name w:val="Table Grid"/>
    <w:basedOn w:val="TableNormal"/>
    <w:uiPriority w:val="39"/>
    <w:rsid w:val="006D02C6"/>
    <w:pPr>
      <w:spacing w:after="0" w:line="240" w:lineRule="auto"/>
      <w:jc w:val="center"/>
    </w:pPr>
    <w:rPr>
      <w:rFonts w:ascii="Arial" w:hAnsi="Arial" w:cs="Times New Roman (Body CS)"/>
      <w:sz w:val="18"/>
    </w:rPr>
    <w:tblPr>
      <w:tblStyleRowBandSize w:val="1"/>
      <w:tblBorders>
        <w:bottom w:val="single" w:sz="4" w:space="0" w:color="BFBFBF" w:themeColor="background1" w:themeShade="BF"/>
        <w:insideH w:val="single" w:sz="4" w:space="0" w:color="BFBFBF" w:themeColor="background1" w:themeShade="BF"/>
      </w:tblBorders>
      <w:tblCellMar>
        <w:top w:w="113" w:type="dxa"/>
        <w:bottom w:w="113" w:type="dxa"/>
      </w:tblCellMar>
    </w:tblPr>
    <w:tcPr>
      <w:shd w:val="clear" w:color="auto" w:fill="auto"/>
      <w:vAlign w:val="center"/>
    </w:tcPr>
    <w:tblStylePr w:type="firstRow">
      <w:pPr>
        <w:jc w:val="center"/>
      </w:pPr>
      <w:rPr>
        <w:rFonts w:ascii="Arial" w:hAnsi="Arial"/>
        <w:b/>
        <w:color w:val="FFFFFF" w:themeColor="background1"/>
        <w:sz w:val="18"/>
      </w:rPr>
      <w:tblPr>
        <w:tblCellMar>
          <w:top w:w="113" w:type="dxa"/>
          <w:left w:w="113" w:type="dxa"/>
          <w:bottom w:w="113" w:type="dxa"/>
          <w:right w:w="113" w:type="dxa"/>
        </w:tblCellMar>
      </w:tblPr>
      <w:tcPr>
        <w:tcBorders>
          <w:top w:val="nil"/>
          <w:left w:val="nil"/>
          <w:bottom w:val="nil"/>
          <w:right w:val="nil"/>
          <w:insideH w:val="nil"/>
          <w:insideV w:val="nil"/>
          <w:tl2br w:val="nil"/>
          <w:tr2bl w:val="nil"/>
        </w:tcBorders>
        <w:shd w:val="clear" w:color="auto" w:fill="004FEE" w:themeFill="text2"/>
      </w:tcPr>
    </w:tblStylePr>
    <w:tblStylePr w:type="firstCol">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4FEE" w:themeFill="text2"/>
      </w:tcPr>
    </w:tblStylePr>
    <w:tblStylePr w:type="band1Horz">
      <w:rPr>
        <w:rFonts w:ascii="Arial" w:hAnsi="Arial"/>
        <w:sz w:val="18"/>
      </w:rPr>
      <w:tblPr/>
      <w:tcPr>
        <w:tcBorders>
          <w:top w:val="nil"/>
          <w:left w:val="nil"/>
          <w:bottom w:val="single" w:sz="4" w:space="0" w:color="BFBFBF" w:themeColor="background1" w:themeShade="BF"/>
          <w:right w:val="nil"/>
          <w:insideH w:val="single" w:sz="4" w:space="0" w:color="BFBFBF" w:themeColor="background1" w:themeShade="BF"/>
          <w:insideV w:val="single" w:sz="4" w:space="0" w:color="BFBFBF" w:themeColor="background1" w:themeShade="BF"/>
          <w:tl2br w:val="nil"/>
          <w:tr2bl w:val="nil"/>
        </w:tcBorders>
        <w:shd w:val="clear" w:color="auto" w:fill="auto"/>
      </w:tcPr>
    </w:tblStylePr>
    <w:tblStylePr w:type="band2Horz">
      <w:rPr>
        <w:rFonts w:ascii="Arial" w:hAnsi="Arial"/>
        <w:sz w:val="18"/>
      </w:rPr>
      <w:tblPr/>
      <w:tcPr>
        <w:tcBorders>
          <w:top w:val="nil"/>
          <w:left w:val="nil"/>
          <w:bottom w:val="single" w:sz="4" w:space="0" w:color="BFBFBF" w:themeColor="background1" w:themeShade="BF"/>
          <w:right w:val="nil"/>
          <w:insideH w:val="single" w:sz="4" w:space="0" w:color="BFBFBF" w:themeColor="background1" w:themeShade="BF"/>
          <w:insideV w:val="single" w:sz="4" w:space="0" w:color="BFBFBF" w:themeColor="background1" w:themeShade="BF"/>
          <w:tl2br w:val="nil"/>
          <w:tr2bl w:val="nil"/>
        </w:tcBorders>
        <w:shd w:val="clear" w:color="auto" w:fill="C8DAFF" w:themeFill="text2" w:themeFillTint="33"/>
      </w:tcPr>
    </w:tblStylePr>
  </w:style>
  <w:style w:type="paragraph" w:styleId="BalloonText">
    <w:name w:val="Balloon Text"/>
    <w:basedOn w:val="Normal"/>
    <w:link w:val="BalloonTextChar"/>
    <w:uiPriority w:val="99"/>
    <w:semiHidden/>
    <w:unhideWhenUsed/>
    <w:rsid w:val="005D2B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A9"/>
    <w:rPr>
      <w:rFonts w:ascii="Segoe UI" w:hAnsi="Segoe UI" w:cs="Segoe UI"/>
      <w:sz w:val="18"/>
      <w:szCs w:val="18"/>
    </w:rPr>
  </w:style>
  <w:style w:type="paragraph" w:styleId="ListParagraph">
    <w:name w:val="List Paragraph"/>
    <w:basedOn w:val="Numbered"/>
    <w:link w:val="ListParagraphChar"/>
    <w:uiPriority w:val="34"/>
    <w:qFormat/>
    <w:rsid w:val="00FB5011"/>
    <w:pPr>
      <w:ind w:left="360" w:hanging="360"/>
    </w:pPr>
  </w:style>
  <w:style w:type="paragraph" w:customStyle="1" w:styleId="1stLevelHeading">
    <w:name w:val="1st Level Heading"/>
    <w:basedOn w:val="Bullets1stlevel"/>
    <w:next w:val="Recital"/>
    <w:link w:val="1stLevelHeadingChar"/>
    <w:qFormat/>
    <w:rsid w:val="00F672CF"/>
    <w:pPr>
      <w:numPr>
        <w:numId w:val="17"/>
      </w:numPr>
      <w:spacing w:before="360" w:after="360" w:line="440" w:lineRule="exact"/>
      <w:outlineLvl w:val="0"/>
    </w:pPr>
    <w:rPr>
      <w:b/>
      <w:bCs/>
      <w:color w:val="004FEE" w:themeColor="text2"/>
      <w:sz w:val="36"/>
      <w:szCs w:val="36"/>
    </w:rPr>
  </w:style>
  <w:style w:type="character" w:customStyle="1" w:styleId="1stLevelHeadingChar">
    <w:name w:val="1st Level Heading Char"/>
    <w:basedOn w:val="DefaultParagraphFont"/>
    <w:link w:val="1stLevelHeading"/>
    <w:rsid w:val="00F672CF"/>
    <w:rPr>
      <w:rFonts w:ascii="Arial" w:hAnsi="Arial" w:cs="Arial"/>
      <w:b/>
      <w:bCs/>
      <w:color w:val="004FEE" w:themeColor="text2"/>
      <w:sz w:val="36"/>
      <w:szCs w:val="36"/>
      <w:lang w:val="en-US" w:eastAsia="en-GB"/>
    </w:rPr>
  </w:style>
  <w:style w:type="paragraph" w:customStyle="1" w:styleId="2ndlevelHeading">
    <w:name w:val="2nd level Heading"/>
    <w:basedOn w:val="Bullets1stlevel"/>
    <w:next w:val="Recital"/>
    <w:link w:val="2ndlevelHeadingChar"/>
    <w:qFormat/>
    <w:rsid w:val="00F672CF"/>
    <w:pPr>
      <w:numPr>
        <w:ilvl w:val="1"/>
        <w:numId w:val="17"/>
      </w:numPr>
      <w:spacing w:before="360" w:after="360" w:line="280" w:lineRule="exact"/>
      <w:outlineLvl w:val="1"/>
    </w:pPr>
    <w:rPr>
      <w:b/>
      <w:bCs/>
      <w:color w:val="004FEE" w:themeColor="text2"/>
      <w:sz w:val="30"/>
      <w:szCs w:val="30"/>
    </w:rPr>
  </w:style>
  <w:style w:type="character" w:customStyle="1" w:styleId="2ndlevelHeadingChar">
    <w:name w:val="2nd level Heading Char"/>
    <w:basedOn w:val="1stLevelHeadingChar"/>
    <w:link w:val="2ndlevelHeading"/>
    <w:rsid w:val="00F672CF"/>
    <w:rPr>
      <w:rFonts w:ascii="Arial" w:hAnsi="Arial" w:cs="Arial"/>
      <w:b/>
      <w:bCs/>
      <w:color w:val="004FEE" w:themeColor="text2"/>
      <w:sz w:val="30"/>
      <w:szCs w:val="30"/>
      <w:lang w:val="en-US" w:eastAsia="en-GB"/>
    </w:rPr>
  </w:style>
  <w:style w:type="paragraph" w:customStyle="1" w:styleId="3rdlevelHeading">
    <w:name w:val="3rd level Heading"/>
    <w:basedOn w:val="2ndlevelHeading"/>
    <w:next w:val="Recital"/>
    <w:link w:val="3rdlevelHeadingChar"/>
    <w:qFormat/>
    <w:rsid w:val="00072DD5"/>
    <w:pPr>
      <w:numPr>
        <w:ilvl w:val="2"/>
      </w:numPr>
      <w:spacing w:after="240" w:line="240" w:lineRule="exact"/>
      <w:ind w:left="907" w:hanging="907"/>
      <w:outlineLvl w:val="2"/>
    </w:pPr>
    <w:rPr>
      <w:sz w:val="24"/>
      <w:szCs w:val="24"/>
    </w:rPr>
  </w:style>
  <w:style w:type="paragraph" w:customStyle="1" w:styleId="4thLevelHeading">
    <w:name w:val="4th Level Heading"/>
    <w:basedOn w:val="Bullets1stlevel"/>
    <w:next w:val="Recital"/>
    <w:link w:val="4thLevelHeadingChar"/>
    <w:qFormat/>
    <w:rsid w:val="00072DD5"/>
    <w:pPr>
      <w:numPr>
        <w:ilvl w:val="3"/>
        <w:numId w:val="17"/>
      </w:numPr>
      <w:spacing w:before="240" w:after="240"/>
      <w:outlineLvl w:val="3"/>
    </w:pPr>
    <w:rPr>
      <w:b/>
      <w:bCs/>
      <w:color w:val="004FEE" w:themeColor="text2"/>
    </w:rPr>
  </w:style>
  <w:style w:type="paragraph" w:customStyle="1" w:styleId="Time">
    <w:name w:val="Time"/>
    <w:basedOn w:val="Normal"/>
    <w:rsid w:val="00F507F0"/>
    <w:pPr>
      <w:spacing w:after="240" w:line="280" w:lineRule="exact"/>
      <w:contextualSpacing/>
    </w:pPr>
    <w:rPr>
      <w:rFonts w:eastAsia="Yu Gothic UI Light"/>
      <w:b/>
      <w:bCs/>
      <w:sz w:val="24"/>
      <w:szCs w:val="24"/>
    </w:rPr>
  </w:style>
  <w:style w:type="character" w:styleId="Hyperlink">
    <w:name w:val="Hyperlink"/>
    <w:basedOn w:val="DefaultParagraphFont"/>
    <w:uiPriority w:val="99"/>
    <w:unhideWhenUsed/>
    <w:rsid w:val="00064164"/>
    <w:rPr>
      <w:rFonts w:ascii="Arial" w:hAnsi="Arial"/>
      <w:color w:val="004FEE" w:themeColor="text2"/>
      <w:u w:val="none"/>
    </w:rPr>
  </w:style>
  <w:style w:type="character" w:customStyle="1" w:styleId="3rdlevelHeadingChar">
    <w:name w:val="3rd level Heading Char"/>
    <w:basedOn w:val="2ndlevelHeadingChar"/>
    <w:link w:val="3rdlevelHeading"/>
    <w:rsid w:val="00072DD5"/>
    <w:rPr>
      <w:rFonts w:ascii="Arial" w:hAnsi="Arial" w:cs="Arial"/>
      <w:b/>
      <w:bCs/>
      <w:color w:val="004FEE" w:themeColor="text2"/>
      <w:sz w:val="24"/>
      <w:szCs w:val="24"/>
      <w:lang w:val="en-US" w:eastAsia="en-GB"/>
    </w:rPr>
  </w:style>
  <w:style w:type="character" w:customStyle="1" w:styleId="4thLevelHeadingChar">
    <w:name w:val="4th Level Heading Char"/>
    <w:basedOn w:val="3rdlevelHeadingChar"/>
    <w:link w:val="4thLevelHeading"/>
    <w:rsid w:val="00072DD5"/>
    <w:rPr>
      <w:rFonts w:ascii="Arial" w:hAnsi="Arial" w:cs="Arial"/>
      <w:b/>
      <w:bCs/>
      <w:color w:val="004FEE" w:themeColor="text2"/>
      <w:sz w:val="20"/>
      <w:szCs w:val="20"/>
      <w:lang w:val="en-US" w:eastAsia="en-GB"/>
    </w:rPr>
  </w:style>
  <w:style w:type="paragraph" w:customStyle="1" w:styleId="Table">
    <w:name w:val="Table"/>
    <w:basedOn w:val="Normal"/>
    <w:qFormat/>
    <w:rsid w:val="00064164"/>
    <w:rPr>
      <w:b/>
      <w:bCs/>
      <w:color w:val="FFFFFF" w:themeColor="background1"/>
      <w:sz w:val="18"/>
      <w:szCs w:val="18"/>
      <w:lang w:val="en-AU"/>
    </w:rPr>
  </w:style>
  <w:style w:type="paragraph" w:customStyle="1" w:styleId="TableTitle">
    <w:name w:val="Table Title"/>
    <w:qFormat/>
    <w:rsid w:val="00173CD4"/>
    <w:pPr>
      <w:spacing w:before="360"/>
    </w:pPr>
    <w:rPr>
      <w:rFonts w:ascii="Arial" w:eastAsia="Yu Gothic UI Light" w:hAnsi="Arial" w:cs="Arial"/>
      <w:color w:val="004FEE" w:themeColor="text2"/>
      <w:sz w:val="20"/>
      <w:szCs w:val="48"/>
    </w:rPr>
  </w:style>
  <w:style w:type="paragraph" w:styleId="TOC2">
    <w:name w:val="toc 2"/>
    <w:basedOn w:val="Normal"/>
    <w:next w:val="Normal"/>
    <w:autoRedefine/>
    <w:uiPriority w:val="39"/>
    <w:unhideWhenUsed/>
    <w:rsid w:val="00357C10"/>
    <w:pPr>
      <w:spacing w:line="240" w:lineRule="auto"/>
      <w:ind w:left="170"/>
      <w:jc w:val="left"/>
    </w:pPr>
    <w:rPr>
      <w:bCs/>
    </w:rPr>
  </w:style>
  <w:style w:type="paragraph" w:styleId="TOC1">
    <w:name w:val="toc 1"/>
    <w:basedOn w:val="Normal"/>
    <w:next w:val="Normal"/>
    <w:autoRedefine/>
    <w:uiPriority w:val="39"/>
    <w:unhideWhenUsed/>
    <w:qFormat/>
    <w:rsid w:val="00820BB6"/>
    <w:pPr>
      <w:spacing w:line="240" w:lineRule="auto"/>
      <w:jc w:val="left"/>
    </w:pPr>
    <w:rPr>
      <w:b/>
      <w:bCs/>
      <w:iCs/>
      <w:szCs w:val="24"/>
    </w:rPr>
  </w:style>
  <w:style w:type="paragraph" w:customStyle="1" w:styleId="BoxPublic">
    <w:name w:val="Box Public"/>
    <w:basedOn w:val="Normal"/>
    <w:link w:val="BoxPublicChar"/>
    <w:rsid w:val="00064164"/>
    <w:pPr>
      <w:pBdr>
        <w:top w:val="single" w:sz="8" w:space="10" w:color="004FEE" w:themeColor="text2"/>
        <w:left w:val="single" w:sz="8" w:space="20" w:color="004FEE" w:themeColor="text2"/>
        <w:bottom w:val="single" w:sz="8" w:space="10" w:color="004FEE" w:themeColor="text2"/>
        <w:right w:val="single" w:sz="8" w:space="20" w:color="004FEE" w:themeColor="text2"/>
      </w:pBdr>
      <w:spacing w:before="200" w:line="400" w:lineRule="exact"/>
      <w:jc w:val="center"/>
    </w:pPr>
    <w:rPr>
      <w:caps/>
      <w:color w:val="004FEE" w:themeColor="text2"/>
    </w:rPr>
  </w:style>
  <w:style w:type="paragraph" w:customStyle="1" w:styleId="BoxConfidential">
    <w:name w:val="Box Confidential"/>
    <w:basedOn w:val="Normal"/>
    <w:link w:val="BoxConfidentialChar"/>
    <w:rsid w:val="00064164"/>
    <w:pPr>
      <w:pBdr>
        <w:top w:val="single" w:sz="8" w:space="10" w:color="FF0000"/>
        <w:left w:val="single" w:sz="8" w:space="15" w:color="FF0000"/>
        <w:bottom w:val="single" w:sz="8" w:space="10" w:color="FF0000"/>
        <w:right w:val="single" w:sz="8" w:space="15" w:color="FF0000"/>
      </w:pBdr>
      <w:spacing w:before="200" w:line="400" w:lineRule="exact"/>
      <w:jc w:val="center"/>
    </w:pPr>
    <w:rPr>
      <w:caps/>
      <w:color w:val="FF0000"/>
    </w:rPr>
  </w:style>
  <w:style w:type="character" w:customStyle="1" w:styleId="BoxPublicChar">
    <w:name w:val="Box Public Char"/>
    <w:basedOn w:val="DefaultParagraphFont"/>
    <w:link w:val="BoxPublic"/>
    <w:rsid w:val="00064164"/>
    <w:rPr>
      <w:rFonts w:ascii="Arial" w:hAnsi="Arial" w:cs="Arial"/>
      <w:caps/>
      <w:color w:val="004FEE" w:themeColor="text2"/>
      <w:sz w:val="20"/>
    </w:rPr>
  </w:style>
  <w:style w:type="paragraph" w:customStyle="1" w:styleId="NoteToTheFile">
    <w:name w:val="Note To The File"/>
    <w:basedOn w:val="Normal"/>
    <w:link w:val="NoteToTheFileChar"/>
    <w:rsid w:val="00064164"/>
    <w:pPr>
      <w:spacing w:after="0"/>
      <w:contextualSpacing/>
      <w:jc w:val="left"/>
    </w:pPr>
    <w:rPr>
      <w:rFonts w:cs="Calibri Light"/>
    </w:rPr>
  </w:style>
  <w:style w:type="character" w:customStyle="1" w:styleId="BoxConfidentialChar">
    <w:name w:val="Box Confidential Char"/>
    <w:basedOn w:val="DefaultParagraphFont"/>
    <w:link w:val="BoxConfidential"/>
    <w:rsid w:val="00064164"/>
    <w:rPr>
      <w:rFonts w:ascii="Arial" w:hAnsi="Arial" w:cs="Arial"/>
      <w:caps/>
      <w:color w:val="FF0000"/>
      <w:sz w:val="20"/>
    </w:rPr>
  </w:style>
  <w:style w:type="character" w:customStyle="1" w:styleId="Heading3Char">
    <w:name w:val="Heading 3 Char"/>
    <w:basedOn w:val="DefaultParagraphFont"/>
    <w:link w:val="Heading3"/>
    <w:uiPriority w:val="9"/>
    <w:rsid w:val="000255B6"/>
    <w:rPr>
      <w:rFonts w:ascii="Arial" w:eastAsiaTheme="majorEastAsia" w:hAnsi="Arial" w:cs="Arial"/>
      <w:b/>
      <w:color w:val="004FEE" w:themeColor="text2"/>
      <w:sz w:val="24"/>
      <w:szCs w:val="24"/>
    </w:rPr>
  </w:style>
  <w:style w:type="character" w:customStyle="1" w:styleId="NoteToTheFileChar">
    <w:name w:val="Note To The File Char"/>
    <w:basedOn w:val="DefaultParagraphFont"/>
    <w:link w:val="NoteToTheFile"/>
    <w:rsid w:val="00064164"/>
    <w:rPr>
      <w:rFonts w:ascii="Arial" w:hAnsi="Arial" w:cs="Calibri Light"/>
      <w:color w:val="000000" w:themeColor="text1"/>
      <w:sz w:val="20"/>
    </w:rPr>
  </w:style>
  <w:style w:type="character" w:customStyle="1" w:styleId="Heading4Char">
    <w:name w:val="Heading 4 Char"/>
    <w:basedOn w:val="DefaultParagraphFont"/>
    <w:link w:val="Heading4"/>
    <w:uiPriority w:val="9"/>
    <w:rsid w:val="000255B6"/>
    <w:rPr>
      <w:rFonts w:ascii="Arial" w:eastAsiaTheme="majorEastAsia" w:hAnsi="Arial" w:cs="Arial"/>
      <w:b/>
      <w:iCs/>
      <w:color w:val="004FEE" w:themeColor="text2"/>
      <w:sz w:val="20"/>
    </w:rPr>
  </w:style>
  <w:style w:type="paragraph" w:customStyle="1" w:styleId="TitleDocument">
    <w:name w:val="Title Document"/>
    <w:link w:val="TitleDocumentChar"/>
    <w:qFormat/>
    <w:rsid w:val="00F507F0"/>
    <w:pPr>
      <w:adjustRightInd w:val="0"/>
      <w:snapToGrid w:val="0"/>
      <w:spacing w:after="240" w:line="800" w:lineRule="exact"/>
    </w:pPr>
    <w:rPr>
      <w:rFonts w:ascii="Arial" w:hAnsi="Arial" w:cs="Arial"/>
      <w:b/>
      <w:sz w:val="72"/>
    </w:rPr>
  </w:style>
  <w:style w:type="paragraph" w:customStyle="1" w:styleId="TableHeader">
    <w:name w:val="Table Header"/>
    <w:qFormat/>
    <w:rsid w:val="00C65D4C"/>
    <w:pPr>
      <w:adjustRightInd w:val="0"/>
      <w:snapToGrid w:val="0"/>
      <w:spacing w:before="0" w:after="0" w:line="200" w:lineRule="exact"/>
      <w:jc w:val="center"/>
    </w:pPr>
    <w:rPr>
      <w:rFonts w:ascii="Arial" w:hAnsi="Arial" w:cs="Arial"/>
      <w:b/>
      <w:bCs/>
      <w:color w:val="FFFFFF" w:themeColor="background1"/>
      <w:sz w:val="18"/>
    </w:rPr>
  </w:style>
  <w:style w:type="character" w:customStyle="1" w:styleId="TitleDocumentChar">
    <w:name w:val="Title Document Char"/>
    <w:basedOn w:val="NoteToTheFileChar"/>
    <w:link w:val="TitleDocument"/>
    <w:rsid w:val="00F507F0"/>
    <w:rPr>
      <w:rFonts w:ascii="Arial" w:hAnsi="Arial" w:cs="Arial"/>
      <w:b/>
      <w:color w:val="000000" w:themeColor="text1"/>
      <w:sz w:val="72"/>
    </w:rPr>
  </w:style>
  <w:style w:type="paragraph" w:customStyle="1" w:styleId="Subject">
    <w:name w:val="Subject"/>
    <w:link w:val="SubjectChar"/>
    <w:rsid w:val="00AD33CD"/>
    <w:pPr>
      <w:spacing w:before="360" w:after="240" w:line="240" w:lineRule="auto"/>
      <w:ind w:left="1418" w:hanging="1418"/>
    </w:pPr>
    <w:rPr>
      <w:rFonts w:ascii="Arial" w:hAnsi="Arial" w:cs="Arial"/>
      <w:b/>
    </w:rPr>
  </w:style>
  <w:style w:type="paragraph" w:customStyle="1" w:styleId="Tabletext">
    <w:name w:val="Table text"/>
    <w:qFormat/>
    <w:rsid w:val="00B1221F"/>
    <w:pPr>
      <w:spacing w:before="0" w:line="240" w:lineRule="auto"/>
      <w:jc w:val="center"/>
    </w:pPr>
    <w:rPr>
      <w:rFonts w:ascii="Arial" w:hAnsi="Arial" w:cs="Arial"/>
      <w:sz w:val="18"/>
    </w:rPr>
  </w:style>
  <w:style w:type="paragraph" w:styleId="TOC3">
    <w:name w:val="toc 3"/>
    <w:basedOn w:val="Normal"/>
    <w:next w:val="Normal"/>
    <w:autoRedefine/>
    <w:uiPriority w:val="39"/>
    <w:unhideWhenUsed/>
    <w:rsid w:val="00357C10"/>
    <w:pPr>
      <w:spacing w:line="240" w:lineRule="auto"/>
      <w:ind w:left="568" w:hanging="284"/>
      <w:jc w:val="left"/>
    </w:pPr>
  </w:style>
  <w:style w:type="character" w:customStyle="1" w:styleId="SubjectChar">
    <w:name w:val="Subject Char"/>
    <w:basedOn w:val="TitleDocumentChar"/>
    <w:link w:val="Subject"/>
    <w:rsid w:val="00AD33CD"/>
    <w:rPr>
      <w:rFonts w:ascii="Arial" w:hAnsi="Arial" w:cs="Arial"/>
      <w:b/>
      <w:caps w:val="0"/>
      <w:color w:val="000000" w:themeColor="text1"/>
      <w:sz w:val="24"/>
    </w:rPr>
  </w:style>
  <w:style w:type="paragraph" w:styleId="TOC6">
    <w:name w:val="toc 6"/>
    <w:basedOn w:val="Normal"/>
    <w:next w:val="Normal"/>
    <w:autoRedefine/>
    <w:uiPriority w:val="39"/>
    <w:unhideWhenUsed/>
    <w:rsid w:val="00017C69"/>
    <w:pPr>
      <w:spacing w:after="0"/>
      <w:ind w:left="1000"/>
      <w:jc w:val="left"/>
    </w:pPr>
  </w:style>
  <w:style w:type="character" w:customStyle="1" w:styleId="Heading1Char">
    <w:name w:val="Heading 1 Char"/>
    <w:basedOn w:val="DefaultParagraphFont"/>
    <w:link w:val="Heading1"/>
    <w:uiPriority w:val="9"/>
    <w:rsid w:val="000255B6"/>
    <w:rPr>
      <w:rFonts w:ascii="Arial" w:hAnsi="Arial" w:cs="Arial"/>
      <w:b/>
      <w:bCs/>
      <w:color w:val="004FEE" w:themeColor="text2"/>
      <w:sz w:val="40"/>
      <w:szCs w:val="40"/>
      <w:lang w:val="en-US" w:eastAsia="en-GB"/>
    </w:rPr>
  </w:style>
  <w:style w:type="character" w:customStyle="1" w:styleId="Heading2Char">
    <w:name w:val="Heading 2 Char"/>
    <w:basedOn w:val="DefaultParagraphFont"/>
    <w:link w:val="Heading2"/>
    <w:uiPriority w:val="9"/>
    <w:rsid w:val="000255B6"/>
    <w:rPr>
      <w:rFonts w:ascii="Arial" w:eastAsiaTheme="majorEastAsia" w:hAnsi="Arial" w:cstheme="majorBidi"/>
      <w:b/>
      <w:color w:val="004FEE" w:themeColor="text2"/>
      <w:sz w:val="30"/>
      <w:szCs w:val="26"/>
    </w:rPr>
  </w:style>
  <w:style w:type="paragraph" w:customStyle="1" w:styleId="Bullets1stlevel">
    <w:name w:val="Bullets 1st level"/>
    <w:basedOn w:val="Normal"/>
    <w:link w:val="Bullets1stlevelChar"/>
    <w:qFormat/>
    <w:rsid w:val="00920F7A"/>
    <w:pPr>
      <w:numPr>
        <w:numId w:val="2"/>
      </w:numPr>
      <w:tabs>
        <w:tab w:val="clear" w:pos="284"/>
      </w:tabs>
      <w:ind w:left="426"/>
    </w:pPr>
    <w:rPr>
      <w:rFonts w:ascii="Arial" w:hAnsi="Arial" w:cs="Arial"/>
      <w:lang w:val="en-US" w:eastAsia="en-GB"/>
    </w:rPr>
  </w:style>
  <w:style w:type="paragraph" w:styleId="TOC7">
    <w:name w:val="toc 7"/>
    <w:basedOn w:val="Normal"/>
    <w:next w:val="Normal"/>
    <w:autoRedefine/>
    <w:uiPriority w:val="39"/>
    <w:unhideWhenUsed/>
    <w:rsid w:val="00017C69"/>
    <w:pPr>
      <w:spacing w:after="0"/>
      <w:ind w:left="1200"/>
      <w:jc w:val="left"/>
    </w:pPr>
  </w:style>
  <w:style w:type="paragraph" w:styleId="EndnoteText">
    <w:name w:val="endnote text"/>
    <w:basedOn w:val="Normal"/>
    <w:link w:val="EndnoteTextChar"/>
    <w:uiPriority w:val="99"/>
    <w:semiHidden/>
    <w:unhideWhenUsed/>
    <w:rsid w:val="0022258D"/>
    <w:pPr>
      <w:spacing w:after="0"/>
    </w:pPr>
  </w:style>
  <w:style w:type="character" w:customStyle="1" w:styleId="EndnoteTextChar">
    <w:name w:val="Endnote Text Char"/>
    <w:basedOn w:val="DefaultParagraphFont"/>
    <w:link w:val="EndnoteText"/>
    <w:uiPriority w:val="99"/>
    <w:semiHidden/>
    <w:rsid w:val="0022258D"/>
    <w:rPr>
      <w:rFonts w:ascii="Arial" w:hAnsi="Arial" w:cs="Arial"/>
      <w:color w:val="000000" w:themeColor="text1"/>
      <w:sz w:val="20"/>
      <w:szCs w:val="20"/>
    </w:rPr>
  </w:style>
  <w:style w:type="character" w:styleId="EndnoteReference">
    <w:name w:val="endnote reference"/>
    <w:basedOn w:val="DefaultParagraphFont"/>
    <w:uiPriority w:val="99"/>
    <w:semiHidden/>
    <w:unhideWhenUsed/>
    <w:rsid w:val="0022258D"/>
    <w:rPr>
      <w:vertAlign w:val="superscript"/>
    </w:rPr>
  </w:style>
  <w:style w:type="paragraph" w:styleId="FootnoteText">
    <w:name w:val="footnote text"/>
    <w:basedOn w:val="Normal"/>
    <w:link w:val="FootnoteTextChar"/>
    <w:uiPriority w:val="99"/>
    <w:semiHidden/>
    <w:unhideWhenUsed/>
    <w:rsid w:val="001E28C1"/>
    <w:pPr>
      <w:spacing w:after="0"/>
    </w:pPr>
    <w:rPr>
      <w:sz w:val="16"/>
    </w:rPr>
  </w:style>
  <w:style w:type="character" w:customStyle="1" w:styleId="FootnoteTextChar">
    <w:name w:val="Footnote Text Char"/>
    <w:basedOn w:val="DefaultParagraphFont"/>
    <w:link w:val="FootnoteText"/>
    <w:uiPriority w:val="99"/>
    <w:semiHidden/>
    <w:rsid w:val="001E28C1"/>
    <w:rPr>
      <w:rFonts w:ascii="Inter" w:hAnsi="Inter" w:cs="Arial"/>
      <w:color w:val="000000" w:themeColor="text1"/>
      <w:sz w:val="16"/>
      <w:szCs w:val="20"/>
    </w:rPr>
  </w:style>
  <w:style w:type="character" w:styleId="FootnoteReference">
    <w:name w:val="footnote reference"/>
    <w:basedOn w:val="DefaultParagraphFont"/>
    <w:uiPriority w:val="99"/>
    <w:semiHidden/>
    <w:unhideWhenUsed/>
    <w:rsid w:val="00E3693F"/>
    <w:rPr>
      <w:vertAlign w:val="superscript"/>
    </w:rPr>
  </w:style>
  <w:style w:type="paragraph" w:styleId="TOCHeading">
    <w:name w:val="TOC Heading"/>
    <w:basedOn w:val="Heading1"/>
    <w:next w:val="Normal"/>
    <w:uiPriority w:val="39"/>
    <w:unhideWhenUsed/>
    <w:qFormat/>
    <w:rsid w:val="00E3693F"/>
    <w:pPr>
      <w:spacing w:line="259" w:lineRule="auto"/>
      <w:outlineLvl w:val="9"/>
    </w:pPr>
  </w:style>
  <w:style w:type="paragraph" w:customStyle="1" w:styleId="Bullets2ndlevel">
    <w:name w:val="Bullets 2nd level"/>
    <w:basedOn w:val="Bullets1stlevel"/>
    <w:link w:val="Bullets2ndlevelChar"/>
    <w:qFormat/>
    <w:rsid w:val="00C82033"/>
    <w:pPr>
      <w:numPr>
        <w:numId w:val="3"/>
      </w:numPr>
    </w:pPr>
    <w:rPr>
      <w:lang w:val="nb-NO"/>
    </w:rPr>
  </w:style>
  <w:style w:type="paragraph" w:customStyle="1" w:styleId="Footnote">
    <w:name w:val="Footnote"/>
    <w:basedOn w:val="FootnoteText"/>
    <w:qFormat/>
    <w:rsid w:val="00050740"/>
    <w:pPr>
      <w:spacing w:line="240" w:lineRule="auto"/>
    </w:pPr>
    <w:rPr>
      <w:lang w:val="en-US"/>
    </w:rPr>
  </w:style>
  <w:style w:type="numbering" w:styleId="111111">
    <w:name w:val="Outline List 2"/>
    <w:basedOn w:val="NoList"/>
    <w:uiPriority w:val="99"/>
    <w:semiHidden/>
    <w:unhideWhenUsed/>
    <w:rsid w:val="001F619D"/>
    <w:pPr>
      <w:numPr>
        <w:numId w:val="1"/>
      </w:numPr>
    </w:pPr>
  </w:style>
  <w:style w:type="character" w:styleId="Strong">
    <w:name w:val="Strong"/>
    <w:basedOn w:val="DefaultParagraphFont"/>
    <w:uiPriority w:val="22"/>
    <w:qFormat/>
    <w:rsid w:val="00064164"/>
    <w:rPr>
      <w:rFonts w:ascii="Arial Black" w:hAnsi="Arial Black"/>
      <w:b/>
      <w:bCs/>
      <w:i w:val="0"/>
    </w:rPr>
  </w:style>
  <w:style w:type="paragraph" w:customStyle="1" w:styleId="FigureTitle">
    <w:name w:val="Figure Title"/>
    <w:basedOn w:val="Normal"/>
    <w:qFormat/>
    <w:rsid w:val="00C65D4C"/>
    <w:pPr>
      <w:spacing w:before="360"/>
      <w:ind w:left="936" w:hanging="936"/>
    </w:pPr>
    <w:rPr>
      <w:rFonts w:ascii="Arial" w:eastAsia="Yu Gothic UI Light" w:hAnsi="Arial" w:cs="Arial"/>
      <w:color w:val="004FEE" w:themeColor="text2"/>
      <w:szCs w:val="44"/>
    </w:rPr>
  </w:style>
  <w:style w:type="character" w:styleId="Emphasis">
    <w:name w:val="Emphasis"/>
    <w:uiPriority w:val="20"/>
    <w:rsid w:val="00064164"/>
    <w:rPr>
      <w:rFonts w:ascii="Arial" w:hAnsi="Arial"/>
      <w:b/>
      <w:bCs/>
      <w:i w:val="0"/>
    </w:rPr>
  </w:style>
  <w:style w:type="paragraph" w:customStyle="1" w:styleId="Note">
    <w:name w:val="Note"/>
    <w:aliases w:val="Source"/>
    <w:basedOn w:val="Normal"/>
    <w:qFormat/>
    <w:rsid w:val="00357C10"/>
    <w:pPr>
      <w:adjustRightInd w:val="0"/>
      <w:snapToGrid w:val="0"/>
      <w:spacing w:line="240" w:lineRule="auto"/>
    </w:pPr>
    <w:rPr>
      <w:i/>
      <w:color w:val="7F7F7F" w:themeColor="text1" w:themeTint="80"/>
      <w:sz w:val="16"/>
    </w:rPr>
  </w:style>
  <w:style w:type="paragraph" w:customStyle="1" w:styleId="Recital">
    <w:name w:val="Recital"/>
    <w:basedOn w:val="Normal"/>
    <w:link w:val="RecitalChar"/>
    <w:qFormat/>
    <w:rsid w:val="00F672CF"/>
    <w:pPr>
      <w:numPr>
        <w:numId w:val="4"/>
      </w:numPr>
      <w:spacing w:before="200" w:after="200"/>
    </w:pPr>
    <w:rPr>
      <w:lang w:val="en-US" w:eastAsia="en-GB"/>
    </w:rPr>
  </w:style>
  <w:style w:type="paragraph" w:styleId="Title">
    <w:name w:val="Title"/>
    <w:basedOn w:val="TitleDocument"/>
    <w:next w:val="Normal"/>
    <w:link w:val="TitleChar"/>
    <w:uiPriority w:val="10"/>
    <w:rsid w:val="00064164"/>
  </w:style>
  <w:style w:type="character" w:customStyle="1" w:styleId="TitleChar">
    <w:name w:val="Title Char"/>
    <w:basedOn w:val="DefaultParagraphFont"/>
    <w:link w:val="Title"/>
    <w:uiPriority w:val="10"/>
    <w:rsid w:val="00064164"/>
    <w:rPr>
      <w:rFonts w:ascii="Arial" w:hAnsi="Arial" w:cs="Arial"/>
      <w:b/>
      <w:color w:val="000000" w:themeColor="text1"/>
      <w:sz w:val="72"/>
    </w:rPr>
  </w:style>
  <w:style w:type="paragraph" w:styleId="Subtitle">
    <w:name w:val="Subtitle"/>
    <w:basedOn w:val="Normal"/>
    <w:next w:val="Normal"/>
    <w:link w:val="SubtitleChar"/>
    <w:uiPriority w:val="11"/>
    <w:rsid w:val="00064164"/>
    <w:pPr>
      <w:spacing w:after="0" w:line="720" w:lineRule="exact"/>
    </w:pPr>
    <w:rPr>
      <w:rFonts w:eastAsia="Yu Gothic UI Light"/>
      <w:b/>
      <w:sz w:val="48"/>
      <w:szCs w:val="48"/>
    </w:rPr>
  </w:style>
  <w:style w:type="character" w:customStyle="1" w:styleId="SubtitleChar">
    <w:name w:val="Subtitle Char"/>
    <w:basedOn w:val="DefaultParagraphFont"/>
    <w:link w:val="Subtitle"/>
    <w:uiPriority w:val="11"/>
    <w:rsid w:val="00064164"/>
    <w:rPr>
      <w:rFonts w:ascii="Arial" w:eastAsia="Yu Gothic UI Light" w:hAnsi="Arial" w:cs="Arial"/>
      <w:b/>
      <w:color w:val="000000" w:themeColor="text1"/>
      <w:sz w:val="48"/>
      <w:szCs w:val="48"/>
    </w:rPr>
  </w:style>
  <w:style w:type="character" w:styleId="IntenseEmphasis">
    <w:name w:val="Intense Emphasis"/>
    <w:basedOn w:val="Emphasis"/>
    <w:uiPriority w:val="21"/>
    <w:rsid w:val="00064164"/>
    <w:rPr>
      <w:rFonts w:ascii="Arial" w:hAnsi="Arial"/>
      <w:b/>
      <w:bCs/>
      <w:i/>
      <w:iCs/>
    </w:rPr>
  </w:style>
  <w:style w:type="paragraph" w:styleId="TOC8">
    <w:name w:val="toc 8"/>
    <w:basedOn w:val="Normal"/>
    <w:next w:val="Normal"/>
    <w:autoRedefine/>
    <w:uiPriority w:val="39"/>
    <w:unhideWhenUsed/>
    <w:rsid w:val="00017C69"/>
    <w:pPr>
      <w:spacing w:after="0"/>
      <w:ind w:left="1400"/>
      <w:jc w:val="left"/>
    </w:pPr>
  </w:style>
  <w:style w:type="paragraph" w:styleId="TOC9">
    <w:name w:val="toc 9"/>
    <w:basedOn w:val="Normal"/>
    <w:next w:val="Normal"/>
    <w:autoRedefine/>
    <w:uiPriority w:val="39"/>
    <w:unhideWhenUsed/>
    <w:rsid w:val="00017C69"/>
    <w:pPr>
      <w:spacing w:after="0"/>
      <w:ind w:left="1600"/>
      <w:jc w:val="left"/>
    </w:pPr>
  </w:style>
  <w:style w:type="paragraph" w:styleId="TableofFigures">
    <w:name w:val="table of figures"/>
    <w:basedOn w:val="Normal"/>
    <w:next w:val="Normal"/>
    <w:uiPriority w:val="99"/>
    <w:unhideWhenUsed/>
    <w:rsid w:val="00064164"/>
    <w:pPr>
      <w:spacing w:after="0"/>
      <w:jc w:val="left"/>
    </w:pPr>
  </w:style>
  <w:style w:type="character" w:customStyle="1" w:styleId="Heading6Char">
    <w:name w:val="Heading 6 Char"/>
    <w:basedOn w:val="DefaultParagraphFont"/>
    <w:link w:val="Heading6"/>
    <w:uiPriority w:val="9"/>
    <w:semiHidden/>
    <w:rsid w:val="002660C6"/>
    <w:rPr>
      <w:rFonts w:asciiTheme="majorHAnsi" w:eastAsiaTheme="majorEastAsia" w:hAnsiTheme="majorHAnsi" w:cstheme="majorBidi"/>
      <w:color w:val="1E778B" w:themeColor="accent1" w:themeShade="7F"/>
      <w:sz w:val="20"/>
    </w:rPr>
  </w:style>
  <w:style w:type="paragraph" w:styleId="NoSpacing">
    <w:name w:val="No Spacing"/>
    <w:uiPriority w:val="1"/>
    <w:rsid w:val="00064164"/>
    <w:pPr>
      <w:spacing w:after="0" w:line="240" w:lineRule="auto"/>
    </w:pPr>
    <w:rPr>
      <w:rFonts w:ascii="Arial" w:hAnsi="Arial" w:cs="Arial"/>
      <w:sz w:val="20"/>
    </w:rPr>
  </w:style>
  <w:style w:type="character" w:customStyle="1" w:styleId="Heading5Char">
    <w:name w:val="Heading 5 Char"/>
    <w:basedOn w:val="DefaultParagraphFont"/>
    <w:link w:val="Heading5"/>
    <w:uiPriority w:val="9"/>
    <w:semiHidden/>
    <w:rsid w:val="00064164"/>
    <w:rPr>
      <w:rFonts w:ascii="Arial" w:eastAsiaTheme="majorEastAsia" w:hAnsi="Arial" w:cstheme="majorBidi"/>
      <w:color w:val="2DB3D1" w:themeColor="accent1" w:themeShade="BF"/>
      <w:sz w:val="20"/>
    </w:rPr>
  </w:style>
  <w:style w:type="paragraph" w:customStyle="1" w:styleId="Boldheader">
    <w:name w:val="Bold header"/>
    <w:basedOn w:val="Normal"/>
    <w:uiPriority w:val="99"/>
    <w:rsid w:val="003E44FE"/>
    <w:pPr>
      <w:tabs>
        <w:tab w:val="left" w:pos="1134"/>
      </w:tabs>
      <w:autoSpaceDE w:val="0"/>
      <w:autoSpaceDN w:val="0"/>
      <w:adjustRightInd w:val="0"/>
      <w:spacing w:before="260" w:after="0" w:line="260" w:lineRule="atLeast"/>
      <w:ind w:left="1134" w:hanging="567"/>
      <w:textAlignment w:val="center"/>
    </w:pPr>
    <w:rPr>
      <w:rFonts w:ascii="MyriadPro-Regular" w:hAnsi="MyriadPro-Regular" w:cs="MyriadPro-Regular"/>
      <w:color w:val="006096"/>
      <w:sz w:val="21"/>
      <w:szCs w:val="21"/>
    </w:rPr>
  </w:style>
  <w:style w:type="character" w:customStyle="1" w:styleId="Italic">
    <w:name w:val="Italic"/>
    <w:uiPriority w:val="99"/>
    <w:rsid w:val="003E44FE"/>
    <w:rPr>
      <w:i/>
      <w:iCs/>
    </w:rPr>
  </w:style>
  <w:style w:type="paragraph" w:styleId="TOC4">
    <w:name w:val="toc 4"/>
    <w:basedOn w:val="Normal"/>
    <w:next w:val="Normal"/>
    <w:autoRedefine/>
    <w:uiPriority w:val="39"/>
    <w:unhideWhenUsed/>
    <w:rsid w:val="00357C10"/>
    <w:pPr>
      <w:spacing w:line="240" w:lineRule="auto"/>
      <w:ind w:left="908" w:hanging="454"/>
      <w:jc w:val="left"/>
    </w:pPr>
  </w:style>
  <w:style w:type="paragraph" w:styleId="TOC5">
    <w:name w:val="toc 5"/>
    <w:basedOn w:val="Normal"/>
    <w:next w:val="Normal"/>
    <w:autoRedefine/>
    <w:uiPriority w:val="39"/>
    <w:unhideWhenUsed/>
    <w:rsid w:val="001C6AC0"/>
    <w:pPr>
      <w:spacing w:after="0"/>
      <w:ind w:left="800"/>
      <w:jc w:val="left"/>
    </w:pPr>
  </w:style>
  <w:style w:type="paragraph" w:styleId="Revision">
    <w:name w:val="Revision"/>
    <w:hidden/>
    <w:uiPriority w:val="99"/>
    <w:semiHidden/>
    <w:rsid w:val="0018008A"/>
    <w:pPr>
      <w:spacing w:after="0" w:line="240" w:lineRule="auto"/>
    </w:pPr>
    <w:rPr>
      <w:rFonts w:ascii="Arial" w:hAnsi="Arial" w:cs="Arial"/>
      <w:sz w:val="20"/>
    </w:rPr>
  </w:style>
  <w:style w:type="numbering" w:customStyle="1" w:styleId="CurrentList8">
    <w:name w:val="Current List8"/>
    <w:uiPriority w:val="99"/>
    <w:rsid w:val="00AC1D43"/>
    <w:pPr>
      <w:numPr>
        <w:numId w:val="12"/>
      </w:numPr>
    </w:pPr>
  </w:style>
  <w:style w:type="numbering" w:customStyle="1" w:styleId="CurrentList1">
    <w:name w:val="Current List1"/>
    <w:uiPriority w:val="99"/>
    <w:rsid w:val="006D59D8"/>
    <w:pPr>
      <w:numPr>
        <w:numId w:val="5"/>
      </w:numPr>
    </w:pPr>
  </w:style>
  <w:style w:type="numbering" w:customStyle="1" w:styleId="CurrentList2">
    <w:name w:val="Current List2"/>
    <w:uiPriority w:val="99"/>
    <w:rsid w:val="006D59D8"/>
    <w:pPr>
      <w:numPr>
        <w:numId w:val="6"/>
      </w:numPr>
    </w:pPr>
  </w:style>
  <w:style w:type="numbering" w:customStyle="1" w:styleId="CurrentList3">
    <w:name w:val="Current List3"/>
    <w:uiPriority w:val="99"/>
    <w:rsid w:val="006D59D8"/>
    <w:pPr>
      <w:numPr>
        <w:numId w:val="7"/>
      </w:numPr>
    </w:pPr>
  </w:style>
  <w:style w:type="numbering" w:customStyle="1" w:styleId="CurrentList4">
    <w:name w:val="Current List4"/>
    <w:uiPriority w:val="99"/>
    <w:rsid w:val="006D59D8"/>
    <w:pPr>
      <w:numPr>
        <w:numId w:val="8"/>
      </w:numPr>
    </w:pPr>
  </w:style>
  <w:style w:type="numbering" w:customStyle="1" w:styleId="CurrentList5">
    <w:name w:val="Current List5"/>
    <w:uiPriority w:val="99"/>
    <w:rsid w:val="006D59D8"/>
    <w:pPr>
      <w:numPr>
        <w:numId w:val="9"/>
      </w:numPr>
    </w:pPr>
  </w:style>
  <w:style w:type="numbering" w:customStyle="1" w:styleId="CurrentList6">
    <w:name w:val="Current List6"/>
    <w:uiPriority w:val="99"/>
    <w:rsid w:val="00AC1D43"/>
    <w:pPr>
      <w:numPr>
        <w:numId w:val="10"/>
      </w:numPr>
    </w:pPr>
  </w:style>
  <w:style w:type="numbering" w:customStyle="1" w:styleId="CurrentList7">
    <w:name w:val="Current List7"/>
    <w:uiPriority w:val="99"/>
    <w:rsid w:val="00AC1D43"/>
    <w:pPr>
      <w:numPr>
        <w:numId w:val="11"/>
      </w:numPr>
    </w:pPr>
  </w:style>
  <w:style w:type="numbering" w:customStyle="1" w:styleId="CurrentList9">
    <w:name w:val="Current List9"/>
    <w:uiPriority w:val="99"/>
    <w:rsid w:val="00AC1D43"/>
    <w:pPr>
      <w:numPr>
        <w:numId w:val="13"/>
      </w:numPr>
    </w:pPr>
  </w:style>
  <w:style w:type="numbering" w:customStyle="1" w:styleId="CurrentList10">
    <w:name w:val="Current List10"/>
    <w:uiPriority w:val="99"/>
    <w:rsid w:val="00AC1D43"/>
    <w:pPr>
      <w:numPr>
        <w:numId w:val="14"/>
      </w:numPr>
    </w:pPr>
  </w:style>
  <w:style w:type="numbering" w:customStyle="1" w:styleId="CurrentList11">
    <w:name w:val="Current List11"/>
    <w:uiPriority w:val="99"/>
    <w:rsid w:val="00AC1D43"/>
    <w:pPr>
      <w:numPr>
        <w:numId w:val="15"/>
      </w:numPr>
    </w:pPr>
  </w:style>
  <w:style w:type="numbering" w:customStyle="1" w:styleId="CurrentList12">
    <w:name w:val="Current List12"/>
    <w:uiPriority w:val="99"/>
    <w:rsid w:val="00AC1D43"/>
    <w:pPr>
      <w:numPr>
        <w:numId w:val="16"/>
      </w:numPr>
    </w:pPr>
  </w:style>
  <w:style w:type="paragraph" w:styleId="NormalWeb">
    <w:name w:val="Normal (Web)"/>
    <w:basedOn w:val="Normal"/>
    <w:uiPriority w:val="99"/>
    <w:semiHidden/>
    <w:unhideWhenUsed/>
    <w:rsid w:val="00046C7E"/>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styleId="BodyText">
    <w:name w:val="Body Text"/>
    <w:basedOn w:val="Normal"/>
    <w:link w:val="BodyTextChar"/>
    <w:uiPriority w:val="99"/>
    <w:unhideWhenUsed/>
    <w:rsid w:val="001B5378"/>
  </w:style>
  <w:style w:type="character" w:customStyle="1" w:styleId="BodyTextChar">
    <w:name w:val="Body Text Char"/>
    <w:basedOn w:val="DefaultParagraphFont"/>
    <w:link w:val="BodyText"/>
    <w:uiPriority w:val="99"/>
    <w:rsid w:val="001B5378"/>
    <w:rPr>
      <w:rFonts w:ascii="Arial" w:hAnsi="Arial" w:cs="Arial"/>
      <w:color w:val="000000" w:themeColor="text1"/>
      <w:sz w:val="20"/>
    </w:rPr>
  </w:style>
  <w:style w:type="character" w:styleId="SubtleEmphasis">
    <w:name w:val="Subtle Emphasis"/>
    <w:basedOn w:val="DefaultParagraphFont"/>
    <w:uiPriority w:val="19"/>
    <w:rsid w:val="001B5378"/>
    <w:rPr>
      <w:i/>
      <w:iCs/>
      <w:color w:val="404040" w:themeColor="text1" w:themeTint="BF"/>
    </w:rPr>
  </w:style>
  <w:style w:type="table" w:styleId="GridTable1LightAccent2">
    <w:name w:val="Grid Table 1 Light Accent 2"/>
    <w:basedOn w:val="TableNormal"/>
    <w:uiPriority w:val="46"/>
    <w:rsid w:val="00A2626C"/>
    <w:pPr>
      <w:spacing w:after="0" w:line="240" w:lineRule="auto"/>
    </w:pPr>
    <w:tblPr>
      <w:tblStyleRowBandSize w:val="1"/>
      <w:tblStyleColBandSize w:val="1"/>
      <w:tblBorders>
        <w:top w:val="single" w:sz="4" w:space="0" w:color="FFF2B9" w:themeColor="accent2" w:themeTint="66"/>
        <w:left w:val="single" w:sz="4" w:space="0" w:color="FFF2B9" w:themeColor="accent2" w:themeTint="66"/>
        <w:bottom w:val="single" w:sz="4" w:space="0" w:color="FFF2B9" w:themeColor="accent2" w:themeTint="66"/>
        <w:right w:val="single" w:sz="4" w:space="0" w:color="FFF2B9" w:themeColor="accent2" w:themeTint="66"/>
        <w:insideH w:val="single" w:sz="4" w:space="0" w:color="FFF2B9" w:themeColor="accent2" w:themeTint="66"/>
        <w:insideV w:val="single" w:sz="4" w:space="0" w:color="FFF2B9" w:themeColor="accent2" w:themeTint="66"/>
      </w:tblBorders>
    </w:tblPr>
    <w:tblStylePr w:type="firstRow">
      <w:rPr>
        <w:b/>
        <w:bCs/>
      </w:rPr>
      <w:tblPr/>
      <w:tcPr>
        <w:tcBorders>
          <w:bottom w:val="single" w:sz="12" w:space="0" w:color="FFEC96" w:themeColor="accent2" w:themeTint="99"/>
        </w:tcBorders>
      </w:tcPr>
    </w:tblStylePr>
    <w:tblStylePr w:type="lastRow">
      <w:rPr>
        <w:b/>
        <w:bCs/>
      </w:rPr>
      <w:tblPr/>
      <w:tcPr>
        <w:tcBorders>
          <w:top w:val="double" w:sz="2" w:space="0" w:color="FFEC96" w:themeColor="accent2" w:themeTint="99"/>
        </w:tcBorders>
      </w:tcPr>
    </w:tblStylePr>
    <w:tblStylePr w:type="firstCol">
      <w:rPr>
        <w:b/>
        <w:bCs/>
      </w:rPr>
    </w:tblStylePr>
    <w:tblStylePr w:type="lastCol">
      <w:rPr>
        <w:b/>
        <w:bCs/>
      </w:rPr>
    </w:tblStylePr>
  </w:style>
  <w:style w:type="table" w:styleId="TableGridLight">
    <w:name w:val="Grid Table Light"/>
    <w:aliases w:val="Blank"/>
    <w:basedOn w:val="TableNormal"/>
    <w:uiPriority w:val="40"/>
    <w:rsid w:val="004F58BE"/>
    <w:pPr>
      <w:spacing w:after="0" w:line="240" w:lineRule="auto"/>
    </w:pPr>
    <w:rPr>
      <w:rFonts w:ascii="Arial" w:hAnsi="Arial" w:cs="Times New Roman (Body CS)"/>
      <w:sz w:val="20"/>
    </w:rPr>
    <w:tblPr/>
  </w:style>
  <w:style w:type="table" w:styleId="PlainTable1">
    <w:name w:val="Plain Table 1"/>
    <w:basedOn w:val="TableNormal"/>
    <w:uiPriority w:val="41"/>
    <w:rsid w:val="00A262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62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A2626C"/>
    <w:pPr>
      <w:spacing w:after="0" w:line="240" w:lineRule="auto"/>
    </w:pPr>
    <w:tblPr>
      <w:tblStyleRowBandSize w:val="1"/>
      <w:tblStyleColBandSize w:val="1"/>
      <w:tblBorders>
        <w:top w:val="single" w:sz="4" w:space="0" w:color="C7EAF3" w:themeColor="accent1" w:themeTint="66"/>
        <w:left w:val="single" w:sz="4" w:space="0" w:color="C7EAF3" w:themeColor="accent1" w:themeTint="66"/>
        <w:bottom w:val="single" w:sz="4" w:space="0" w:color="C7EAF3" w:themeColor="accent1" w:themeTint="66"/>
        <w:right w:val="single" w:sz="4" w:space="0" w:color="C7EAF3" w:themeColor="accent1" w:themeTint="66"/>
        <w:insideH w:val="single" w:sz="4" w:space="0" w:color="C7EAF3" w:themeColor="accent1" w:themeTint="66"/>
        <w:insideV w:val="single" w:sz="4" w:space="0" w:color="C7EAF3" w:themeColor="accent1" w:themeTint="66"/>
      </w:tblBorders>
    </w:tblPr>
    <w:tblStylePr w:type="firstRow">
      <w:rPr>
        <w:b/>
        <w:bCs/>
      </w:rPr>
      <w:tblPr/>
      <w:tcPr>
        <w:tcBorders>
          <w:bottom w:val="single" w:sz="12" w:space="0" w:color="ABE0ED" w:themeColor="accent1" w:themeTint="99"/>
        </w:tcBorders>
      </w:tcPr>
    </w:tblStylePr>
    <w:tblStylePr w:type="lastRow">
      <w:rPr>
        <w:b/>
        <w:bCs/>
      </w:rPr>
      <w:tblPr/>
      <w:tcPr>
        <w:tcBorders>
          <w:top w:val="double" w:sz="2" w:space="0" w:color="ABE0ED"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F58BE"/>
    <w:rPr>
      <w:color w:val="004FEE" w:themeColor="followedHyperlink"/>
      <w:u w:val="single"/>
    </w:rPr>
  </w:style>
  <w:style w:type="paragraph" w:customStyle="1" w:styleId="Numbering1">
    <w:name w:val="Numbering 1"/>
    <w:basedOn w:val="Recital"/>
    <w:link w:val="Numbering1Char"/>
    <w:rsid w:val="0066570B"/>
  </w:style>
  <w:style w:type="character" w:customStyle="1" w:styleId="Bullets1stlevelChar">
    <w:name w:val="Bullets 1st level Char"/>
    <w:basedOn w:val="DefaultParagraphFont"/>
    <w:link w:val="Bullets1stlevel"/>
    <w:rsid w:val="00920F7A"/>
    <w:rPr>
      <w:rFonts w:ascii="Arial" w:hAnsi="Arial" w:cs="Arial"/>
      <w:sz w:val="20"/>
      <w:szCs w:val="20"/>
      <w:lang w:val="en-US" w:eastAsia="en-GB"/>
    </w:rPr>
  </w:style>
  <w:style w:type="character" w:customStyle="1" w:styleId="ListParagraphChar">
    <w:name w:val="List Paragraph Char"/>
    <w:basedOn w:val="Bullets1stlevelChar"/>
    <w:link w:val="ListParagraph"/>
    <w:uiPriority w:val="34"/>
    <w:rsid w:val="00FB5011"/>
    <w:rPr>
      <w:rFonts w:ascii="Arial" w:hAnsi="Arial" w:cs="Arial"/>
      <w:color w:val="auto"/>
      <w:sz w:val="20"/>
      <w:szCs w:val="20"/>
      <w:lang w:val="en-US" w:eastAsia="en-GB"/>
    </w:rPr>
  </w:style>
  <w:style w:type="character" w:customStyle="1" w:styleId="Numbering1Char">
    <w:name w:val="Numbering 1 Char"/>
    <w:basedOn w:val="ListParagraphChar"/>
    <w:link w:val="Numbering1"/>
    <w:rsid w:val="0066570B"/>
    <w:rPr>
      <w:rFonts w:ascii="Arial" w:hAnsi="Arial" w:cs="Arial"/>
      <w:color w:val="auto"/>
      <w:sz w:val="20"/>
      <w:szCs w:val="20"/>
      <w:lang w:val="en-US" w:eastAsia="en-GB"/>
    </w:rPr>
  </w:style>
  <w:style w:type="paragraph" w:styleId="ListNumber">
    <w:name w:val="List Number"/>
    <w:basedOn w:val="Recital"/>
    <w:uiPriority w:val="99"/>
    <w:unhideWhenUsed/>
    <w:rsid w:val="00AE75FF"/>
  </w:style>
  <w:style w:type="paragraph" w:customStyle="1" w:styleId="Quotation">
    <w:name w:val="Quotation"/>
    <w:basedOn w:val="Recital"/>
    <w:link w:val="QuotationChar"/>
    <w:qFormat/>
    <w:rsid w:val="00E3370A"/>
    <w:pPr>
      <w:numPr>
        <w:numId w:val="0"/>
      </w:numPr>
    </w:pPr>
    <w:rPr>
      <w:i/>
    </w:rPr>
  </w:style>
  <w:style w:type="character" w:customStyle="1" w:styleId="RecitalChar">
    <w:name w:val="Recital Char"/>
    <w:basedOn w:val="DefaultParagraphFont"/>
    <w:link w:val="Recital"/>
    <w:rsid w:val="00F672CF"/>
    <w:rPr>
      <w:sz w:val="20"/>
      <w:szCs w:val="20"/>
      <w:lang w:val="en-US" w:eastAsia="en-GB"/>
    </w:rPr>
  </w:style>
  <w:style w:type="character" w:customStyle="1" w:styleId="QuotationChar">
    <w:name w:val="Quotation Char"/>
    <w:basedOn w:val="RecitalChar"/>
    <w:link w:val="Quotation"/>
    <w:rsid w:val="00E3370A"/>
    <w:rPr>
      <w:rFonts w:ascii="Arial" w:hAnsi="Arial" w:cs="Arial"/>
      <w:i/>
      <w:color w:val="000000" w:themeColor="text1"/>
      <w:sz w:val="20"/>
      <w:szCs w:val="20"/>
      <w:lang w:val="en-US" w:eastAsia="en-GB"/>
    </w:rPr>
  </w:style>
  <w:style w:type="character" w:styleId="CommentReference">
    <w:name w:val="annotation reference"/>
    <w:basedOn w:val="DefaultParagraphFont"/>
    <w:uiPriority w:val="99"/>
    <w:semiHidden/>
    <w:unhideWhenUsed/>
    <w:rsid w:val="00592535"/>
    <w:rPr>
      <w:sz w:val="16"/>
      <w:szCs w:val="16"/>
    </w:rPr>
  </w:style>
  <w:style w:type="paragraph" w:styleId="CommentText">
    <w:name w:val="annotation text"/>
    <w:basedOn w:val="Normal"/>
    <w:link w:val="CommentTextChar"/>
    <w:uiPriority w:val="99"/>
    <w:unhideWhenUsed/>
    <w:rsid w:val="00592535"/>
    <w:pPr>
      <w:spacing w:line="240" w:lineRule="auto"/>
    </w:pPr>
  </w:style>
  <w:style w:type="character" w:customStyle="1" w:styleId="CommentTextChar">
    <w:name w:val="Comment Text Char"/>
    <w:basedOn w:val="DefaultParagraphFont"/>
    <w:link w:val="CommentText"/>
    <w:uiPriority w:val="99"/>
    <w:rsid w:val="00592535"/>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92535"/>
    <w:rPr>
      <w:b/>
      <w:bCs/>
    </w:rPr>
  </w:style>
  <w:style w:type="character" w:customStyle="1" w:styleId="CommentSubjectChar">
    <w:name w:val="Comment Subject Char"/>
    <w:basedOn w:val="CommentTextChar"/>
    <w:link w:val="CommentSubject"/>
    <w:uiPriority w:val="99"/>
    <w:semiHidden/>
    <w:rsid w:val="00592535"/>
    <w:rPr>
      <w:rFonts w:ascii="Arial" w:hAnsi="Arial" w:cs="Arial"/>
      <w:b/>
      <w:bCs/>
      <w:color w:val="000000" w:themeColor="text1"/>
      <w:sz w:val="20"/>
      <w:szCs w:val="20"/>
    </w:rPr>
  </w:style>
  <w:style w:type="paragraph" w:customStyle="1" w:styleId="Numbered">
    <w:name w:val="Numbered"/>
    <w:basedOn w:val="Normal"/>
    <w:link w:val="NumberedChar"/>
    <w:qFormat/>
    <w:rsid w:val="00FB5011"/>
    <w:pPr>
      <w:numPr>
        <w:numId w:val="18"/>
      </w:numPr>
      <w:ind w:left="284" w:hanging="284"/>
    </w:pPr>
    <w:rPr>
      <w:rFonts w:ascii="Arial" w:hAnsi="Arial" w:cs="Arial"/>
      <w:color w:val="auto"/>
      <w:lang w:val="en-US" w:eastAsia="en-GB"/>
    </w:rPr>
  </w:style>
  <w:style w:type="character" w:customStyle="1" w:styleId="NumberedChar">
    <w:name w:val="Numbered Char"/>
    <w:basedOn w:val="Bullets1stlevelChar"/>
    <w:link w:val="Numbered"/>
    <w:rsid w:val="00FB5011"/>
    <w:rPr>
      <w:rFonts w:ascii="Arial" w:hAnsi="Arial" w:cs="Arial"/>
      <w:color w:val="auto"/>
      <w:sz w:val="20"/>
      <w:szCs w:val="20"/>
      <w:lang w:val="en-US" w:eastAsia="en-GB"/>
    </w:rPr>
  </w:style>
  <w:style w:type="paragraph" w:customStyle="1" w:styleId="FigureNormal">
    <w:name w:val="Figure Normal"/>
    <w:basedOn w:val="Normal"/>
    <w:next w:val="Normal"/>
    <w:link w:val="FigureNormalChar"/>
    <w:qFormat/>
    <w:rsid w:val="00F74F72"/>
    <w:pPr>
      <w:spacing w:line="240" w:lineRule="auto"/>
      <w:ind w:left="357" w:hanging="357"/>
      <w:jc w:val="center"/>
    </w:pPr>
    <w:rPr>
      <w:noProof/>
      <w:lang w:eastAsia="en-GB"/>
    </w:rPr>
  </w:style>
  <w:style w:type="character" w:customStyle="1" w:styleId="FigureNormalChar">
    <w:name w:val="Figure Normal Char"/>
    <w:basedOn w:val="DefaultParagraphFont"/>
    <w:link w:val="FigureNormal"/>
    <w:rsid w:val="00F74F72"/>
    <w:rPr>
      <w:noProof/>
      <w:lang w:eastAsia="en-GB"/>
    </w:rPr>
  </w:style>
  <w:style w:type="table" w:styleId="GridTable5Dark-Accent1">
    <w:name w:val="Grid Table 5 Dark Accent 1"/>
    <w:basedOn w:val="TableNormal"/>
    <w:uiPriority w:val="50"/>
    <w:rsid w:val="00B122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4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CDE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CDE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CDE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CDE1" w:themeFill="accent1"/>
      </w:tcPr>
    </w:tblStylePr>
    <w:tblStylePr w:type="band1Vert">
      <w:tblPr/>
      <w:tcPr>
        <w:shd w:val="clear" w:color="auto" w:fill="C7EAF3" w:themeFill="accent1" w:themeFillTint="66"/>
      </w:tcPr>
    </w:tblStylePr>
    <w:tblStylePr w:type="band1Horz">
      <w:tblPr/>
      <w:tcPr>
        <w:shd w:val="clear" w:color="auto" w:fill="C7EAF3" w:themeFill="accent1" w:themeFillTint="66"/>
      </w:tcPr>
    </w:tblStylePr>
  </w:style>
  <w:style w:type="table" w:styleId="GridTable4-Accent1">
    <w:name w:val="Grid Table 4 Accent 1"/>
    <w:basedOn w:val="TableNormal"/>
    <w:uiPriority w:val="49"/>
    <w:rsid w:val="00B1221F"/>
    <w:pPr>
      <w:spacing w:after="0" w:line="240" w:lineRule="auto"/>
    </w:pPr>
    <w:tblPr>
      <w:tblStyleRowBandSize w:val="1"/>
      <w:tblStyleColBandSize w:val="1"/>
      <w:tblBorders>
        <w:top w:val="single" w:sz="4" w:space="0" w:color="ABE0ED" w:themeColor="accent1" w:themeTint="99"/>
        <w:left w:val="single" w:sz="4" w:space="0" w:color="ABE0ED" w:themeColor="accent1" w:themeTint="99"/>
        <w:bottom w:val="single" w:sz="4" w:space="0" w:color="ABE0ED" w:themeColor="accent1" w:themeTint="99"/>
        <w:right w:val="single" w:sz="4" w:space="0" w:color="ABE0ED" w:themeColor="accent1" w:themeTint="99"/>
        <w:insideH w:val="single" w:sz="4" w:space="0" w:color="ABE0ED" w:themeColor="accent1" w:themeTint="99"/>
        <w:insideV w:val="single" w:sz="4" w:space="0" w:color="ABE0ED" w:themeColor="accent1" w:themeTint="99"/>
      </w:tblBorders>
    </w:tblPr>
    <w:tblStylePr w:type="firstRow">
      <w:rPr>
        <w:b/>
        <w:bCs/>
        <w:color w:val="FFFFFF" w:themeColor="background1"/>
      </w:rPr>
      <w:tblPr/>
      <w:tcPr>
        <w:tcBorders>
          <w:top w:val="single" w:sz="4" w:space="0" w:color="73CDE1" w:themeColor="accent1"/>
          <w:left w:val="single" w:sz="4" w:space="0" w:color="73CDE1" w:themeColor="accent1"/>
          <w:bottom w:val="single" w:sz="4" w:space="0" w:color="73CDE1" w:themeColor="accent1"/>
          <w:right w:val="single" w:sz="4" w:space="0" w:color="73CDE1" w:themeColor="accent1"/>
          <w:insideH w:val="nil"/>
          <w:insideV w:val="nil"/>
        </w:tcBorders>
        <w:shd w:val="clear" w:color="auto" w:fill="73CDE1" w:themeFill="accent1"/>
      </w:tcPr>
    </w:tblStylePr>
    <w:tblStylePr w:type="lastRow">
      <w:rPr>
        <w:b/>
        <w:bCs/>
      </w:rPr>
      <w:tblPr/>
      <w:tcPr>
        <w:tcBorders>
          <w:top w:val="double" w:sz="4" w:space="0" w:color="73CDE1" w:themeColor="accent1"/>
        </w:tcBorders>
      </w:tcPr>
    </w:tblStylePr>
    <w:tblStylePr w:type="firstCol">
      <w:rPr>
        <w:b/>
        <w:bCs/>
      </w:rPr>
    </w:tblStylePr>
    <w:tblStylePr w:type="lastCol">
      <w:rPr>
        <w:b/>
        <w:bCs/>
      </w:rPr>
    </w:tblStylePr>
    <w:tblStylePr w:type="band1Vert">
      <w:tblPr/>
      <w:tcPr>
        <w:shd w:val="clear" w:color="auto" w:fill="E3F4F9" w:themeFill="accent1" w:themeFillTint="33"/>
      </w:tcPr>
    </w:tblStylePr>
    <w:tblStylePr w:type="band1Horz">
      <w:tblPr/>
      <w:tcPr>
        <w:shd w:val="clear" w:color="auto" w:fill="E3F4F9" w:themeFill="accent1" w:themeFillTint="33"/>
      </w:tcPr>
    </w:tblStylePr>
  </w:style>
  <w:style w:type="table" w:styleId="GridTable3-Accent1">
    <w:name w:val="Grid Table 3 Accent 1"/>
    <w:basedOn w:val="TableNormal"/>
    <w:uiPriority w:val="48"/>
    <w:rsid w:val="00B1221F"/>
    <w:pPr>
      <w:spacing w:after="0" w:line="240" w:lineRule="auto"/>
    </w:pPr>
    <w:tblPr>
      <w:tblStyleRowBandSize w:val="1"/>
      <w:tblStyleColBandSize w:val="1"/>
      <w:tblBorders>
        <w:top w:val="single" w:sz="4" w:space="0" w:color="ABE0ED" w:themeColor="accent1" w:themeTint="99"/>
        <w:left w:val="single" w:sz="4" w:space="0" w:color="ABE0ED" w:themeColor="accent1" w:themeTint="99"/>
        <w:bottom w:val="single" w:sz="4" w:space="0" w:color="ABE0ED" w:themeColor="accent1" w:themeTint="99"/>
        <w:right w:val="single" w:sz="4" w:space="0" w:color="ABE0ED" w:themeColor="accent1" w:themeTint="99"/>
        <w:insideH w:val="single" w:sz="4" w:space="0" w:color="ABE0ED" w:themeColor="accent1" w:themeTint="99"/>
        <w:insideV w:val="single" w:sz="4" w:space="0" w:color="ABE0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9" w:themeFill="accent1" w:themeFillTint="33"/>
      </w:tcPr>
    </w:tblStylePr>
    <w:tblStylePr w:type="band1Horz">
      <w:tblPr/>
      <w:tcPr>
        <w:shd w:val="clear" w:color="auto" w:fill="E3F4F9" w:themeFill="accent1" w:themeFillTint="33"/>
      </w:tcPr>
    </w:tblStylePr>
    <w:tblStylePr w:type="neCell">
      <w:tblPr/>
      <w:tcPr>
        <w:tcBorders>
          <w:bottom w:val="single" w:sz="4" w:space="0" w:color="ABE0ED" w:themeColor="accent1" w:themeTint="99"/>
        </w:tcBorders>
      </w:tcPr>
    </w:tblStylePr>
    <w:tblStylePr w:type="nwCell">
      <w:tblPr/>
      <w:tcPr>
        <w:tcBorders>
          <w:bottom w:val="single" w:sz="4" w:space="0" w:color="ABE0ED" w:themeColor="accent1" w:themeTint="99"/>
        </w:tcBorders>
      </w:tcPr>
    </w:tblStylePr>
    <w:tblStylePr w:type="seCell">
      <w:tblPr/>
      <w:tcPr>
        <w:tcBorders>
          <w:top w:val="single" w:sz="4" w:space="0" w:color="ABE0ED" w:themeColor="accent1" w:themeTint="99"/>
        </w:tcBorders>
      </w:tcPr>
    </w:tblStylePr>
    <w:tblStylePr w:type="swCell">
      <w:tblPr/>
      <w:tcPr>
        <w:tcBorders>
          <w:top w:val="single" w:sz="4" w:space="0" w:color="ABE0ED" w:themeColor="accent1" w:themeTint="99"/>
        </w:tcBorders>
      </w:tcPr>
    </w:tblStylePr>
  </w:style>
  <w:style w:type="table" w:styleId="GridTable7ColourfulAccent1">
    <w:name w:val="Grid Table 7 Colorful Accent 1"/>
    <w:basedOn w:val="TableNormal"/>
    <w:uiPriority w:val="52"/>
    <w:rsid w:val="00B1221F"/>
    <w:pPr>
      <w:spacing w:after="0" w:line="240" w:lineRule="auto"/>
    </w:pPr>
    <w:rPr>
      <w:color w:val="2DB3D1" w:themeColor="accent1" w:themeShade="BF"/>
    </w:rPr>
    <w:tblPr>
      <w:tblStyleRowBandSize w:val="1"/>
      <w:tblStyleColBandSize w:val="1"/>
      <w:tblBorders>
        <w:top w:val="single" w:sz="4" w:space="0" w:color="ABE0ED" w:themeColor="accent1" w:themeTint="99"/>
        <w:left w:val="single" w:sz="4" w:space="0" w:color="ABE0ED" w:themeColor="accent1" w:themeTint="99"/>
        <w:bottom w:val="single" w:sz="4" w:space="0" w:color="ABE0ED" w:themeColor="accent1" w:themeTint="99"/>
        <w:right w:val="single" w:sz="4" w:space="0" w:color="ABE0ED" w:themeColor="accent1" w:themeTint="99"/>
        <w:insideH w:val="single" w:sz="4" w:space="0" w:color="ABE0ED" w:themeColor="accent1" w:themeTint="99"/>
        <w:insideV w:val="single" w:sz="4" w:space="0" w:color="ABE0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9" w:themeFill="accent1" w:themeFillTint="33"/>
      </w:tcPr>
    </w:tblStylePr>
    <w:tblStylePr w:type="band1Horz">
      <w:tblPr/>
      <w:tcPr>
        <w:shd w:val="clear" w:color="auto" w:fill="E3F4F9" w:themeFill="accent1" w:themeFillTint="33"/>
      </w:tcPr>
    </w:tblStylePr>
    <w:tblStylePr w:type="neCell">
      <w:tblPr/>
      <w:tcPr>
        <w:tcBorders>
          <w:bottom w:val="single" w:sz="4" w:space="0" w:color="ABE0ED" w:themeColor="accent1" w:themeTint="99"/>
        </w:tcBorders>
      </w:tcPr>
    </w:tblStylePr>
    <w:tblStylePr w:type="nwCell">
      <w:tblPr/>
      <w:tcPr>
        <w:tcBorders>
          <w:bottom w:val="single" w:sz="4" w:space="0" w:color="ABE0ED" w:themeColor="accent1" w:themeTint="99"/>
        </w:tcBorders>
      </w:tcPr>
    </w:tblStylePr>
    <w:tblStylePr w:type="seCell">
      <w:tblPr/>
      <w:tcPr>
        <w:tcBorders>
          <w:top w:val="single" w:sz="4" w:space="0" w:color="ABE0ED" w:themeColor="accent1" w:themeTint="99"/>
        </w:tcBorders>
      </w:tcPr>
    </w:tblStylePr>
    <w:tblStylePr w:type="swCell">
      <w:tblPr/>
      <w:tcPr>
        <w:tcBorders>
          <w:top w:val="single" w:sz="4" w:space="0" w:color="ABE0ED" w:themeColor="accent1" w:themeTint="99"/>
        </w:tcBorders>
      </w:tcPr>
    </w:tblStylePr>
  </w:style>
  <w:style w:type="table" w:styleId="ListTable1Light-Accent1">
    <w:name w:val="List Table 1 Light Accent 1"/>
    <w:basedOn w:val="TableNormal"/>
    <w:uiPriority w:val="46"/>
    <w:rsid w:val="00B1221F"/>
    <w:pPr>
      <w:spacing w:after="0" w:line="240" w:lineRule="auto"/>
    </w:pPr>
    <w:tblPr>
      <w:tblStyleRowBandSize w:val="1"/>
      <w:tblStyleColBandSize w:val="1"/>
    </w:tblPr>
    <w:tblStylePr w:type="firstRow">
      <w:rPr>
        <w:b/>
        <w:bCs/>
      </w:rPr>
      <w:tblPr/>
      <w:tcPr>
        <w:tcBorders>
          <w:bottom w:val="single" w:sz="4" w:space="0" w:color="ABE0ED" w:themeColor="accent1" w:themeTint="99"/>
        </w:tcBorders>
      </w:tcPr>
    </w:tblStylePr>
    <w:tblStylePr w:type="lastRow">
      <w:rPr>
        <w:b/>
        <w:bCs/>
      </w:rPr>
      <w:tblPr/>
      <w:tcPr>
        <w:tcBorders>
          <w:top w:val="single" w:sz="4" w:space="0" w:color="ABE0ED" w:themeColor="accent1" w:themeTint="99"/>
        </w:tcBorders>
      </w:tcPr>
    </w:tblStylePr>
    <w:tblStylePr w:type="firstCol">
      <w:rPr>
        <w:b/>
        <w:bCs/>
      </w:rPr>
    </w:tblStylePr>
    <w:tblStylePr w:type="lastCol">
      <w:rPr>
        <w:b/>
        <w:bCs/>
      </w:rPr>
    </w:tblStylePr>
    <w:tblStylePr w:type="band1Vert">
      <w:tblPr/>
      <w:tcPr>
        <w:shd w:val="clear" w:color="auto" w:fill="E3F4F9" w:themeFill="accent1" w:themeFillTint="33"/>
      </w:tcPr>
    </w:tblStylePr>
    <w:tblStylePr w:type="band1Horz">
      <w:tblPr/>
      <w:tcPr>
        <w:shd w:val="clear" w:color="auto" w:fill="E3F4F9" w:themeFill="accent1" w:themeFillTint="33"/>
      </w:tcPr>
    </w:tblStylePr>
  </w:style>
  <w:style w:type="table" w:styleId="ListTable3-Accent1">
    <w:name w:val="List Table 3 Accent 1"/>
    <w:basedOn w:val="TableNormal"/>
    <w:uiPriority w:val="48"/>
    <w:rsid w:val="00B1221F"/>
    <w:pPr>
      <w:spacing w:after="0" w:line="240" w:lineRule="auto"/>
    </w:pPr>
    <w:tblPr>
      <w:tblStyleRowBandSize w:val="1"/>
      <w:tblStyleColBandSize w:val="1"/>
      <w:tblBorders>
        <w:top w:val="single" w:sz="4" w:space="0" w:color="73CDE1" w:themeColor="accent1"/>
        <w:left w:val="single" w:sz="4" w:space="0" w:color="73CDE1" w:themeColor="accent1"/>
        <w:bottom w:val="single" w:sz="4" w:space="0" w:color="73CDE1" w:themeColor="accent1"/>
        <w:right w:val="single" w:sz="4" w:space="0" w:color="73CDE1" w:themeColor="accent1"/>
      </w:tblBorders>
    </w:tblPr>
    <w:tblStylePr w:type="firstRow">
      <w:rPr>
        <w:b/>
        <w:bCs/>
        <w:color w:val="FFFFFF" w:themeColor="background1"/>
      </w:rPr>
      <w:tblPr/>
      <w:tcPr>
        <w:shd w:val="clear" w:color="auto" w:fill="73CDE1" w:themeFill="accent1"/>
      </w:tcPr>
    </w:tblStylePr>
    <w:tblStylePr w:type="lastRow">
      <w:rPr>
        <w:b/>
        <w:bCs/>
      </w:rPr>
      <w:tblPr/>
      <w:tcPr>
        <w:tcBorders>
          <w:top w:val="double" w:sz="4" w:space="0" w:color="73CDE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CDE1" w:themeColor="accent1"/>
          <w:right w:val="single" w:sz="4" w:space="0" w:color="73CDE1" w:themeColor="accent1"/>
        </w:tcBorders>
      </w:tcPr>
    </w:tblStylePr>
    <w:tblStylePr w:type="band1Horz">
      <w:tblPr/>
      <w:tcPr>
        <w:tcBorders>
          <w:top w:val="single" w:sz="4" w:space="0" w:color="73CDE1" w:themeColor="accent1"/>
          <w:bottom w:val="single" w:sz="4" w:space="0" w:color="73CDE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CDE1" w:themeColor="accent1"/>
          <w:left w:val="nil"/>
        </w:tcBorders>
      </w:tcPr>
    </w:tblStylePr>
    <w:tblStylePr w:type="swCell">
      <w:tblPr/>
      <w:tcPr>
        <w:tcBorders>
          <w:top w:val="double" w:sz="4" w:space="0" w:color="73CDE1" w:themeColor="accent1"/>
          <w:right w:val="nil"/>
        </w:tcBorders>
      </w:tcPr>
    </w:tblStylePr>
  </w:style>
  <w:style w:type="table" w:styleId="ListTable5Dark-Accent1">
    <w:name w:val="List Table 5 Dark Accent 1"/>
    <w:basedOn w:val="TableNormal"/>
    <w:uiPriority w:val="50"/>
    <w:rsid w:val="00B1221F"/>
    <w:pPr>
      <w:spacing w:after="0" w:line="240" w:lineRule="auto"/>
    </w:pPr>
    <w:rPr>
      <w:color w:val="FFFFFF" w:themeColor="background1"/>
    </w:rPr>
    <w:tblPr>
      <w:tblStyleRowBandSize w:val="1"/>
      <w:tblStyleColBandSize w:val="1"/>
      <w:tblBorders>
        <w:top w:val="single" w:sz="24" w:space="0" w:color="73CDE1" w:themeColor="accent1"/>
        <w:left w:val="single" w:sz="24" w:space="0" w:color="73CDE1" w:themeColor="accent1"/>
        <w:bottom w:val="single" w:sz="24" w:space="0" w:color="73CDE1" w:themeColor="accent1"/>
        <w:right w:val="single" w:sz="24" w:space="0" w:color="73CDE1" w:themeColor="accent1"/>
      </w:tblBorders>
    </w:tblPr>
    <w:tcPr>
      <w:shd w:val="clear" w:color="auto" w:fill="73CDE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9A4EE8"/>
    <w:rPr>
      <w:color w:val="605E5C"/>
      <w:shd w:val="clear" w:color="auto" w:fill="E1DFDD"/>
    </w:rPr>
  </w:style>
  <w:style w:type="table" w:customStyle="1" w:styleId="Style1">
    <w:name w:val="Style1"/>
    <w:basedOn w:val="TableNormal"/>
    <w:uiPriority w:val="99"/>
    <w:rsid w:val="009F442E"/>
    <w:pPr>
      <w:spacing w:line="240" w:lineRule="auto"/>
      <w:jc w:val="left"/>
    </w:pPr>
    <w:rPr>
      <w:rFonts w:ascii="Arial" w:hAnsi="Arial"/>
      <w:kern w:val="2"/>
      <w:sz w:val="20"/>
      <w14:ligatures w14:val="standardContextual"/>
    </w:rPr>
    <w:tblPr>
      <w:tblStyleRowBandSize w:val="1"/>
    </w:tblPr>
    <w:tcPr>
      <w:shd w:val="clear" w:color="auto" w:fill="auto"/>
    </w:tcPr>
    <w:tblStylePr w:type="firstRow">
      <w:pPr>
        <w:wordWrap/>
        <w:spacing w:beforeLines="0" w:before="120" w:beforeAutospacing="0" w:afterLines="0" w:after="120" w:afterAutospacing="0" w:line="240" w:lineRule="auto"/>
      </w:pPr>
      <w:rPr>
        <w:rFonts w:ascii="Arial" w:hAnsi="Arial"/>
        <w:b/>
        <w:color w:val="000000" w:themeColor="text1"/>
        <w:sz w:val="20"/>
      </w:rPr>
      <w:tblPr/>
      <w:tcPr>
        <w:tcBorders>
          <w:bottom w:val="single" w:sz="8" w:space="0" w:color="92B5FF" w:themeColor="text2" w:themeTint="66"/>
        </w:tcBorders>
        <w:shd w:val="clear" w:color="auto" w:fill="auto"/>
      </w:tcPr>
    </w:tblStylePr>
    <w:tblStylePr w:type="lastRow">
      <w:rPr>
        <w:rFonts w:ascii="Arial" w:hAnsi="Arial"/>
        <w:sz w:val="20"/>
      </w:rPr>
      <w:tblPr/>
      <w:tcPr>
        <w:tcBorders>
          <w:top w:val="nil"/>
          <w:left w:val="nil"/>
          <w:bottom w:val="nil"/>
          <w:right w:val="nil"/>
          <w:insideH w:val="nil"/>
          <w:insideV w:val="nil"/>
          <w:tl2br w:val="nil"/>
          <w:tr2bl w:val="nil"/>
        </w:tcBorders>
        <w:shd w:val="clear" w:color="auto" w:fill="auto"/>
      </w:tcPr>
    </w:tblStylePr>
    <w:tblStylePr w:type="band1Horz">
      <w:tblPr/>
      <w:tcPr>
        <w:shd w:val="clear" w:color="auto" w:fill="C8DAFF" w:themeFill="text2" w:themeFillTint="33"/>
      </w:tcPr>
    </w:tblStylePr>
    <w:tblStylePr w:type="band2Horz">
      <w:rPr>
        <w:rFonts w:ascii="Arial" w:hAnsi="Arial"/>
        <w:sz w:val="20"/>
      </w:rPr>
    </w:tblStylePr>
  </w:style>
  <w:style w:type="table" w:customStyle="1" w:styleId="Style10">
    <w:name w:val="Style10"/>
    <w:basedOn w:val="TableNormal"/>
    <w:uiPriority w:val="99"/>
    <w:rsid w:val="009F442E"/>
    <w:pPr>
      <w:spacing w:line="240" w:lineRule="auto"/>
      <w:jc w:val="left"/>
    </w:pPr>
    <w:rPr>
      <w:rFonts w:ascii="Arial" w:hAnsi="Arial"/>
      <w:kern w:val="2"/>
      <w14:ligatures w14:val="standardContextual"/>
    </w:rPr>
    <w:tblPr>
      <w:tblStyleRowBandSize w:val="1"/>
      <w:tblBorders>
        <w:top w:val="single" w:sz="4" w:space="0" w:color="92B5FF" w:themeColor="text2" w:themeTint="66"/>
        <w:left w:val="single" w:sz="4" w:space="0" w:color="92B5FF" w:themeColor="text2" w:themeTint="66"/>
        <w:bottom w:val="single" w:sz="4" w:space="0" w:color="92B5FF" w:themeColor="text2" w:themeTint="66"/>
        <w:right w:val="single" w:sz="4" w:space="0" w:color="92B5FF" w:themeColor="text2" w:themeTint="66"/>
        <w:insideH w:val="single" w:sz="4" w:space="0" w:color="92B5FF" w:themeColor="text2" w:themeTint="66"/>
        <w:insideV w:val="single" w:sz="4" w:space="0" w:color="92B5FF" w:themeColor="text2" w:themeTint="66"/>
      </w:tblBorders>
    </w:tblPr>
    <w:tblStylePr w:type="firstRow">
      <w:pPr>
        <w:wordWrap/>
        <w:spacing w:beforeLines="0" w:before="120" w:beforeAutospacing="0" w:afterLines="0" w:after="120" w:afterAutospacing="0" w:line="240" w:lineRule="auto"/>
      </w:pPr>
      <w:tblPr/>
      <w:tcPr>
        <w:tcBorders>
          <w:bottom w:val="single" w:sz="12" w:space="0" w:color="92B5FF" w:themeColor="text2" w:themeTint="66"/>
        </w:tcBorders>
        <w:shd w:val="clear" w:color="auto" w:fill="FFFFFF" w:themeFill="background1"/>
      </w:tcPr>
    </w:tblStylePr>
    <w:tblStylePr w:type="band1Horz">
      <w:tblPr/>
      <w:tcPr>
        <w:shd w:val="clear" w:color="auto" w:fill="C8DAFF" w:themeFill="text2" w:themeFillTint="33"/>
      </w:tcPr>
    </w:tblStylePr>
  </w:style>
  <w:style w:type="table" w:customStyle="1" w:styleId="Style11">
    <w:name w:val="Style11"/>
    <w:basedOn w:val="TableNormal"/>
    <w:uiPriority w:val="99"/>
    <w:rsid w:val="009F442E"/>
    <w:pPr>
      <w:spacing w:line="240" w:lineRule="auto"/>
      <w:jc w:val="left"/>
    </w:pPr>
    <w:rPr>
      <w:rFonts w:ascii="Arial" w:hAnsi="Arial"/>
      <w:color w:val="FFFFFF" w:themeColor="background1"/>
      <w:kern w:val="2"/>
      <w14:ligatures w14:val="standardContextual"/>
    </w:rPr>
    <w:tblPr>
      <w:tblBorders>
        <w:insideH w:val="single" w:sz="4" w:space="0" w:color="FFFFFF" w:themeColor="background1"/>
      </w:tblBorders>
    </w:tblPr>
    <w:tcPr>
      <w:shd w:val="clear" w:color="auto" w:fill="004FEE" w:themeFill="text2"/>
    </w:tcPr>
    <w:tblStylePr w:type="firstRow">
      <w:rPr>
        <w:b/>
      </w:rPr>
      <w:tblPr/>
      <w:tcPr>
        <w:tcBorders>
          <w:top w:val="nil"/>
          <w:left w:val="nil"/>
          <w:bottom w:val="single" w:sz="12" w:space="0" w:color="FFFFFF" w:themeColor="background1"/>
          <w:right w:val="nil"/>
          <w:insideH w:val="nil"/>
          <w:insideV w:val="nil"/>
          <w:tl2br w:val="nil"/>
          <w:tr2bl w:val="nil"/>
        </w:tcBorders>
        <w:shd w:val="clear" w:color="auto" w:fill="004FEE" w:themeFill="text2"/>
      </w:tcPr>
    </w:tblStylePr>
    <w:tblStylePr w:type="firstCol">
      <w:tblPr/>
      <w:tcPr>
        <w:tcBorders>
          <w:right w:val="single" w:sz="4" w:space="0" w:color="FFFFFF" w:themeColor="background1"/>
        </w:tcBorders>
        <w:shd w:val="clear" w:color="auto" w:fill="004FEE" w:themeFill="text2"/>
      </w:tcPr>
    </w:tblStylePr>
  </w:style>
  <w:style w:type="table" w:customStyle="1" w:styleId="Style2">
    <w:name w:val="Style2"/>
    <w:basedOn w:val="TableNormal"/>
    <w:uiPriority w:val="99"/>
    <w:rsid w:val="009F442E"/>
    <w:pPr>
      <w:spacing w:line="240" w:lineRule="auto"/>
      <w:jc w:val="left"/>
    </w:pPr>
    <w:rPr>
      <w:rFonts w:ascii="Arial" w:hAnsi="Arial"/>
      <w:kern w:val="2"/>
      <w:sz w:val="20"/>
      <w14:ligatures w14:val="standardContextual"/>
    </w:rPr>
    <w:tblPr>
      <w:tblBorders>
        <w:top w:val="single" w:sz="4" w:space="0" w:color="92B5FF" w:themeColor="text2" w:themeTint="66"/>
        <w:left w:val="single" w:sz="4" w:space="0" w:color="92B5FF" w:themeColor="text2" w:themeTint="66"/>
        <w:bottom w:val="single" w:sz="4" w:space="0" w:color="92B5FF" w:themeColor="text2" w:themeTint="66"/>
        <w:right w:val="single" w:sz="4" w:space="0" w:color="92B5FF" w:themeColor="text2" w:themeTint="66"/>
        <w:insideH w:val="single" w:sz="4" w:space="0" w:color="92B5FF" w:themeColor="text2" w:themeTint="66"/>
        <w:insideV w:val="single" w:sz="4" w:space="0" w:color="92B5FF" w:themeColor="text2" w:themeTint="66"/>
      </w:tblBorders>
    </w:tblPr>
    <w:tblStylePr w:type="firstRow">
      <w:pPr>
        <w:wordWrap/>
        <w:spacing w:beforeLines="0" w:before="120" w:beforeAutospacing="0" w:afterLines="0" w:after="120" w:afterAutospacing="0" w:line="240" w:lineRule="auto"/>
      </w:pPr>
      <w:rPr>
        <w:rFonts w:ascii="Arial" w:hAnsi="Arial"/>
        <w:b/>
        <w:color w:val="000000" w:themeColor="text1"/>
        <w:sz w:val="20"/>
      </w:rPr>
      <w:tblPr/>
      <w:tcPr>
        <w:tcBorders>
          <w:bottom w:val="single" w:sz="12" w:space="0" w:color="92B5FF" w:themeColor="text2" w:themeTint="66"/>
        </w:tcBorders>
      </w:tcPr>
    </w:tblStylePr>
    <w:tblStylePr w:type="firstCol">
      <w:rPr>
        <w:rFonts w:ascii="Arial" w:hAnsi="Arial"/>
        <w:b/>
        <w:sz w:val="20"/>
      </w:rPr>
    </w:tblStylePr>
  </w:style>
  <w:style w:type="table" w:customStyle="1" w:styleId="Style3">
    <w:name w:val="Style3"/>
    <w:basedOn w:val="TableNormal"/>
    <w:uiPriority w:val="99"/>
    <w:rsid w:val="009F442E"/>
    <w:pPr>
      <w:spacing w:line="240" w:lineRule="auto"/>
      <w:jc w:val="left"/>
    </w:pPr>
    <w:rPr>
      <w:rFonts w:ascii="Arial" w:hAnsi="Arial"/>
      <w:kern w:val="2"/>
      <w:sz w:val="20"/>
      <w14:ligatures w14:val="standardContextual"/>
    </w:rPr>
    <w:tblPr>
      <w:tblStyleRowBandSize w:val="1"/>
      <w:tblBorders>
        <w:top w:val="single" w:sz="8" w:space="0" w:color="92B5FF" w:themeColor="text2" w:themeTint="66"/>
        <w:left w:val="single" w:sz="8" w:space="0" w:color="92B5FF" w:themeColor="text2" w:themeTint="66"/>
        <w:bottom w:val="single" w:sz="8" w:space="0" w:color="92B5FF" w:themeColor="text2" w:themeTint="66"/>
        <w:right w:val="single" w:sz="8" w:space="0" w:color="92B5FF" w:themeColor="text2" w:themeTint="66"/>
        <w:insideH w:val="single" w:sz="8" w:space="0" w:color="92B5FF" w:themeColor="text2" w:themeTint="66"/>
        <w:insideV w:val="single" w:sz="8" w:space="0" w:color="92B5FF" w:themeColor="text2" w:themeTint="66"/>
      </w:tblBorders>
    </w:tblPr>
    <w:tblStylePr w:type="firstRow">
      <w:pPr>
        <w:wordWrap/>
        <w:spacing w:beforeLines="0" w:before="120" w:beforeAutospacing="0" w:afterLines="0" w:after="120" w:afterAutospacing="0" w:line="240" w:lineRule="auto"/>
      </w:pPr>
      <w:rPr>
        <w:rFonts w:ascii="Arial" w:hAnsi="Arial"/>
        <w:sz w:val="20"/>
      </w:rPr>
      <w:tblPr/>
      <w:tcPr>
        <w:tcBorders>
          <w:top w:val="nil"/>
          <w:left w:val="nil"/>
          <w:bottom w:val="single" w:sz="4" w:space="0" w:color="92B5FF" w:themeColor="text2" w:themeTint="66"/>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shd w:val="clear" w:color="auto" w:fill="FFFFFF" w:themeFill="background1"/>
      </w:tcPr>
    </w:tblStylePr>
    <w:tblStylePr w:type="band1Horz">
      <w:tblPr/>
      <w:tcPr>
        <w:shd w:val="clear" w:color="auto" w:fill="C8DAFF" w:themeFill="text2" w:themeFillTint="33"/>
      </w:tcPr>
    </w:tblStylePr>
  </w:style>
  <w:style w:type="table" w:customStyle="1" w:styleId="Style4">
    <w:name w:val="Style4"/>
    <w:basedOn w:val="TableNormal"/>
    <w:uiPriority w:val="99"/>
    <w:rsid w:val="009F442E"/>
    <w:pPr>
      <w:spacing w:line="240" w:lineRule="auto"/>
      <w:jc w:val="center"/>
    </w:pPr>
    <w:rPr>
      <w:rFonts w:ascii="Arial" w:hAnsi="Arial"/>
      <w:kern w:val="2"/>
      <w:sz w:val="20"/>
      <w14:ligatures w14:val="standardContextual"/>
    </w:rPr>
    <w:tblPr>
      <w:tblStyleRowBandSize w:val="1"/>
      <w:tblStyleColBandSize w:val="1"/>
      <w:tblBorders>
        <w:top w:val="single" w:sz="4" w:space="0" w:color="92B5FF" w:themeColor="text2" w:themeTint="66"/>
        <w:left w:val="single" w:sz="4" w:space="0" w:color="92B5FF" w:themeColor="text2" w:themeTint="66"/>
        <w:bottom w:val="single" w:sz="4" w:space="0" w:color="92B5FF" w:themeColor="text2" w:themeTint="66"/>
        <w:right w:val="single" w:sz="4" w:space="0" w:color="92B5FF" w:themeColor="text2" w:themeTint="66"/>
        <w:insideH w:val="single" w:sz="4" w:space="0" w:color="92B5FF" w:themeColor="text2" w:themeTint="66"/>
      </w:tblBorders>
    </w:tblPr>
    <w:tcPr>
      <w:shd w:val="clear" w:color="auto" w:fill="auto"/>
    </w:tcPr>
    <w:tblStylePr w:type="firstRow">
      <w:pPr>
        <w:wordWrap/>
        <w:spacing w:beforeLines="0" w:before="120" w:beforeAutospacing="0" w:afterLines="0" w:after="120" w:afterAutospacing="0" w:line="240" w:lineRule="auto"/>
        <w:jc w:val="center"/>
      </w:pPr>
      <w:rPr>
        <w:rFonts w:ascii="Arial" w:hAnsi="Arial"/>
        <w:b/>
        <w:color w:val="FFFFFF" w:themeColor="background1"/>
        <w:sz w:val="20"/>
      </w:rPr>
      <w:tblPr/>
      <w:tcPr>
        <w:shd w:val="clear" w:color="auto" w:fill="004FEE" w:themeFill="text2"/>
      </w:tcPr>
    </w:tblStylePr>
    <w:tblStylePr w:type="firstCol">
      <w:pPr>
        <w:jc w:val="left"/>
      </w:pPr>
      <w:rPr>
        <w:rFonts w:ascii="Arial" w:hAnsi="Arial"/>
        <w:sz w:val="20"/>
      </w:rPr>
    </w:tblStylePr>
    <w:tblStylePr w:type="band1Horz">
      <w:rPr>
        <w:rFonts w:ascii="Arial" w:hAnsi="Arial"/>
        <w:sz w:val="20"/>
      </w:rPr>
    </w:tblStylePr>
    <w:tblStylePr w:type="band2Horz">
      <w:rPr>
        <w:rFonts w:ascii="Arial" w:hAnsi="Arial"/>
        <w:sz w:val="20"/>
      </w:rPr>
    </w:tblStylePr>
  </w:style>
  <w:style w:type="table" w:customStyle="1" w:styleId="Style5">
    <w:name w:val="Style5"/>
    <w:basedOn w:val="TableNormal"/>
    <w:uiPriority w:val="99"/>
    <w:rsid w:val="009F442E"/>
    <w:pPr>
      <w:spacing w:line="240" w:lineRule="auto"/>
      <w:jc w:val="center"/>
    </w:pPr>
    <w:rPr>
      <w:rFonts w:ascii="Arial" w:hAnsi="Arial"/>
      <w:kern w:val="2"/>
      <w14:ligatures w14:val="standardContextual"/>
    </w:rPr>
    <w:tblPr>
      <w:tblStyleRowBandSize w:val="1"/>
      <w:tblStyleColBandSize w:val="1"/>
      <w:tblBorders>
        <w:top w:val="single" w:sz="4" w:space="0" w:color="92B5FF" w:themeColor="text2" w:themeTint="66"/>
        <w:left w:val="single" w:sz="4" w:space="0" w:color="92B5FF" w:themeColor="text2" w:themeTint="66"/>
        <w:bottom w:val="single" w:sz="4" w:space="0" w:color="92B5FF" w:themeColor="text2" w:themeTint="66"/>
        <w:right w:val="single" w:sz="4" w:space="0" w:color="92B5FF" w:themeColor="text2" w:themeTint="66"/>
        <w:insideH w:val="single" w:sz="4" w:space="0" w:color="92B5FF" w:themeColor="text2" w:themeTint="66"/>
        <w:insideV w:val="single" w:sz="4" w:space="0" w:color="92B5FF" w:themeColor="text2" w:themeTint="66"/>
      </w:tblBorders>
    </w:tblPr>
    <w:tblStylePr w:type="firstRow">
      <w:pPr>
        <w:wordWrap/>
        <w:spacing w:beforeLines="0" w:before="120" w:beforeAutospacing="0" w:afterLines="0" w:after="120" w:afterAutospacing="0" w:line="240" w:lineRule="auto"/>
        <w:jc w:val="center"/>
      </w:pPr>
      <w:rPr>
        <w:rFonts w:ascii="Arial" w:hAnsi="Arial"/>
        <w:b/>
        <w:color w:val="FFFFFF" w:themeColor="background1"/>
        <w:sz w:val="20"/>
      </w:rPr>
      <w:tblPr/>
      <w:tcPr>
        <w:tcBorders>
          <w:top w:val="nil"/>
          <w:left w:val="single" w:sz="4" w:space="0" w:color="92B5FF" w:themeColor="text2" w:themeTint="66"/>
          <w:bottom w:val="nil"/>
          <w:right w:val="single" w:sz="4" w:space="0" w:color="92B5FF" w:themeColor="text2" w:themeTint="66"/>
          <w:insideH w:val="nil"/>
          <w:insideV w:val="nil"/>
          <w:tl2br w:val="nil"/>
          <w:tr2bl w:val="nil"/>
        </w:tcBorders>
        <w:shd w:val="clear" w:color="auto" w:fill="004FEE" w:themeFill="text2"/>
      </w:tcPr>
    </w:tblStylePr>
    <w:tblStylePr w:type="firstCol">
      <w:pPr>
        <w:jc w:val="left"/>
      </w:pPr>
      <w:rPr>
        <w:rFonts w:ascii="Arial" w:hAnsi="Arial"/>
        <w:sz w:val="20"/>
      </w:rPr>
      <w:tblPr/>
      <w:tcPr>
        <w:tcBorders>
          <w:insideH w:val="single" w:sz="4" w:space="0" w:color="92B5FF" w:themeColor="text2" w:themeTint="66"/>
          <w:insideV w:val="single" w:sz="4" w:space="0" w:color="92B5FF" w:themeColor="text2" w:themeTint="66"/>
        </w:tcBorders>
      </w:tcPr>
    </w:tblStylePr>
    <w:tblStylePr w:type="band1Horz">
      <w:tblPr/>
      <w:tcPr>
        <w:shd w:val="clear" w:color="auto" w:fill="C8DAFF" w:themeFill="text2" w:themeFillTint="33"/>
      </w:tcPr>
    </w:tblStylePr>
    <w:tblStylePr w:type="band2Horz">
      <w:pPr>
        <w:wordWrap/>
        <w:spacing w:line="360" w:lineRule="auto"/>
      </w:pPr>
    </w:tblStylePr>
  </w:style>
  <w:style w:type="table" w:customStyle="1" w:styleId="Style6">
    <w:name w:val="Style6"/>
    <w:basedOn w:val="TableNormal"/>
    <w:uiPriority w:val="99"/>
    <w:rsid w:val="009F442E"/>
    <w:pPr>
      <w:spacing w:line="240" w:lineRule="auto"/>
      <w:jc w:val="left"/>
    </w:pPr>
    <w:rPr>
      <w:rFonts w:ascii="Arial" w:hAnsi="Arial"/>
      <w:kern w:val="2"/>
      <w14:ligatures w14:val="standardContextual"/>
    </w:rPr>
    <w:tblPr>
      <w:tblBorders>
        <w:insideH w:val="single" w:sz="4" w:space="0" w:color="CFCFCF" w:themeColor="background2" w:themeShade="E6"/>
        <w:insideV w:val="single" w:sz="4" w:space="0" w:color="CFCFCF" w:themeColor="background2" w:themeShade="E6"/>
      </w:tblBorders>
    </w:tblPr>
    <w:tblStylePr w:type="firstRow">
      <w:pPr>
        <w:wordWrap/>
        <w:spacing w:line="360" w:lineRule="auto"/>
      </w:pPr>
    </w:tblStylePr>
  </w:style>
  <w:style w:type="table" w:customStyle="1" w:styleId="Style7">
    <w:name w:val="Style7"/>
    <w:basedOn w:val="TableNormal"/>
    <w:uiPriority w:val="99"/>
    <w:rsid w:val="009F442E"/>
    <w:pPr>
      <w:spacing w:line="240" w:lineRule="auto"/>
      <w:jc w:val="left"/>
    </w:pPr>
    <w:rPr>
      <w:rFonts w:ascii="Arial" w:hAnsi="Arial"/>
      <w:kern w:val="2"/>
      <w14:ligatures w14:val="standardContextual"/>
    </w:rPr>
    <w:tblPr>
      <w:tblBorders>
        <w:insideH w:val="single" w:sz="4" w:space="0" w:color="CFCFCF" w:themeColor="background2" w:themeShade="E6"/>
        <w:insideV w:val="single" w:sz="4" w:space="0" w:color="CFCFCF" w:themeColor="background2" w:themeShade="E6"/>
      </w:tblBorders>
    </w:tblPr>
    <w:tblStylePr w:type="firstRow">
      <w:pPr>
        <w:wordWrap/>
        <w:spacing w:line="360" w:lineRule="auto"/>
      </w:pPr>
      <w:rPr>
        <w:rFonts w:ascii="Arial" w:hAnsi="Arial"/>
        <w:b/>
        <w:color w:val="FFFFFF" w:themeColor="background1"/>
        <w:sz w:val="20"/>
      </w:rPr>
      <w:tblPr/>
      <w:tcPr>
        <w:shd w:val="clear" w:color="auto" w:fill="004FEE" w:themeFill="text2"/>
      </w:tcPr>
    </w:tblStylePr>
  </w:style>
  <w:style w:type="table" w:customStyle="1" w:styleId="Style8">
    <w:name w:val="Style8"/>
    <w:basedOn w:val="TableNormal"/>
    <w:uiPriority w:val="99"/>
    <w:rsid w:val="009F442E"/>
    <w:pPr>
      <w:spacing w:line="240" w:lineRule="auto"/>
      <w:jc w:val="left"/>
    </w:pPr>
    <w:rPr>
      <w:rFonts w:ascii="Arial" w:hAnsi="Arial"/>
      <w:kern w:val="2"/>
      <w14:ligatures w14:val="standardContextu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120" w:beforeAutospacing="0" w:afterLines="0" w:after="120" w:afterAutospacing="0" w:line="240" w:lineRule="auto"/>
      </w:pPr>
      <w:rPr>
        <w:rFonts w:ascii="Arial" w:hAnsi="Arial"/>
        <w:b/>
        <w:color w:val="FFFFFF" w:themeColor="background1"/>
        <w:sz w:val="20"/>
      </w:rPr>
      <w:tblPr/>
      <w:tcPr>
        <w:shd w:val="clear" w:color="auto" w:fill="004FEE" w:themeFill="text2"/>
      </w:tcPr>
    </w:tblStylePr>
    <w:tblStylePr w:type="firstCol">
      <w:rPr>
        <w:rFonts w:ascii="Arial" w:hAnsi="Arial"/>
        <w:color w:val="FFFFFF" w:themeColor="background1"/>
        <w:sz w:val="20"/>
      </w:rPr>
      <w:tblPr/>
      <w:tcPr>
        <w:shd w:val="clear" w:color="auto" w:fill="004FEE" w:themeFill="text2"/>
      </w:tcPr>
    </w:tblStylePr>
    <w:tblStylePr w:type="band1Horz">
      <w:tblPr/>
      <w:tcPr>
        <w:shd w:val="clear" w:color="auto" w:fill="92B5FF" w:themeFill="text2" w:themeFillTint="66"/>
      </w:tcPr>
    </w:tblStylePr>
    <w:tblStylePr w:type="band2Horz">
      <w:tblPr/>
      <w:tcPr>
        <w:shd w:val="clear" w:color="auto" w:fill="C8DAFF" w:themeFill="text2" w:themeFillTint="33"/>
      </w:tcPr>
    </w:tblStylePr>
  </w:style>
  <w:style w:type="table" w:customStyle="1" w:styleId="Style9">
    <w:name w:val="Style9"/>
    <w:basedOn w:val="TableNormal"/>
    <w:uiPriority w:val="99"/>
    <w:rsid w:val="009F442E"/>
    <w:pPr>
      <w:spacing w:line="240" w:lineRule="auto"/>
      <w:jc w:val="left"/>
    </w:pPr>
    <w:rPr>
      <w:rFonts w:ascii="Arial" w:hAnsi="Arial"/>
      <w:kern w:val="2"/>
      <w14:ligatures w14:val="standardContextual"/>
    </w:rPr>
    <w:tblPr>
      <w:tblStyleRowBandSize w:val="1"/>
      <w:tblBorders>
        <w:bottom w:val="single" w:sz="4" w:space="0" w:color="92B5FF" w:themeColor="text2" w:themeTint="66"/>
      </w:tblBorders>
    </w:tblPr>
    <w:tblStylePr w:type="firstRow">
      <w:pPr>
        <w:wordWrap/>
        <w:spacing w:beforeLines="0" w:before="120" w:beforeAutospacing="0" w:afterLines="0" w:after="120" w:afterAutospacing="0" w:line="240" w:lineRule="auto"/>
      </w:pPr>
      <w:tblPr/>
      <w:tcPr>
        <w:tcBorders>
          <w:top w:val="single" w:sz="4" w:space="0" w:color="92B5FF" w:themeColor="text2" w:themeTint="66"/>
          <w:bottom w:val="single" w:sz="4" w:space="0" w:color="92B5FF" w:themeColor="text2" w:themeTint="66"/>
        </w:tcBorders>
      </w:tcPr>
    </w:tblStylePr>
    <w:tblStylePr w:type="band1Horz">
      <w:tblPr/>
      <w:tcPr>
        <w:shd w:val="clear" w:color="auto" w:fill="C8DAFF" w:themeFill="text2" w:themeFillTint="33"/>
      </w:tcPr>
    </w:tblStylePr>
  </w:style>
  <w:style w:type="paragraph" w:customStyle="1" w:styleId="BulletsRecital1stlevel">
    <w:name w:val="Bullets Recital 1st level"/>
    <w:basedOn w:val="Bullets1stlevel"/>
    <w:link w:val="BulletsRecital1stlevelChar"/>
    <w:qFormat/>
    <w:rsid w:val="00920F7A"/>
    <w:pPr>
      <w:ind w:left="993"/>
    </w:pPr>
  </w:style>
  <w:style w:type="character" w:customStyle="1" w:styleId="BulletsRecital1stlevelChar">
    <w:name w:val="Bullets Recital 1st level Char"/>
    <w:basedOn w:val="Bullets1stlevelChar"/>
    <w:link w:val="BulletsRecital1stlevel"/>
    <w:rsid w:val="00920F7A"/>
    <w:rPr>
      <w:rFonts w:ascii="Arial" w:hAnsi="Arial" w:cs="Arial"/>
      <w:sz w:val="20"/>
      <w:szCs w:val="20"/>
      <w:lang w:val="en-US" w:eastAsia="en-GB"/>
    </w:rPr>
  </w:style>
  <w:style w:type="paragraph" w:customStyle="1" w:styleId="BulletsRecital2ndlevel">
    <w:name w:val="Bullets Recital 2nd level"/>
    <w:basedOn w:val="Bullets2ndlevel"/>
    <w:link w:val="BulletsRecital2ndlevelChar"/>
    <w:qFormat/>
    <w:rsid w:val="00920F7A"/>
    <w:pPr>
      <w:tabs>
        <w:tab w:val="clear" w:pos="567"/>
      </w:tabs>
      <w:ind w:left="1134"/>
    </w:pPr>
  </w:style>
  <w:style w:type="character" w:customStyle="1" w:styleId="Bullets2ndlevelChar">
    <w:name w:val="Bullets 2nd level Char"/>
    <w:basedOn w:val="Bullets1stlevelChar"/>
    <w:link w:val="Bullets2ndlevel"/>
    <w:rsid w:val="00920F7A"/>
    <w:rPr>
      <w:rFonts w:ascii="Arial" w:hAnsi="Arial" w:cs="Arial"/>
      <w:sz w:val="20"/>
      <w:szCs w:val="20"/>
      <w:lang w:val="nb-NO" w:eastAsia="en-GB"/>
    </w:rPr>
  </w:style>
  <w:style w:type="character" w:customStyle="1" w:styleId="BulletsRecital2ndlevelChar">
    <w:name w:val="Bullets Recital 2nd level Char"/>
    <w:basedOn w:val="Bullets2ndlevelChar"/>
    <w:link w:val="BulletsRecital2ndlevel"/>
    <w:rsid w:val="00920F7A"/>
    <w:rPr>
      <w:rFonts w:ascii="Arial" w:hAnsi="Arial" w:cs="Arial"/>
      <w:sz w:val="20"/>
      <w:szCs w:val="20"/>
      <w:lang w:val="nb-NO" w:eastAsia="en-GB"/>
    </w:rPr>
  </w:style>
  <w:style w:type="paragraph" w:customStyle="1" w:styleId="oj-normal">
    <w:name w:val="oj-normal"/>
    <w:basedOn w:val="Normal"/>
    <w:rsid w:val="007D4FE4"/>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547">
      <w:bodyDiv w:val="1"/>
      <w:marLeft w:val="0"/>
      <w:marRight w:val="0"/>
      <w:marTop w:val="0"/>
      <w:marBottom w:val="0"/>
      <w:divBdr>
        <w:top w:val="none" w:sz="0" w:space="0" w:color="auto"/>
        <w:left w:val="none" w:sz="0" w:space="0" w:color="auto"/>
        <w:bottom w:val="none" w:sz="0" w:space="0" w:color="auto"/>
        <w:right w:val="none" w:sz="0" w:space="0" w:color="auto"/>
      </w:divBdr>
    </w:div>
    <w:div w:id="355815436">
      <w:bodyDiv w:val="1"/>
      <w:marLeft w:val="0"/>
      <w:marRight w:val="0"/>
      <w:marTop w:val="0"/>
      <w:marBottom w:val="0"/>
      <w:divBdr>
        <w:top w:val="none" w:sz="0" w:space="0" w:color="auto"/>
        <w:left w:val="none" w:sz="0" w:space="0" w:color="auto"/>
        <w:bottom w:val="none" w:sz="0" w:space="0" w:color="auto"/>
        <w:right w:val="none" w:sz="0" w:space="0" w:color="auto"/>
      </w:divBdr>
    </w:div>
    <w:div w:id="397632025">
      <w:bodyDiv w:val="1"/>
      <w:marLeft w:val="0"/>
      <w:marRight w:val="0"/>
      <w:marTop w:val="0"/>
      <w:marBottom w:val="0"/>
      <w:divBdr>
        <w:top w:val="none" w:sz="0" w:space="0" w:color="auto"/>
        <w:left w:val="none" w:sz="0" w:space="0" w:color="auto"/>
        <w:bottom w:val="none" w:sz="0" w:space="0" w:color="auto"/>
        <w:right w:val="none" w:sz="0" w:space="0" w:color="auto"/>
      </w:divBdr>
    </w:div>
    <w:div w:id="531919572">
      <w:bodyDiv w:val="1"/>
      <w:marLeft w:val="0"/>
      <w:marRight w:val="0"/>
      <w:marTop w:val="0"/>
      <w:marBottom w:val="0"/>
      <w:divBdr>
        <w:top w:val="none" w:sz="0" w:space="0" w:color="auto"/>
        <w:left w:val="none" w:sz="0" w:space="0" w:color="auto"/>
        <w:bottom w:val="none" w:sz="0" w:space="0" w:color="auto"/>
        <w:right w:val="none" w:sz="0" w:space="0" w:color="auto"/>
      </w:divBdr>
    </w:div>
    <w:div w:id="572473512">
      <w:bodyDiv w:val="1"/>
      <w:marLeft w:val="0"/>
      <w:marRight w:val="0"/>
      <w:marTop w:val="0"/>
      <w:marBottom w:val="0"/>
      <w:divBdr>
        <w:top w:val="none" w:sz="0" w:space="0" w:color="auto"/>
        <w:left w:val="none" w:sz="0" w:space="0" w:color="auto"/>
        <w:bottom w:val="none" w:sz="0" w:space="0" w:color="auto"/>
        <w:right w:val="none" w:sz="0" w:space="0" w:color="auto"/>
      </w:divBdr>
    </w:div>
    <w:div w:id="591276975">
      <w:bodyDiv w:val="1"/>
      <w:marLeft w:val="0"/>
      <w:marRight w:val="0"/>
      <w:marTop w:val="0"/>
      <w:marBottom w:val="0"/>
      <w:divBdr>
        <w:top w:val="none" w:sz="0" w:space="0" w:color="auto"/>
        <w:left w:val="none" w:sz="0" w:space="0" w:color="auto"/>
        <w:bottom w:val="none" w:sz="0" w:space="0" w:color="auto"/>
        <w:right w:val="none" w:sz="0" w:space="0" w:color="auto"/>
      </w:divBdr>
    </w:div>
    <w:div w:id="694771215">
      <w:bodyDiv w:val="1"/>
      <w:marLeft w:val="0"/>
      <w:marRight w:val="0"/>
      <w:marTop w:val="0"/>
      <w:marBottom w:val="0"/>
      <w:divBdr>
        <w:top w:val="none" w:sz="0" w:space="0" w:color="auto"/>
        <w:left w:val="none" w:sz="0" w:space="0" w:color="auto"/>
        <w:bottom w:val="none" w:sz="0" w:space="0" w:color="auto"/>
        <w:right w:val="none" w:sz="0" w:space="0" w:color="auto"/>
      </w:divBdr>
    </w:div>
    <w:div w:id="703290956">
      <w:bodyDiv w:val="1"/>
      <w:marLeft w:val="0"/>
      <w:marRight w:val="0"/>
      <w:marTop w:val="0"/>
      <w:marBottom w:val="0"/>
      <w:divBdr>
        <w:top w:val="none" w:sz="0" w:space="0" w:color="auto"/>
        <w:left w:val="none" w:sz="0" w:space="0" w:color="auto"/>
        <w:bottom w:val="none" w:sz="0" w:space="0" w:color="auto"/>
        <w:right w:val="none" w:sz="0" w:space="0" w:color="auto"/>
      </w:divBdr>
    </w:div>
    <w:div w:id="731464202">
      <w:bodyDiv w:val="1"/>
      <w:marLeft w:val="0"/>
      <w:marRight w:val="0"/>
      <w:marTop w:val="0"/>
      <w:marBottom w:val="0"/>
      <w:divBdr>
        <w:top w:val="none" w:sz="0" w:space="0" w:color="auto"/>
        <w:left w:val="none" w:sz="0" w:space="0" w:color="auto"/>
        <w:bottom w:val="none" w:sz="0" w:space="0" w:color="auto"/>
        <w:right w:val="none" w:sz="0" w:space="0" w:color="auto"/>
      </w:divBdr>
    </w:div>
    <w:div w:id="757753229">
      <w:bodyDiv w:val="1"/>
      <w:marLeft w:val="0"/>
      <w:marRight w:val="0"/>
      <w:marTop w:val="0"/>
      <w:marBottom w:val="0"/>
      <w:divBdr>
        <w:top w:val="none" w:sz="0" w:space="0" w:color="auto"/>
        <w:left w:val="none" w:sz="0" w:space="0" w:color="auto"/>
        <w:bottom w:val="none" w:sz="0" w:space="0" w:color="auto"/>
        <w:right w:val="none" w:sz="0" w:space="0" w:color="auto"/>
      </w:divBdr>
    </w:div>
    <w:div w:id="927496243">
      <w:bodyDiv w:val="1"/>
      <w:marLeft w:val="0"/>
      <w:marRight w:val="0"/>
      <w:marTop w:val="0"/>
      <w:marBottom w:val="0"/>
      <w:divBdr>
        <w:top w:val="none" w:sz="0" w:space="0" w:color="auto"/>
        <w:left w:val="none" w:sz="0" w:space="0" w:color="auto"/>
        <w:bottom w:val="none" w:sz="0" w:space="0" w:color="auto"/>
        <w:right w:val="none" w:sz="0" w:space="0" w:color="auto"/>
      </w:divBdr>
    </w:div>
    <w:div w:id="939525955">
      <w:bodyDiv w:val="1"/>
      <w:marLeft w:val="0"/>
      <w:marRight w:val="0"/>
      <w:marTop w:val="0"/>
      <w:marBottom w:val="0"/>
      <w:divBdr>
        <w:top w:val="none" w:sz="0" w:space="0" w:color="auto"/>
        <w:left w:val="none" w:sz="0" w:space="0" w:color="auto"/>
        <w:bottom w:val="none" w:sz="0" w:space="0" w:color="auto"/>
        <w:right w:val="none" w:sz="0" w:space="0" w:color="auto"/>
      </w:divBdr>
    </w:div>
    <w:div w:id="1088580483">
      <w:bodyDiv w:val="1"/>
      <w:marLeft w:val="0"/>
      <w:marRight w:val="0"/>
      <w:marTop w:val="0"/>
      <w:marBottom w:val="0"/>
      <w:divBdr>
        <w:top w:val="none" w:sz="0" w:space="0" w:color="auto"/>
        <w:left w:val="none" w:sz="0" w:space="0" w:color="auto"/>
        <w:bottom w:val="none" w:sz="0" w:space="0" w:color="auto"/>
        <w:right w:val="none" w:sz="0" w:space="0" w:color="auto"/>
      </w:divBdr>
    </w:div>
    <w:div w:id="1674648392">
      <w:bodyDiv w:val="1"/>
      <w:marLeft w:val="0"/>
      <w:marRight w:val="0"/>
      <w:marTop w:val="0"/>
      <w:marBottom w:val="0"/>
      <w:divBdr>
        <w:top w:val="none" w:sz="0" w:space="0" w:color="auto"/>
        <w:left w:val="none" w:sz="0" w:space="0" w:color="auto"/>
        <w:bottom w:val="none" w:sz="0" w:space="0" w:color="auto"/>
        <w:right w:val="none" w:sz="0" w:space="0" w:color="auto"/>
      </w:divBdr>
    </w:div>
    <w:div w:id="1988047208">
      <w:bodyDiv w:val="1"/>
      <w:marLeft w:val="0"/>
      <w:marRight w:val="0"/>
      <w:marTop w:val="0"/>
      <w:marBottom w:val="0"/>
      <w:divBdr>
        <w:top w:val="none" w:sz="0" w:space="0" w:color="auto"/>
        <w:left w:val="none" w:sz="0" w:space="0" w:color="auto"/>
        <w:bottom w:val="none" w:sz="0" w:space="0" w:color="auto"/>
        <w:right w:val="none" w:sz="0" w:space="0" w:color="auto"/>
      </w:divBdr>
    </w:div>
    <w:div w:id="20134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1102022007" TargetMode="External"/><Relationship Id="rId1" Type="http://schemas.openxmlformats.org/officeDocument/2006/relationships/hyperlink" Target="https://www.riigiteataja.ee/akt/1011020220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CER REPORT">
  <a:themeElements>
    <a:clrScheme name="Custom">
      <a:dk1>
        <a:srgbClr val="000000"/>
      </a:dk1>
      <a:lt1>
        <a:srgbClr val="FFFFFF"/>
      </a:lt1>
      <a:dk2>
        <a:srgbClr val="004FEE"/>
      </a:dk2>
      <a:lt2>
        <a:srgbClr val="E6E6E6"/>
      </a:lt2>
      <a:accent1>
        <a:srgbClr val="73CDE1"/>
      </a:accent1>
      <a:accent2>
        <a:srgbClr val="FFE150"/>
      </a:accent2>
      <a:accent3>
        <a:srgbClr val="81F39C"/>
      </a:accent3>
      <a:accent4>
        <a:srgbClr val="BC9BDF"/>
      </a:accent4>
      <a:accent5>
        <a:srgbClr val="FC8585"/>
      </a:accent5>
      <a:accent6>
        <a:srgbClr val="FFB40E"/>
      </a:accent6>
      <a:hlink>
        <a:srgbClr val="004FEE"/>
      </a:hlink>
      <a:folHlink>
        <a:srgbClr val="004FE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ER" id="{FFB9CFEF-429C-A243-9D46-BD87242A3104}" vid="{F2EA19BF-5E4C-344F-999D-C09B93B92D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40C2F6E3D58449854A5B9BDE00DD6F" ma:contentTypeVersion="2" ma:contentTypeDescription="Create a new document." ma:contentTypeScope="" ma:versionID="fdecde5dc8b18ec60134a7f21926842b">
  <xsd:schema xmlns:xsd="http://www.w3.org/2001/XMLSchema" xmlns:xs="http://www.w3.org/2001/XMLSchema" xmlns:p="http://schemas.microsoft.com/office/2006/metadata/properties" xmlns:ns2="17a8d9bf-2cfd-4344-8616-4ef309ee7f54" targetNamespace="http://schemas.microsoft.com/office/2006/metadata/properties" ma:root="true" ma:fieldsID="4c4dbd529aefd2f41bf2e8b4325d5110" ns2:_="">
    <xsd:import namespace="17a8d9bf-2cfd-4344-8616-4ef309ee7f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8d9bf-2cfd-4344-8616-4ef309ee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C8F6E-8A17-4478-82B6-20A3DDA725CA}">
  <ds:schemaRefs>
    <ds:schemaRef ds:uri="http://schemas.openxmlformats.org/officeDocument/2006/bibliography"/>
  </ds:schemaRefs>
</ds:datastoreItem>
</file>

<file path=customXml/itemProps2.xml><?xml version="1.0" encoding="utf-8"?>
<ds:datastoreItem xmlns:ds="http://schemas.openxmlformats.org/officeDocument/2006/customXml" ds:itemID="{A285C11F-1514-46CB-8B9A-9C2DBBC0DD9A}"/>
</file>

<file path=customXml/itemProps3.xml><?xml version="1.0" encoding="utf-8"?>
<ds:datastoreItem xmlns:ds="http://schemas.openxmlformats.org/officeDocument/2006/customXml" ds:itemID="{9B3354A7-AE47-4E4B-8B7B-7D8A829DBF9F}"/>
</file>

<file path=customXml/itemProps4.xml><?xml version="1.0" encoding="utf-8"?>
<ds:datastoreItem xmlns:ds="http://schemas.openxmlformats.org/officeDocument/2006/customXml" ds:itemID="{0C197134-EE3C-4482-A549-5D51061FF847}"/>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2026-04-01T18:22:00Z</dcterms:created>
  <dcterms:modified xsi:type="dcterms:W3CDTF">2026-04-01T18:51:00Z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0x0101002A40C2F6E3D58449854A5B9BDE00DD6F</vt:lpwstr>
  </property>
</Properties>
</file>