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62FA64A8" w14:textId="77777777" w:rsidTr="00094BF0">
        <w:trPr>
          <w:trHeight w:hRule="exact" w:val="2353"/>
        </w:trPr>
        <w:tc>
          <w:tcPr>
            <w:tcW w:w="5062" w:type="dxa"/>
          </w:tcPr>
          <w:p w14:paraId="62FA649E"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62FA64CA" wp14:editId="62FA64C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62FA649F" w14:textId="77777777" w:rsidR="00EA42AE" w:rsidRPr="00B066FE" w:rsidRDefault="00EA42AE" w:rsidP="00B066FE">
            <w:pPr>
              <w:rPr>
                <w:sz w:val="20"/>
                <w:szCs w:val="20"/>
              </w:rPr>
            </w:pPr>
          </w:p>
          <w:p w14:paraId="62FA64A0" w14:textId="77777777" w:rsidR="00D35360" w:rsidRPr="00B066FE" w:rsidRDefault="00D35360" w:rsidP="00B066FE">
            <w:pPr>
              <w:rPr>
                <w:sz w:val="20"/>
                <w:szCs w:val="20"/>
              </w:rPr>
            </w:pPr>
          </w:p>
          <w:p w14:paraId="62FA64A1" w14:textId="77777777" w:rsidR="00D35360" w:rsidRPr="00B066FE" w:rsidRDefault="00D35360" w:rsidP="00B066FE">
            <w:pPr>
              <w:rPr>
                <w:sz w:val="20"/>
                <w:szCs w:val="20"/>
              </w:rPr>
            </w:pPr>
          </w:p>
          <w:p w14:paraId="62FA64A2" w14:textId="77777777" w:rsidR="00D35360" w:rsidRPr="00B066FE" w:rsidRDefault="00D35360" w:rsidP="00B066FE">
            <w:pPr>
              <w:rPr>
                <w:sz w:val="20"/>
                <w:szCs w:val="20"/>
              </w:rPr>
            </w:pPr>
          </w:p>
          <w:p w14:paraId="62FA64A3" w14:textId="77777777" w:rsidR="00D35360" w:rsidRPr="00B066FE" w:rsidRDefault="00D35360" w:rsidP="00B066FE">
            <w:pPr>
              <w:rPr>
                <w:sz w:val="20"/>
                <w:szCs w:val="20"/>
              </w:rPr>
            </w:pPr>
          </w:p>
          <w:p w14:paraId="62FA64A4" w14:textId="77777777" w:rsidR="00D35360" w:rsidRPr="00B066FE" w:rsidRDefault="00D35360" w:rsidP="00B066FE">
            <w:pPr>
              <w:rPr>
                <w:sz w:val="20"/>
                <w:szCs w:val="20"/>
              </w:rPr>
            </w:pPr>
          </w:p>
          <w:p w14:paraId="62FA64A5" w14:textId="77777777" w:rsidR="00D35360" w:rsidRPr="00B066FE" w:rsidRDefault="00D35360" w:rsidP="00B066FE">
            <w:pPr>
              <w:rPr>
                <w:sz w:val="20"/>
                <w:szCs w:val="20"/>
              </w:rPr>
            </w:pPr>
          </w:p>
          <w:p w14:paraId="62FA64A6" w14:textId="77777777" w:rsidR="00D35360" w:rsidRPr="00B066FE" w:rsidRDefault="00D35360" w:rsidP="00B066FE">
            <w:pPr>
              <w:rPr>
                <w:sz w:val="20"/>
                <w:szCs w:val="20"/>
              </w:rPr>
            </w:pPr>
          </w:p>
          <w:p w14:paraId="62FA64A7" w14:textId="77777777" w:rsidR="00D35360" w:rsidRPr="00B066FE" w:rsidRDefault="00D35360" w:rsidP="00B066FE">
            <w:pPr>
              <w:rPr>
                <w:sz w:val="20"/>
                <w:szCs w:val="20"/>
              </w:rPr>
            </w:pPr>
          </w:p>
        </w:tc>
      </w:tr>
      <w:tr w:rsidR="00EA42AE" w14:paraId="62FA64B2" w14:textId="77777777" w:rsidTr="00094BF0">
        <w:trPr>
          <w:trHeight w:hRule="exact" w:val="1531"/>
        </w:trPr>
        <w:tc>
          <w:tcPr>
            <w:tcW w:w="5062" w:type="dxa"/>
          </w:tcPr>
          <w:p w14:paraId="62FA64A9" w14:textId="77777777" w:rsidR="00EA42AE" w:rsidRDefault="00C16907" w:rsidP="00B066FE">
            <w:r>
              <w:t>MINISTRI MÄÄRUS</w:t>
            </w:r>
          </w:p>
        </w:tc>
        <w:tc>
          <w:tcPr>
            <w:tcW w:w="4010" w:type="dxa"/>
          </w:tcPr>
          <w:p w14:paraId="62FA64AA" w14:textId="77777777" w:rsidR="00EA42AE" w:rsidRDefault="00EA42AE" w:rsidP="00B066FE"/>
          <w:p w14:paraId="62FA64AB" w14:textId="77777777" w:rsidR="0009319A" w:rsidRDefault="0009319A" w:rsidP="00B066FE"/>
          <w:p w14:paraId="62FA64AC"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62FA64AF" w14:textId="77777777" w:rsidTr="000C6B61">
              <w:trPr>
                <w:trHeight w:val="281"/>
              </w:trPr>
              <w:tc>
                <w:tcPr>
                  <w:tcW w:w="1276" w:type="dxa"/>
                </w:tcPr>
                <w:p w14:paraId="62FA64AD" w14:textId="6F19A577" w:rsidR="00C16907" w:rsidRPr="00425DCB" w:rsidRDefault="00FE755F" w:rsidP="00C16907">
                  <w:pPr>
                    <w:ind w:left="-108" w:right="-108"/>
                    <w:rPr>
                      <w:rFonts w:eastAsia="Times New Roman" w:cs="Arial"/>
                    </w:rPr>
                  </w:pPr>
                  <w:r>
                    <w:rPr>
                      <w:rFonts w:eastAsia="Times New Roman" w:cs="Arial"/>
                    </w:rPr>
                    <w:fldChar w:fldCharType="begin"/>
                  </w:r>
                  <w:r w:rsidR="00CA498F">
                    <w:rPr>
                      <w:rFonts w:eastAsia="Times New Roman" w:cs="Arial"/>
                    </w:rPr>
                    <w:instrText xml:space="preserve"> delta_regDateTime  \* MERGEFORMAT</w:instrText>
                  </w:r>
                  <w:r>
                    <w:rPr>
                      <w:rFonts w:eastAsia="Times New Roman" w:cs="Arial"/>
                    </w:rPr>
                    <w:fldChar w:fldCharType="separate"/>
                  </w:r>
                  <w:r w:rsidR="00CA498F">
                    <w:rPr>
                      <w:rFonts w:eastAsia="Times New Roman" w:cs="Arial"/>
                    </w:rPr>
                    <w:t>22.09.2025</w:t>
                  </w:r>
                  <w:r>
                    <w:rPr>
                      <w:rFonts w:eastAsia="Times New Roman" w:cs="Arial"/>
                    </w:rPr>
                    <w:fldChar w:fldCharType="end"/>
                  </w:r>
                </w:p>
              </w:tc>
              <w:tc>
                <w:tcPr>
                  <w:tcW w:w="2689" w:type="dxa"/>
                </w:tcPr>
                <w:p w14:paraId="62FA64AE" w14:textId="4C6F92D4"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CA498F">
                    <w:rPr>
                      <w:rFonts w:eastAsia="Times New Roman" w:cs="Arial"/>
                    </w:rPr>
                    <w:instrText xml:space="preserve"> delta_regNumber  \* MERGEFORMAT</w:instrText>
                  </w:r>
                  <w:r w:rsidR="00FE755F">
                    <w:rPr>
                      <w:rFonts w:eastAsia="Times New Roman" w:cs="Arial"/>
                    </w:rPr>
                    <w:fldChar w:fldCharType="separate"/>
                  </w:r>
                  <w:r w:rsidR="00CA498F">
                    <w:rPr>
                      <w:rFonts w:eastAsia="Times New Roman" w:cs="Arial"/>
                    </w:rPr>
                    <w:t>52</w:t>
                  </w:r>
                  <w:r w:rsidR="00FE755F">
                    <w:rPr>
                      <w:rFonts w:eastAsia="Times New Roman" w:cs="Arial"/>
                    </w:rPr>
                    <w:fldChar w:fldCharType="end"/>
                  </w:r>
                </w:p>
              </w:tc>
            </w:tr>
          </w:tbl>
          <w:p w14:paraId="62FA64B0" w14:textId="77777777" w:rsidR="0009319A" w:rsidRDefault="0009319A" w:rsidP="00B066FE"/>
          <w:p w14:paraId="62FA64B1" w14:textId="77777777" w:rsidR="0009319A" w:rsidRDefault="0009319A" w:rsidP="00B066FE"/>
        </w:tc>
      </w:tr>
      <w:tr w:rsidR="00EA42AE" w:rsidRPr="002534CF" w14:paraId="62FA64B7" w14:textId="77777777" w:rsidTr="00094BF0">
        <w:trPr>
          <w:trHeight w:val="624"/>
        </w:trPr>
        <w:tc>
          <w:tcPr>
            <w:tcW w:w="5062" w:type="dxa"/>
          </w:tcPr>
          <w:p w14:paraId="7FFB52AA" w14:textId="1A658C5C" w:rsidR="00FE4683" w:rsidRPr="005A01CA" w:rsidRDefault="004E375D" w:rsidP="005A01CA">
            <w:pPr>
              <w:rPr>
                <w:b/>
                <w:bCs/>
              </w:rPr>
            </w:pPr>
            <w:r>
              <w:rPr>
                <w:b/>
                <w:bCs/>
              </w:rPr>
              <w:t>Kliiniliste uuringute</w:t>
            </w:r>
            <w:r w:rsidR="005A01CA" w:rsidRPr="005A01CA">
              <w:rPr>
                <w:b/>
                <w:bCs/>
              </w:rPr>
              <w:t xml:space="preserve"> eetikakomitee</w:t>
            </w:r>
          </w:p>
          <w:p w14:paraId="62FA64B5" w14:textId="5DD6BB6C" w:rsidR="005A01CA" w:rsidRPr="002534CF" w:rsidRDefault="005A01CA" w:rsidP="005A01CA">
            <w:pPr>
              <w:rPr>
                <w:rFonts w:cs="Arial"/>
              </w:rPr>
            </w:pPr>
          </w:p>
        </w:tc>
        <w:tc>
          <w:tcPr>
            <w:tcW w:w="4010" w:type="dxa"/>
          </w:tcPr>
          <w:p w14:paraId="62FA64B6" w14:textId="77777777" w:rsidR="00EA42AE" w:rsidRPr="002534CF" w:rsidRDefault="00EA42AE" w:rsidP="00B066FE"/>
        </w:tc>
      </w:tr>
    </w:tbl>
    <w:p w14:paraId="62FA64B8" w14:textId="5924BB35" w:rsidR="00094BF0" w:rsidRPr="005A01CA" w:rsidRDefault="005A01CA" w:rsidP="005A01CA">
      <w:pPr>
        <w:jc w:val="both"/>
      </w:pPr>
      <w:r>
        <w:t>Määrus kehtestatakse ravimiseaduse § 99</w:t>
      </w:r>
      <w:r w:rsidRPr="0022416B">
        <w:rPr>
          <w:vertAlign w:val="superscript"/>
        </w:rPr>
        <w:t>2</w:t>
      </w:r>
      <w:r>
        <w:t xml:space="preserve"> lõike 6 ja meditsiiniseadme seaduse § 21</w:t>
      </w:r>
      <w:r w:rsidRPr="000A5595">
        <w:rPr>
          <w:vertAlign w:val="superscript"/>
        </w:rPr>
        <w:t>3</w:t>
      </w:r>
      <w:r>
        <w:t xml:space="preserve"> lõike 5 alusel.</w:t>
      </w:r>
    </w:p>
    <w:p w14:paraId="62FA64B9" w14:textId="77777777" w:rsidR="007352AA" w:rsidRDefault="007352AA" w:rsidP="00094BF0">
      <w:pPr>
        <w:rPr>
          <w:rFonts w:cs="Arial"/>
        </w:rPr>
      </w:pPr>
    </w:p>
    <w:p w14:paraId="7A7314EA" w14:textId="77777777" w:rsidR="005A01CA" w:rsidRDefault="005A01CA" w:rsidP="005A01CA">
      <w:pPr>
        <w:rPr>
          <w:b/>
          <w:bCs/>
        </w:rPr>
      </w:pPr>
      <w:r w:rsidRPr="00D36EBA">
        <w:rPr>
          <w:b/>
          <w:bCs/>
        </w:rPr>
        <w:t>§ 1. Reguleerimisala</w:t>
      </w:r>
    </w:p>
    <w:p w14:paraId="2BF6604D" w14:textId="77777777" w:rsidR="005A01CA" w:rsidRPr="00D36EBA" w:rsidRDefault="005A01CA" w:rsidP="005A01CA">
      <w:pPr>
        <w:jc w:val="both"/>
        <w:rPr>
          <w:b/>
          <w:bCs/>
        </w:rPr>
      </w:pPr>
    </w:p>
    <w:p w14:paraId="25D9373A" w14:textId="77777777" w:rsidR="005A01CA" w:rsidRDefault="005A01CA" w:rsidP="005A01CA">
      <w:pPr>
        <w:jc w:val="both"/>
      </w:pPr>
      <w:r>
        <w:t xml:space="preserve">Määrusega kehtestatakse ravimi ja meditsiiniseadme kliiniliste uuringute ja </w:t>
      </w:r>
      <w:r w:rsidRPr="4C98CAD4">
        <w:rPr>
          <w:i/>
          <w:iCs/>
        </w:rPr>
        <w:t xml:space="preserve">in </w:t>
      </w:r>
      <w:proofErr w:type="spellStart"/>
      <w:r w:rsidRPr="4C98CAD4">
        <w:rPr>
          <w:i/>
          <w:iCs/>
        </w:rPr>
        <w:t>vitro</w:t>
      </w:r>
      <w:proofErr w:type="spellEnd"/>
      <w:r>
        <w:t xml:space="preserve"> diagnostikameditsiiniseadme toimivusuuringute (edaspidi </w:t>
      </w:r>
      <w:r w:rsidRPr="003F711D">
        <w:rPr>
          <w:i/>
          <w:iCs/>
        </w:rPr>
        <w:t>uuring</w:t>
      </w:r>
      <w:r>
        <w:t xml:space="preserve">) eetikakomitee (edaspidi koos </w:t>
      </w:r>
      <w:r w:rsidRPr="003F711D">
        <w:rPr>
          <w:i/>
          <w:iCs/>
        </w:rPr>
        <w:t>eetikakomitee</w:t>
      </w:r>
      <w:r>
        <w:t>) töökord, liikmete arv, koosseisu määramise kord ja liikmete volituste tähtaeg.</w:t>
      </w:r>
    </w:p>
    <w:p w14:paraId="192869F7" w14:textId="77777777" w:rsidR="005A01CA" w:rsidRDefault="005A01CA" w:rsidP="005A01CA"/>
    <w:p w14:paraId="3E75DD8E" w14:textId="77777777" w:rsidR="005A01CA" w:rsidRDefault="005A01CA" w:rsidP="005A01CA">
      <w:pPr>
        <w:rPr>
          <w:b/>
          <w:bCs/>
        </w:rPr>
      </w:pPr>
      <w:r w:rsidRPr="00430D8C">
        <w:rPr>
          <w:b/>
          <w:bCs/>
        </w:rPr>
        <w:t>§ 2. Eetikakomitee liikmete arv, koosseisu määramine ja volituste tähtaeg</w:t>
      </w:r>
    </w:p>
    <w:p w14:paraId="4AC16C99" w14:textId="77777777" w:rsidR="005A01CA" w:rsidRPr="00430D8C" w:rsidRDefault="005A01CA" w:rsidP="005A01CA">
      <w:pPr>
        <w:rPr>
          <w:b/>
          <w:bCs/>
        </w:rPr>
      </w:pPr>
    </w:p>
    <w:p w14:paraId="79700584" w14:textId="77777777" w:rsidR="005A01CA" w:rsidRDefault="005A01CA" w:rsidP="005A01CA">
      <w:pPr>
        <w:jc w:val="both"/>
      </w:pPr>
      <w:r>
        <w:t xml:space="preserve">(1) Eetikakomitee koosseisu kuulub vähemalt kuus liiget, kellel on asjakohane kvalifikatsioon ja kogemus kõigis eetikakomitee pädevusse kuuluvates hindamisvaldkondades. Iga uuringu taotluse hindamises peavad </w:t>
      </w:r>
      <w:r w:rsidRPr="001B39CC">
        <w:t>osalema</w:t>
      </w:r>
      <w:r>
        <w:t xml:space="preserve"> vähemalt üks vastava ravimi, meditsiiniseadme või </w:t>
      </w:r>
      <w:r w:rsidRPr="00897A81">
        <w:rPr>
          <w:i/>
          <w:iCs/>
        </w:rPr>
        <w:t xml:space="preserve">in </w:t>
      </w:r>
      <w:proofErr w:type="spellStart"/>
      <w:r w:rsidRPr="00897A81">
        <w:rPr>
          <w:i/>
          <w:iCs/>
        </w:rPr>
        <w:t>vitro</w:t>
      </w:r>
      <w:proofErr w:type="spellEnd"/>
      <w:r>
        <w:t xml:space="preserve"> diagnostikameditsiiniseadme tavakasutaja ja vähemalt üks uuringukeskusest sõltumatu isik.</w:t>
      </w:r>
    </w:p>
    <w:p w14:paraId="59909449" w14:textId="77777777" w:rsidR="005A01CA" w:rsidRDefault="005A01CA" w:rsidP="005A01CA">
      <w:pPr>
        <w:jc w:val="both"/>
      </w:pPr>
    </w:p>
    <w:p w14:paraId="1A958DC3" w14:textId="77777777" w:rsidR="005A01CA" w:rsidRDefault="005A01CA" w:rsidP="005A01CA">
      <w:pPr>
        <w:jc w:val="both"/>
      </w:pPr>
      <w:r>
        <w:t>(2) Uuringus meditsiinikiirituse kasutamise korral peab eetikakomitee uuringu hindamisse kaasama meditsiinifüüsika eksperdi kiirgusseaduse tähenduses ja meditsiinikiirituse valdkonna asjaomase arsti.</w:t>
      </w:r>
    </w:p>
    <w:p w14:paraId="766C3220" w14:textId="77777777" w:rsidR="005A01CA" w:rsidRDefault="005A01CA" w:rsidP="005A01CA">
      <w:pPr>
        <w:jc w:val="both"/>
      </w:pPr>
    </w:p>
    <w:p w14:paraId="2FCBEFFC" w14:textId="77777777" w:rsidR="005A01CA" w:rsidRDefault="005A01CA" w:rsidP="005A01CA">
      <w:pPr>
        <w:jc w:val="both"/>
      </w:pPr>
      <w:r>
        <w:t xml:space="preserve">(3) </w:t>
      </w:r>
      <w:r w:rsidRPr="00F70B63">
        <w:t xml:space="preserve">Eetikakomitee võib uuringu hindamisse kaasata eksperte. Ekspertide kaasamise vajadust tuleb kaaluda juhul, kui hinnatakse uuringut, mis hõlmab erakorralise abi olukorras osalejaid, alaealisi, piiratud teovõimega isikuid, rasedaid ja imetavaid naisi, ning kui see on asjakohane, muid kindlaksmääratud </w:t>
      </w:r>
      <w:proofErr w:type="spellStart"/>
      <w:r w:rsidRPr="00F70B63">
        <w:t>elanikerühmi</w:t>
      </w:r>
      <w:proofErr w:type="spellEnd"/>
      <w:r w:rsidRPr="00F70B63">
        <w:t>, nagu eakad ja harvikhaigusi põdevad inimesed</w:t>
      </w:r>
      <w:r>
        <w:t>.</w:t>
      </w:r>
    </w:p>
    <w:p w14:paraId="3DC261DA" w14:textId="77777777" w:rsidR="005A01CA" w:rsidRDefault="005A01CA" w:rsidP="005A01CA">
      <w:pPr>
        <w:jc w:val="both"/>
      </w:pPr>
    </w:p>
    <w:p w14:paraId="6530B0B9" w14:textId="77777777" w:rsidR="005A01CA" w:rsidRDefault="005A01CA" w:rsidP="005A01CA">
      <w:pPr>
        <w:jc w:val="both"/>
      </w:pPr>
      <w:r>
        <w:t>(4) Eetikakomitee koosseisu nimetatud liikmete volituste tähtaeg on kolm aastat.</w:t>
      </w:r>
    </w:p>
    <w:p w14:paraId="17F8A2D2" w14:textId="77777777" w:rsidR="005A01CA" w:rsidRDefault="005A01CA" w:rsidP="005A01CA"/>
    <w:p w14:paraId="388AFE33" w14:textId="77777777" w:rsidR="005A01CA" w:rsidRDefault="005A01CA" w:rsidP="005A01CA">
      <w:pPr>
        <w:rPr>
          <w:b/>
          <w:bCs/>
        </w:rPr>
      </w:pPr>
      <w:r w:rsidRPr="00430D8C">
        <w:rPr>
          <w:b/>
          <w:bCs/>
        </w:rPr>
        <w:t>§ 3. Eetikakomitee töökord</w:t>
      </w:r>
    </w:p>
    <w:p w14:paraId="4746AEF0" w14:textId="77777777" w:rsidR="005A01CA" w:rsidRPr="00430D8C" w:rsidRDefault="005A01CA" w:rsidP="005A01CA">
      <w:pPr>
        <w:rPr>
          <w:b/>
          <w:bCs/>
        </w:rPr>
      </w:pPr>
    </w:p>
    <w:p w14:paraId="7DB200CE" w14:textId="77777777" w:rsidR="005A01CA" w:rsidRDefault="005A01CA" w:rsidP="005A01CA">
      <w:pPr>
        <w:jc w:val="both"/>
      </w:pPr>
      <w:r>
        <w:t>(1) Eetikakomitee töökorra, sealhulgas liikmete ülesanded taotluste menetlemisel ja töökorralduslikud tähtajad, kinnitab Ravimiamet. Töökord avalikustatakse Ravimiameti veebilehel.</w:t>
      </w:r>
    </w:p>
    <w:p w14:paraId="30D5D3F3" w14:textId="77777777" w:rsidR="005A01CA" w:rsidRDefault="005A01CA" w:rsidP="005A01CA"/>
    <w:p w14:paraId="1630E786" w14:textId="77777777" w:rsidR="005A01CA" w:rsidRDefault="005A01CA" w:rsidP="005A01CA">
      <w:pPr>
        <w:jc w:val="both"/>
      </w:pPr>
      <w:r>
        <w:t>(2) Eetikakomitee liikmel ja kaasatud eksperdil on kohustus taandada end taotluse hindamisest, kui ta ei saa oma tegevuses olla sõltumatu või kui konkreetse taotluse puhul esineb huvide konflikt.</w:t>
      </w:r>
    </w:p>
    <w:p w14:paraId="6D2EB5C7" w14:textId="77777777" w:rsidR="005A01CA" w:rsidRDefault="005A01CA" w:rsidP="005A01CA">
      <w:pPr>
        <w:jc w:val="both"/>
      </w:pPr>
    </w:p>
    <w:p w14:paraId="340072AE" w14:textId="63B31AD3" w:rsidR="005A01CA" w:rsidRDefault="00524A84" w:rsidP="005A01CA">
      <w:pPr>
        <w:jc w:val="both"/>
      </w:pPr>
      <w:r>
        <w:lastRenderedPageBreak/>
        <w:t xml:space="preserve">(3) </w:t>
      </w:r>
      <w:r w:rsidR="005A01CA">
        <w:t>Huvide konflikti eeldatakse eelkõige järgmiste asjaolude esinemisel:</w:t>
      </w:r>
    </w:p>
    <w:p w14:paraId="103C3988" w14:textId="77777777" w:rsidR="005A01CA" w:rsidRDefault="005A01CA" w:rsidP="005A01CA">
      <w:pPr>
        <w:jc w:val="both"/>
      </w:pPr>
      <w:r>
        <w:t>1) sugulus või hõimlus sponsoriga, kelle taotlust hinnatakse;</w:t>
      </w:r>
    </w:p>
    <w:p w14:paraId="7177D259" w14:textId="77777777" w:rsidR="005A01CA" w:rsidRDefault="005A01CA" w:rsidP="005A01CA">
      <w:pPr>
        <w:jc w:val="both"/>
      </w:pPr>
      <w:r>
        <w:t>2) majanduslik huvi taotluse hindamise lõpptulemuste suhtes;</w:t>
      </w:r>
    </w:p>
    <w:p w14:paraId="1CCD8629" w14:textId="77777777" w:rsidR="005A01CA" w:rsidRDefault="005A01CA" w:rsidP="005A01CA">
      <w:pPr>
        <w:jc w:val="both"/>
      </w:pPr>
      <w:r>
        <w:t>3) seotus sponsoriga, kelle taotlust hinnatakse;</w:t>
      </w:r>
    </w:p>
    <w:p w14:paraId="13A0A70B" w14:textId="77777777" w:rsidR="005A01CA" w:rsidRDefault="005A01CA" w:rsidP="005A01CA">
      <w:pPr>
        <w:jc w:val="both"/>
      </w:pPr>
      <w:r>
        <w:t>4) seotus uuringut tegeva üksusega;</w:t>
      </w:r>
    </w:p>
    <w:p w14:paraId="153503CD" w14:textId="492ADA7B" w:rsidR="005A01CA" w:rsidRDefault="005A01CA" w:rsidP="005A01CA">
      <w:pPr>
        <w:jc w:val="both"/>
      </w:pPr>
      <w:r>
        <w:t xml:space="preserve">5) mistahes muu asjaolu, mille tulemusena võib tekkida põhjendatud kahtlus </w:t>
      </w:r>
      <w:r w:rsidR="00524A84">
        <w:t xml:space="preserve">hindamise </w:t>
      </w:r>
      <w:r>
        <w:t>objektiivsuses.</w:t>
      </w:r>
    </w:p>
    <w:p w14:paraId="2DDF88CB" w14:textId="77777777" w:rsidR="005A01CA" w:rsidRDefault="005A01CA" w:rsidP="005A01CA"/>
    <w:p w14:paraId="738FABDC" w14:textId="1204C555" w:rsidR="005A01CA" w:rsidRDefault="005A01CA" w:rsidP="005A01CA">
      <w:pPr>
        <w:rPr>
          <w:b/>
          <w:bCs/>
        </w:rPr>
      </w:pPr>
      <w:r w:rsidRPr="004A4723">
        <w:rPr>
          <w:b/>
          <w:bCs/>
        </w:rPr>
        <w:t xml:space="preserve">§ 4. </w:t>
      </w:r>
      <w:r w:rsidR="006F1197">
        <w:rPr>
          <w:b/>
          <w:bCs/>
        </w:rPr>
        <w:t>Määruste k</w:t>
      </w:r>
      <w:r w:rsidRPr="004A4723">
        <w:rPr>
          <w:b/>
          <w:bCs/>
        </w:rPr>
        <w:t>ehtetuks tunnistamine</w:t>
      </w:r>
    </w:p>
    <w:p w14:paraId="69C10823" w14:textId="77777777" w:rsidR="005A01CA" w:rsidRPr="004A4723" w:rsidRDefault="005A01CA" w:rsidP="005A01CA">
      <w:pPr>
        <w:rPr>
          <w:b/>
          <w:bCs/>
        </w:rPr>
      </w:pPr>
    </w:p>
    <w:p w14:paraId="2D62123D" w14:textId="16B222E5" w:rsidR="005A01CA" w:rsidRDefault="005A01CA" w:rsidP="005A01CA">
      <w:pPr>
        <w:jc w:val="both"/>
      </w:pPr>
      <w:r>
        <w:t xml:space="preserve">Tervise- ja tööministri 14. jaanuari 2022. a määrus nr 8 „Sõltumatu eetikakomitee“ </w:t>
      </w:r>
      <w:r w:rsidR="00FF1AAE">
        <w:t>(</w:t>
      </w:r>
      <w:r w:rsidR="00FF1AAE" w:rsidRPr="00FF1AAE">
        <w:t>RT I, 03.01.2023, 6</w:t>
      </w:r>
      <w:r w:rsidR="00FF1AAE">
        <w:t>) ning</w:t>
      </w:r>
      <w:r>
        <w:t xml:space="preserve"> tervise- ja tööministri 19. jaanuari 2022. a määrus nr 10 „Ravimi kliiniliste uuringute eetikakomitee“ </w:t>
      </w:r>
      <w:r w:rsidR="00596EED">
        <w:t>(</w:t>
      </w:r>
      <w:r w:rsidR="00596EED" w:rsidRPr="00596EED">
        <w:t>RT I, 22.01.2022, 7</w:t>
      </w:r>
      <w:r w:rsidR="00596EED">
        <w:t xml:space="preserve">) </w:t>
      </w:r>
      <w:r>
        <w:t>tunnistatakse kehtetuks.</w:t>
      </w:r>
    </w:p>
    <w:p w14:paraId="26627ABD" w14:textId="77777777" w:rsidR="005A01CA" w:rsidRDefault="005A01CA" w:rsidP="005A01CA"/>
    <w:p w14:paraId="2B0B7090" w14:textId="77777777" w:rsidR="005A01CA" w:rsidRDefault="005A01CA" w:rsidP="005A01CA">
      <w:pPr>
        <w:rPr>
          <w:b/>
          <w:bCs/>
        </w:rPr>
      </w:pPr>
      <w:r w:rsidRPr="004A4723">
        <w:rPr>
          <w:b/>
          <w:bCs/>
        </w:rPr>
        <w:t>§ 5. Määruse jõustumine</w:t>
      </w:r>
    </w:p>
    <w:p w14:paraId="70EA1E39" w14:textId="77777777" w:rsidR="005A01CA" w:rsidRPr="004A4723" w:rsidRDefault="005A01CA" w:rsidP="005A01CA">
      <w:pPr>
        <w:rPr>
          <w:b/>
          <w:bCs/>
        </w:rPr>
      </w:pPr>
    </w:p>
    <w:p w14:paraId="60966FB5" w14:textId="6CDF65B8" w:rsidR="005A01CA" w:rsidRDefault="006562CB" w:rsidP="005A01CA">
      <w:r>
        <w:t>M</w:t>
      </w:r>
      <w:r w:rsidR="005A01CA">
        <w:t>äärus jõustub 1. oktoobril 2025. a.</w:t>
      </w:r>
    </w:p>
    <w:p w14:paraId="62FA64BA" w14:textId="4385AE0E" w:rsidR="007352AA" w:rsidRDefault="007352AA" w:rsidP="00094BF0">
      <w:pPr>
        <w:rPr>
          <w:rFonts w:cs="Arial"/>
        </w:rPr>
      </w:pPr>
    </w:p>
    <w:p w14:paraId="62FA64BB" w14:textId="77777777" w:rsidR="00CC5B01" w:rsidRDefault="00CC5B01" w:rsidP="00094BF0">
      <w:pPr>
        <w:rPr>
          <w:rFonts w:cs="Arial"/>
        </w:rPr>
      </w:pPr>
    </w:p>
    <w:p w14:paraId="62FA64BC" w14:textId="77777777" w:rsidR="001D53AE" w:rsidRDefault="001D53AE" w:rsidP="00094BF0">
      <w:pPr>
        <w:rPr>
          <w:rFonts w:cs="Arial"/>
        </w:rPr>
        <w:sectPr w:rsidR="001D53AE" w:rsidSect="00E52553">
          <w:headerReference w:type="default" r:id="rId7"/>
          <w:pgSz w:w="11907" w:h="16839" w:code="9"/>
          <w:pgMar w:top="907" w:right="1021" w:bottom="1418" w:left="1814" w:header="709" w:footer="709" w:gutter="0"/>
          <w:cols w:space="708"/>
          <w:formProt w:val="0"/>
          <w:titlePg/>
          <w:docGrid w:linePitch="360"/>
        </w:sectPr>
      </w:pPr>
    </w:p>
    <w:p w14:paraId="62FA64BD" w14:textId="77777777" w:rsidR="00CC5B01" w:rsidRDefault="00CC5B01" w:rsidP="00094BF0">
      <w:pPr>
        <w:rPr>
          <w:rFonts w:cs="Arial"/>
        </w:rPr>
      </w:pPr>
    </w:p>
    <w:p w14:paraId="62FA64C0" w14:textId="77777777" w:rsidR="00CC5B01" w:rsidRDefault="00CC5B01" w:rsidP="00094BF0">
      <w:pPr>
        <w:rPr>
          <w:rFonts w:cs="Arial"/>
        </w:rPr>
      </w:pPr>
    </w:p>
    <w:p w14:paraId="62FA64C1" w14:textId="406E2D85" w:rsidR="00E57228" w:rsidRDefault="007C0F7C" w:rsidP="00E57228">
      <w:pPr>
        <w:rPr>
          <w:rFonts w:cs="Arial"/>
        </w:rPr>
      </w:pPr>
      <w:r>
        <w:rPr>
          <w:rFonts w:cs="Arial"/>
        </w:rPr>
        <w:t>(allkirjastatud digitaalselt)</w:t>
      </w:r>
    </w:p>
    <w:p w14:paraId="62FA64C2" w14:textId="6B6E3D64" w:rsidR="007B2940" w:rsidRDefault="00E57228" w:rsidP="00094BF0">
      <w:pPr>
        <w:rPr>
          <w:rFonts w:cs="Arial"/>
        </w:rPr>
      </w:pPr>
      <w:r>
        <w:rPr>
          <w:rFonts w:cs="Arial"/>
        </w:rPr>
        <w:fldChar w:fldCharType="begin"/>
      </w:r>
      <w:r w:rsidR="00CA498F">
        <w:rPr>
          <w:rFonts w:cs="Arial"/>
        </w:rPr>
        <w:instrText xml:space="preserve"> delta_signerName  \* MERGEFORMAT</w:instrText>
      </w:r>
      <w:r>
        <w:rPr>
          <w:rFonts w:cs="Arial"/>
        </w:rPr>
        <w:fldChar w:fldCharType="separate"/>
      </w:r>
      <w:r w:rsidR="00CA498F">
        <w:rPr>
          <w:rFonts w:cs="Arial"/>
        </w:rPr>
        <w:t xml:space="preserve">Karmen </w:t>
      </w:r>
      <w:proofErr w:type="spellStart"/>
      <w:r w:rsidR="00CA498F">
        <w:rPr>
          <w:rFonts w:cs="Arial"/>
        </w:rPr>
        <w:t>Joller</w:t>
      </w:r>
      <w:proofErr w:type="spellEnd"/>
      <w:r>
        <w:rPr>
          <w:rFonts w:cs="Arial"/>
        </w:rPr>
        <w:fldChar w:fldCharType="end"/>
      </w:r>
    </w:p>
    <w:p w14:paraId="62FA64C3" w14:textId="58650585" w:rsidR="007C0F7C" w:rsidRDefault="00E57228" w:rsidP="00094BF0">
      <w:pPr>
        <w:rPr>
          <w:rFonts w:cs="Arial"/>
        </w:rPr>
      </w:pPr>
      <w:r>
        <w:rPr>
          <w:rFonts w:cs="Arial"/>
        </w:rPr>
        <w:fldChar w:fldCharType="begin"/>
      </w:r>
      <w:r w:rsidR="00CA498F">
        <w:rPr>
          <w:rFonts w:cs="Arial"/>
        </w:rPr>
        <w:instrText xml:space="preserve"> delta_signerJobTitle  \* MERGEFORMAT</w:instrText>
      </w:r>
      <w:r>
        <w:rPr>
          <w:rFonts w:cs="Arial"/>
        </w:rPr>
        <w:fldChar w:fldCharType="separate"/>
      </w:r>
      <w:r w:rsidR="00CA498F">
        <w:rPr>
          <w:rFonts w:cs="Arial"/>
        </w:rPr>
        <w:t>sotsiaalminister</w:t>
      </w:r>
      <w:r>
        <w:rPr>
          <w:rFonts w:cs="Arial"/>
        </w:rPr>
        <w:fldChar w:fldCharType="end"/>
      </w:r>
    </w:p>
    <w:p w14:paraId="62FA64C4" w14:textId="77777777" w:rsidR="007B2940" w:rsidRDefault="007B2940" w:rsidP="00B066FE">
      <w:pPr>
        <w:rPr>
          <w:rFonts w:cs="Arial"/>
        </w:rPr>
      </w:pPr>
    </w:p>
    <w:p w14:paraId="62FA64C5" w14:textId="2AB1C64F" w:rsidR="00E52553" w:rsidRDefault="00100F1A" w:rsidP="00B066FE">
      <w:r>
        <w:rPr>
          <w:rFonts w:cs="Arial"/>
        </w:rPr>
        <w:br/>
      </w:r>
      <w:r w:rsidR="007B2940">
        <w:rPr>
          <w:rFonts w:cs="Arial"/>
        </w:rPr>
        <w:t>(allkirjastatud digitaalselt)</w:t>
      </w:r>
    </w:p>
    <w:p w14:paraId="62FA64C6"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62FA64C7" w14:textId="0A06ACB5" w:rsidR="007B2940" w:rsidRDefault="008476E5" w:rsidP="007B2940">
      <w:pPr>
        <w:rPr>
          <w:rFonts w:cs="Arial"/>
        </w:rPr>
      </w:pPr>
      <w:r>
        <w:rPr>
          <w:rFonts w:cs="Arial"/>
        </w:rPr>
        <w:fldChar w:fldCharType="begin"/>
      </w:r>
      <w:r w:rsidR="00CA498F">
        <w:rPr>
          <w:rFonts w:cs="Arial"/>
        </w:rPr>
        <w:instrText xml:space="preserve"> delta_secondsignerName  \* MERGEFORMAT</w:instrText>
      </w:r>
      <w:r>
        <w:rPr>
          <w:rFonts w:cs="Arial"/>
        </w:rPr>
        <w:fldChar w:fldCharType="separate"/>
      </w:r>
      <w:proofErr w:type="spellStart"/>
      <w:r w:rsidR="00CA498F">
        <w:rPr>
          <w:rFonts w:cs="Arial"/>
        </w:rPr>
        <w:t>Maarjo</w:t>
      </w:r>
      <w:proofErr w:type="spellEnd"/>
      <w:r w:rsidR="00CA498F">
        <w:rPr>
          <w:rFonts w:cs="Arial"/>
        </w:rPr>
        <w:t xml:space="preserve"> Mändmaa</w:t>
      </w:r>
      <w:r>
        <w:rPr>
          <w:rFonts w:cs="Arial"/>
        </w:rPr>
        <w:fldChar w:fldCharType="end"/>
      </w:r>
    </w:p>
    <w:p w14:paraId="62FA64C8" w14:textId="5B8FF431" w:rsidR="008476E5" w:rsidRDefault="008476E5" w:rsidP="007B2940">
      <w:pPr>
        <w:rPr>
          <w:rFonts w:cs="Arial"/>
        </w:rPr>
      </w:pPr>
      <w:r>
        <w:rPr>
          <w:rFonts w:cs="Arial"/>
        </w:rPr>
        <w:fldChar w:fldCharType="begin"/>
      </w:r>
      <w:r w:rsidR="00CA498F">
        <w:rPr>
          <w:rFonts w:cs="Arial"/>
        </w:rPr>
        <w:instrText xml:space="preserve"> delta_secondsignerJobTitle  \* MERGEFORMAT</w:instrText>
      </w:r>
      <w:r>
        <w:rPr>
          <w:rFonts w:cs="Arial"/>
        </w:rPr>
        <w:fldChar w:fldCharType="separate"/>
      </w:r>
      <w:r w:rsidR="00CA498F">
        <w:rPr>
          <w:rFonts w:cs="Arial"/>
        </w:rPr>
        <w:t>kantsler</w:t>
      </w:r>
      <w:r>
        <w:rPr>
          <w:rFonts w:cs="Arial"/>
        </w:rPr>
        <w:fldChar w:fldCharType="end"/>
      </w:r>
      <w:r w:rsidR="00CA498F">
        <w:rPr>
          <w:rFonts w:cs="Arial"/>
        </w:rPr>
        <w:t xml:space="preserve"> </w:t>
      </w:r>
    </w:p>
    <w:p w14:paraId="62FA64C9" w14:textId="77777777" w:rsidR="00E52553" w:rsidRPr="00805BB9" w:rsidRDefault="00E52553" w:rsidP="00B066FE"/>
    <w:sectPr w:rsidR="00E52553" w:rsidRPr="00805BB9"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64CE" w14:textId="77777777" w:rsidR="00B45145" w:rsidRDefault="00B45145" w:rsidP="00E52553">
      <w:r>
        <w:separator/>
      </w:r>
    </w:p>
  </w:endnote>
  <w:endnote w:type="continuationSeparator" w:id="0">
    <w:p w14:paraId="62FA64CF" w14:textId="77777777" w:rsidR="00B45145" w:rsidRDefault="00B4514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64CC" w14:textId="77777777" w:rsidR="00B45145" w:rsidRDefault="00B45145" w:rsidP="00E52553">
      <w:r>
        <w:separator/>
      </w:r>
    </w:p>
  </w:footnote>
  <w:footnote w:type="continuationSeparator" w:id="0">
    <w:p w14:paraId="62FA64CD" w14:textId="77777777" w:rsidR="00B45145" w:rsidRDefault="00B4514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62FA64D0" w14:textId="77777777"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CA498F">
          <w:rPr>
            <w:noProof/>
            <w:sz w:val="20"/>
            <w:szCs w:val="20"/>
          </w:rPr>
          <w:t>2</w:t>
        </w:r>
        <w:r w:rsidRPr="00E52553">
          <w:rPr>
            <w:sz w:val="20"/>
            <w:szCs w:val="20"/>
          </w:rPr>
          <w:fldChar w:fldCharType="end"/>
        </w:r>
      </w:p>
    </w:sdtContent>
  </w:sdt>
  <w:p w14:paraId="62FA64D1" w14:textId="77777777" w:rsidR="00E52553" w:rsidRDefault="00E52553">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45"/>
    <w:rsid w:val="00070153"/>
    <w:rsid w:val="000725E2"/>
    <w:rsid w:val="0009319A"/>
    <w:rsid w:val="00094BF0"/>
    <w:rsid w:val="000C6B61"/>
    <w:rsid w:val="000D0B25"/>
    <w:rsid w:val="000D7732"/>
    <w:rsid w:val="000E125F"/>
    <w:rsid w:val="000E7648"/>
    <w:rsid w:val="000F26FA"/>
    <w:rsid w:val="00100F1A"/>
    <w:rsid w:val="00113F1F"/>
    <w:rsid w:val="00144C39"/>
    <w:rsid w:val="001604DB"/>
    <w:rsid w:val="001A0294"/>
    <w:rsid w:val="001D53AE"/>
    <w:rsid w:val="00202D28"/>
    <w:rsid w:val="00222719"/>
    <w:rsid w:val="002534CF"/>
    <w:rsid w:val="00293E8C"/>
    <w:rsid w:val="00293ECF"/>
    <w:rsid w:val="00311234"/>
    <w:rsid w:val="003925B0"/>
    <w:rsid w:val="003B3CE2"/>
    <w:rsid w:val="00433613"/>
    <w:rsid w:val="00436532"/>
    <w:rsid w:val="00437173"/>
    <w:rsid w:val="0048061D"/>
    <w:rsid w:val="00492545"/>
    <w:rsid w:val="004B013F"/>
    <w:rsid w:val="004E375D"/>
    <w:rsid w:val="00524A84"/>
    <w:rsid w:val="00567685"/>
    <w:rsid w:val="00587F56"/>
    <w:rsid w:val="00596EED"/>
    <w:rsid w:val="005A01CA"/>
    <w:rsid w:val="005B6FF3"/>
    <w:rsid w:val="00604C04"/>
    <w:rsid w:val="00610A9F"/>
    <w:rsid w:val="006305F8"/>
    <w:rsid w:val="006562CB"/>
    <w:rsid w:val="006F1197"/>
    <w:rsid w:val="007135C5"/>
    <w:rsid w:val="007325C5"/>
    <w:rsid w:val="007352AA"/>
    <w:rsid w:val="00760214"/>
    <w:rsid w:val="007B2940"/>
    <w:rsid w:val="007C0F7C"/>
    <w:rsid w:val="007D3486"/>
    <w:rsid w:val="00805127"/>
    <w:rsid w:val="00805BB9"/>
    <w:rsid w:val="00812D03"/>
    <w:rsid w:val="008476E5"/>
    <w:rsid w:val="00890213"/>
    <w:rsid w:val="008B1F70"/>
    <w:rsid w:val="009835FB"/>
    <w:rsid w:val="009A0AE1"/>
    <w:rsid w:val="00A07444"/>
    <w:rsid w:val="00A31525"/>
    <w:rsid w:val="00A42D4B"/>
    <w:rsid w:val="00A92036"/>
    <w:rsid w:val="00AA6C33"/>
    <w:rsid w:val="00B066FE"/>
    <w:rsid w:val="00B25BF0"/>
    <w:rsid w:val="00B45145"/>
    <w:rsid w:val="00B55121"/>
    <w:rsid w:val="00B81116"/>
    <w:rsid w:val="00BE049C"/>
    <w:rsid w:val="00BE6422"/>
    <w:rsid w:val="00C16907"/>
    <w:rsid w:val="00C21D9A"/>
    <w:rsid w:val="00C55F57"/>
    <w:rsid w:val="00C6556C"/>
    <w:rsid w:val="00CA498F"/>
    <w:rsid w:val="00CA5CEE"/>
    <w:rsid w:val="00CC5B01"/>
    <w:rsid w:val="00D13524"/>
    <w:rsid w:val="00D321B8"/>
    <w:rsid w:val="00D35360"/>
    <w:rsid w:val="00D85F55"/>
    <w:rsid w:val="00DA3FAA"/>
    <w:rsid w:val="00E52553"/>
    <w:rsid w:val="00E57228"/>
    <w:rsid w:val="00EA42AE"/>
    <w:rsid w:val="00EB023C"/>
    <w:rsid w:val="00EB07A4"/>
    <w:rsid w:val="00EC175B"/>
    <w:rsid w:val="00EF0205"/>
    <w:rsid w:val="00FA5EEA"/>
    <w:rsid w:val="00FB7A35"/>
    <w:rsid w:val="00FE4683"/>
    <w:rsid w:val="00FE755F"/>
    <w:rsid w:val="00FF1AAE"/>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649E"/>
  <w15:chartTrackingRefBased/>
  <w15:docId w15:val="{4FB42959-FC55-4E1C-80CD-6576B75E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2634</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Merle Järve - RAM</cp:lastModifiedBy>
  <cp:revision>2</cp:revision>
  <cp:lastPrinted>2016-11-25T14:21:00Z</cp:lastPrinted>
  <dcterms:created xsi:type="dcterms:W3CDTF">2025-09-25T11:30:00Z</dcterms:created>
  <dcterms:modified xsi:type="dcterms:W3CDTF">2025-09-25T11:30:00Z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MSIP_Label_defa4170-0d19-0005-0004-bc88714345d2_Enabled">
    <vt:lpwstr>true</vt:lpwstr>
  </property>
  <property fmtid="{D5CDD505-2E9C-101B-9397-08002B2CF9AE}" pid="10" name="MSIP_Label_defa4170-0d19-0005-0004-bc88714345d2_SetDate">
    <vt:lpwstr>2025-09-09T13:53:08Z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68aee9b2-d9a7-42a7-bd49-27c7d78299e3</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