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5E6" w14:textId="7688AE58" w:rsidR="00996FB5" w:rsidRDefault="00996FB5" w:rsidP="000254D4">
      <w:pPr>
        <w:spacing w:before="100" w:beforeAutospacing="1" w:after="100" w:afterAutospacing="1" w:line="276" w:lineRule="auto"/>
        <w:jc w:val="center"/>
        <w:outlineLvl w:val="1"/>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Seletuskiri</w:t>
      </w:r>
    </w:p>
    <w:p w14:paraId="2BFD29A7" w14:textId="4EB4B3BE" w:rsidR="00363E5B" w:rsidRPr="00BE3335" w:rsidRDefault="00363E5B" w:rsidP="000254D4">
      <w:pPr>
        <w:spacing w:before="100" w:beforeAutospacing="1" w:after="100" w:afterAutospacing="1" w:line="276" w:lineRule="auto"/>
        <w:jc w:val="center"/>
        <w:outlineLvl w:val="1"/>
        <w:rPr>
          <w:rFonts w:ascii="Times New Roman" w:eastAsia="Times New Roman" w:hAnsi="Times New Roman" w:cs="Times New Roman"/>
          <w:b/>
          <w:bCs/>
          <w:kern w:val="0"/>
          <w:lang w:eastAsia="et-EE"/>
          <w14:ligatures w14:val="none"/>
        </w:rPr>
      </w:pPr>
      <w:r>
        <w:rPr>
          <w:rFonts w:ascii="Times New Roman" w:eastAsia="Times New Roman" w:hAnsi="Times New Roman" w:cs="Times New Roman"/>
          <w:b/>
          <w:bCs/>
          <w:kern w:val="0"/>
          <w:lang w:eastAsia="et-EE"/>
          <w14:ligatures w14:val="none"/>
        </w:rPr>
        <w:t>korruptsioonivastase seaduse muutmise seaduse eelnõule</w:t>
      </w:r>
    </w:p>
    <w:p w14:paraId="21721DED" w14:textId="77777777" w:rsidR="00CE0186" w:rsidRDefault="00CE0186" w:rsidP="000254D4">
      <w:pPr>
        <w:pStyle w:val="Normaallaadveeb"/>
        <w:spacing w:line="276" w:lineRule="auto"/>
      </w:pPr>
    </w:p>
    <w:p w14:paraId="055DB4B4" w14:textId="226B53CB" w:rsidR="00996FB5" w:rsidRPr="00030FF9" w:rsidRDefault="00996FB5" w:rsidP="000254D4">
      <w:pPr>
        <w:pStyle w:val="Normaallaadveeb"/>
        <w:numPr>
          <w:ilvl w:val="0"/>
          <w:numId w:val="37"/>
        </w:numPr>
        <w:spacing w:line="276" w:lineRule="auto"/>
        <w:rPr>
          <w:b/>
          <w:bCs/>
        </w:rPr>
      </w:pPr>
      <w:r w:rsidRPr="00030FF9">
        <w:rPr>
          <w:b/>
          <w:bCs/>
        </w:rPr>
        <w:t>Sissejuhatus</w:t>
      </w:r>
    </w:p>
    <w:p w14:paraId="4D239465" w14:textId="5F2B98F4" w:rsidR="002855B6" w:rsidRDefault="002855B6" w:rsidP="000254D4">
      <w:pPr>
        <w:pStyle w:val="Normaallaadveeb"/>
        <w:spacing w:line="276" w:lineRule="auto"/>
      </w:pPr>
      <w:r w:rsidRPr="000254D4">
        <w:t xml:space="preserve">Riigikogu komisjonil on seaduse algatamise ja Riigikogu otsuse eelnõu esitamise õigus (RKKTS § 90 lg 1 p 3) </w:t>
      </w:r>
    </w:p>
    <w:p w14:paraId="601689B5" w14:textId="716FCAF9" w:rsidR="000621C1" w:rsidRDefault="000621C1" w:rsidP="000254D4">
      <w:pPr>
        <w:pStyle w:val="Normaallaadveeb"/>
        <w:spacing w:line="276" w:lineRule="auto"/>
      </w:pPr>
      <w:r>
        <w:t xml:space="preserve">Eelnõuga tehakse muudatus, mis on vajalik huvide konflikti vältimiseks töökoha vahetusel, kui eelmisel töökohal saadud oskusteave, kontaktid, jne mõjutavad oluliselt uuel positsioonil tehtavaid otsuseid, toiminguid. </w:t>
      </w:r>
    </w:p>
    <w:p w14:paraId="434BCE1B" w14:textId="200E2A90" w:rsidR="000621C1" w:rsidRDefault="000621C1" w:rsidP="000254D4">
      <w:pPr>
        <w:pStyle w:val="Normaallaadveeb"/>
        <w:spacing w:line="276" w:lineRule="auto"/>
      </w:pPr>
      <w:r>
        <w:t>Eelnõu ja seletuskirja koostas korruptsioonivastane erikomisjon.</w:t>
      </w:r>
    </w:p>
    <w:p w14:paraId="4F56A7F4" w14:textId="44632E27" w:rsidR="00055492" w:rsidRPr="00030FF9" w:rsidRDefault="00055492" w:rsidP="000254D4">
      <w:pPr>
        <w:pStyle w:val="Normaallaadveeb"/>
        <w:numPr>
          <w:ilvl w:val="0"/>
          <w:numId w:val="37"/>
        </w:numPr>
        <w:spacing w:line="276" w:lineRule="auto"/>
        <w:rPr>
          <w:b/>
          <w:bCs/>
        </w:rPr>
      </w:pPr>
      <w:r w:rsidRPr="00030FF9">
        <w:rPr>
          <w:b/>
          <w:bCs/>
        </w:rPr>
        <w:t>S</w:t>
      </w:r>
      <w:r w:rsidR="00011E64">
        <w:rPr>
          <w:b/>
          <w:bCs/>
        </w:rPr>
        <w:t>eaduse eesmärk</w:t>
      </w:r>
    </w:p>
    <w:p w14:paraId="398354F1" w14:textId="300B6CEF" w:rsidR="004B3BC6" w:rsidRDefault="00996FB5" w:rsidP="000254D4">
      <w:pPr>
        <w:pStyle w:val="Loendilik"/>
        <w:spacing w:line="276" w:lineRule="auto"/>
        <w:ind w:left="0"/>
        <w:jc w:val="both"/>
        <w:rPr>
          <w:rFonts w:ascii="Times New Roman" w:hAnsi="Times New Roman" w:cs="Times New Roman"/>
        </w:rPr>
      </w:pPr>
      <w:r w:rsidRPr="000254D4">
        <w:rPr>
          <w:rFonts w:ascii="Times New Roman" w:hAnsi="Times New Roman" w:cs="Times New Roman"/>
        </w:rPr>
        <w:t>Eelnõu</w:t>
      </w:r>
      <w:r w:rsidR="003E497E" w:rsidRPr="000254D4">
        <w:rPr>
          <w:rFonts w:ascii="Times New Roman" w:hAnsi="Times New Roman" w:cs="Times New Roman"/>
        </w:rPr>
        <w:t xml:space="preserve"> eesmärk on </w:t>
      </w:r>
      <w:r w:rsidRPr="000254D4">
        <w:rPr>
          <w:rFonts w:ascii="Times New Roman" w:hAnsi="Times New Roman" w:cs="Times New Roman"/>
        </w:rPr>
        <w:t>sätest</w:t>
      </w:r>
      <w:r w:rsidR="003E497E" w:rsidRPr="000254D4">
        <w:rPr>
          <w:rFonts w:ascii="Times New Roman" w:hAnsi="Times New Roman" w:cs="Times New Roman"/>
        </w:rPr>
        <w:t>ada</w:t>
      </w:r>
      <w:r w:rsidRPr="000254D4">
        <w:rPr>
          <w:rFonts w:ascii="Times New Roman" w:hAnsi="Times New Roman" w:cs="Times New Roman"/>
        </w:rPr>
        <w:t xml:space="preserve"> </w:t>
      </w:r>
      <w:r w:rsidR="00055492" w:rsidRPr="000254D4">
        <w:rPr>
          <w:rFonts w:ascii="Times New Roman" w:hAnsi="Times New Roman" w:cs="Times New Roman"/>
        </w:rPr>
        <w:t>kohustus</w:t>
      </w:r>
      <w:r w:rsidR="003E497E" w:rsidRPr="000254D4">
        <w:rPr>
          <w:rFonts w:ascii="Times New Roman" w:hAnsi="Times New Roman" w:cs="Times New Roman"/>
        </w:rPr>
        <w:t xml:space="preserve"> kaardistada</w:t>
      </w:r>
      <w:r w:rsidR="00055492" w:rsidRPr="000254D4">
        <w:rPr>
          <w:rFonts w:ascii="Times New Roman" w:hAnsi="Times New Roman" w:cs="Times New Roman"/>
        </w:rPr>
        <w:t xml:space="preserve"> </w:t>
      </w:r>
      <w:r w:rsidR="00011E64">
        <w:rPr>
          <w:rFonts w:ascii="Times New Roman" w:hAnsi="Times New Roman" w:cs="Times New Roman"/>
        </w:rPr>
        <w:t xml:space="preserve">ja monitoorida </w:t>
      </w:r>
      <w:r w:rsidR="003E497E" w:rsidRPr="000254D4">
        <w:rPr>
          <w:rFonts w:ascii="Times New Roman" w:hAnsi="Times New Roman" w:cs="Times New Roman"/>
        </w:rPr>
        <w:t>ametiisikute ring</w:t>
      </w:r>
      <w:r w:rsidR="00011E64">
        <w:rPr>
          <w:rFonts w:ascii="Times New Roman" w:hAnsi="Times New Roman" w:cs="Times New Roman"/>
        </w:rPr>
        <w:t>i</w:t>
      </w:r>
      <w:r w:rsidR="003E497E" w:rsidRPr="000254D4">
        <w:rPr>
          <w:rFonts w:ascii="Times New Roman" w:hAnsi="Times New Roman" w:cs="Times New Roman"/>
        </w:rPr>
        <w:t>, kel</w:t>
      </w:r>
      <w:r w:rsidR="001D0A18" w:rsidRPr="000254D4">
        <w:rPr>
          <w:rFonts w:ascii="Times New Roman" w:hAnsi="Times New Roman" w:cs="Times New Roman"/>
        </w:rPr>
        <w:t>le osas on kohane huvide konfliktist tuleneva</w:t>
      </w:r>
      <w:r w:rsidR="00011E64">
        <w:rPr>
          <w:rFonts w:ascii="Times New Roman" w:hAnsi="Times New Roman" w:cs="Times New Roman"/>
        </w:rPr>
        <w:t>te</w:t>
      </w:r>
      <w:r w:rsidR="001D0A18" w:rsidRPr="000254D4">
        <w:rPr>
          <w:rFonts w:ascii="Times New Roman" w:hAnsi="Times New Roman" w:cs="Times New Roman"/>
        </w:rPr>
        <w:t xml:space="preserve"> korruptsioonirisk</w:t>
      </w:r>
      <w:r w:rsidR="00011E64">
        <w:rPr>
          <w:rFonts w:ascii="Times New Roman" w:hAnsi="Times New Roman" w:cs="Times New Roman"/>
        </w:rPr>
        <w:t xml:space="preserve">ide </w:t>
      </w:r>
      <w:r w:rsidR="001D0A18" w:rsidRPr="000254D4">
        <w:rPr>
          <w:rFonts w:ascii="Times New Roman" w:hAnsi="Times New Roman" w:cs="Times New Roman"/>
        </w:rPr>
        <w:t>maand</w:t>
      </w:r>
      <w:r w:rsidR="00011E64">
        <w:rPr>
          <w:rFonts w:ascii="Times New Roman" w:hAnsi="Times New Roman" w:cs="Times New Roman"/>
        </w:rPr>
        <w:t xml:space="preserve">amiseks pöörata tähelepanu </w:t>
      </w:r>
      <w:r w:rsidR="001D0A18" w:rsidRPr="000254D4">
        <w:rPr>
          <w:rFonts w:ascii="Times New Roman" w:hAnsi="Times New Roman" w:cs="Times New Roman"/>
        </w:rPr>
        <w:t xml:space="preserve">nende </w:t>
      </w:r>
      <w:r w:rsidR="002855B6" w:rsidRPr="000254D4">
        <w:rPr>
          <w:rFonts w:ascii="Times New Roman" w:hAnsi="Times New Roman" w:cs="Times New Roman"/>
        </w:rPr>
        <w:t>töökohavahetuse</w:t>
      </w:r>
      <w:r w:rsidR="00011E64">
        <w:rPr>
          <w:rFonts w:ascii="Times New Roman" w:hAnsi="Times New Roman" w:cs="Times New Roman"/>
        </w:rPr>
        <w:t xml:space="preserve">ga kaasnevatele </w:t>
      </w:r>
      <w:r w:rsidR="002855B6" w:rsidRPr="000254D4">
        <w:rPr>
          <w:rFonts w:ascii="Times New Roman" w:hAnsi="Times New Roman" w:cs="Times New Roman"/>
        </w:rPr>
        <w:t>risk</w:t>
      </w:r>
      <w:r w:rsidR="00011E64">
        <w:rPr>
          <w:rFonts w:ascii="Times New Roman" w:hAnsi="Times New Roman" w:cs="Times New Roman"/>
        </w:rPr>
        <w:t>idele</w:t>
      </w:r>
      <w:r w:rsidR="00B76A86">
        <w:rPr>
          <w:rFonts w:ascii="Times New Roman" w:hAnsi="Times New Roman" w:cs="Times New Roman"/>
        </w:rPr>
        <w:t>. Seadus loob võimaluse</w:t>
      </w:r>
      <w:r w:rsidR="00011E64">
        <w:rPr>
          <w:rFonts w:ascii="Times New Roman" w:hAnsi="Times New Roman" w:cs="Times New Roman"/>
        </w:rPr>
        <w:t xml:space="preserve"> kehtestad</w:t>
      </w:r>
      <w:r w:rsidR="00B76A86">
        <w:rPr>
          <w:rFonts w:ascii="Times New Roman" w:hAnsi="Times New Roman" w:cs="Times New Roman"/>
        </w:rPr>
        <w:t>a</w:t>
      </w:r>
      <w:r w:rsidR="00011E64">
        <w:rPr>
          <w:rFonts w:ascii="Times New Roman" w:hAnsi="Times New Roman" w:cs="Times New Roman"/>
        </w:rPr>
        <w:t xml:space="preserve"> v</w:t>
      </w:r>
      <w:r w:rsidR="00C675C9">
        <w:rPr>
          <w:rFonts w:ascii="Times New Roman" w:hAnsi="Times New Roman" w:cs="Times New Roman"/>
        </w:rPr>
        <w:t xml:space="preserve">ajadusel ajaline piirang </w:t>
      </w:r>
      <w:r w:rsidR="004B3BC6">
        <w:rPr>
          <w:rFonts w:ascii="Times New Roman" w:hAnsi="Times New Roman" w:cs="Times New Roman"/>
        </w:rPr>
        <w:t xml:space="preserve">töö alustamiseks teise tööandja juures või saamisel </w:t>
      </w:r>
      <w:r w:rsidR="004B3BC6" w:rsidRPr="000254D4">
        <w:rPr>
          <w:rFonts w:ascii="Times New Roman" w:hAnsi="Times New Roman" w:cs="Times New Roman"/>
          <w:color w:val="202020"/>
          <w:shd w:val="clear" w:color="auto" w:fill="FFFFFF"/>
        </w:rPr>
        <w:t>korruptsioonivastase seaduse § 7 lõike 1 punktide 2 ja 3 tähenduses seotud isikuks sellise  juriidilise isikuga, kelle tegevust on ta viimase aasta jooksul avalikku ülesannet täites oluliselt mõjutanud</w:t>
      </w:r>
      <w:r w:rsidR="004B3BC6">
        <w:rPr>
          <w:rFonts w:ascii="Times New Roman" w:hAnsi="Times New Roman" w:cs="Times New Roman"/>
          <w:color w:val="202020"/>
          <w:shd w:val="clear" w:color="auto" w:fill="FFFFFF"/>
        </w:rPr>
        <w:t xml:space="preserve">. </w:t>
      </w:r>
    </w:p>
    <w:p w14:paraId="31C903A9" w14:textId="2AC38348" w:rsidR="004B3BC6" w:rsidRDefault="002855B6" w:rsidP="00AC7457">
      <w:pPr>
        <w:rPr>
          <w:rFonts w:ascii="Times New Roman" w:hAnsi="Times New Roman" w:cs="Times New Roman"/>
          <w:color w:val="202020"/>
          <w:shd w:val="clear" w:color="auto" w:fill="FFFFFF"/>
        </w:rPr>
      </w:pPr>
      <w:r w:rsidRPr="000254D4">
        <w:rPr>
          <w:rFonts w:ascii="Times New Roman" w:hAnsi="Times New Roman" w:cs="Times New Roman"/>
        </w:rPr>
        <w:t>Eelnõuga sõnastatakse</w:t>
      </w:r>
      <w:r w:rsidR="00996FB5" w:rsidRPr="000254D4">
        <w:rPr>
          <w:rFonts w:ascii="Times New Roman" w:hAnsi="Times New Roman" w:cs="Times New Roman"/>
        </w:rPr>
        <w:t xml:space="preserve"> </w:t>
      </w:r>
      <w:r w:rsidR="00C675C9">
        <w:rPr>
          <w:rFonts w:ascii="Times New Roman" w:hAnsi="Times New Roman" w:cs="Times New Roman"/>
        </w:rPr>
        <w:t xml:space="preserve">ametiisiku kohustus hoiduda </w:t>
      </w:r>
      <w:r w:rsidR="00996FB5" w:rsidRPr="000254D4">
        <w:rPr>
          <w:rFonts w:ascii="Times New Roman" w:hAnsi="Times New Roman" w:cs="Times New Roman"/>
        </w:rPr>
        <w:t xml:space="preserve">kuni </w:t>
      </w:r>
      <w:r w:rsidR="00C675C9">
        <w:rPr>
          <w:rFonts w:ascii="Times New Roman" w:hAnsi="Times New Roman" w:cs="Times New Roman"/>
        </w:rPr>
        <w:t>1</w:t>
      </w:r>
      <w:r w:rsidR="00996FB5" w:rsidRPr="000254D4">
        <w:rPr>
          <w:rFonts w:ascii="Times New Roman" w:hAnsi="Times New Roman" w:cs="Times New Roman"/>
        </w:rPr>
        <w:t xml:space="preserve"> aasta jooksul </w:t>
      </w:r>
      <w:r w:rsidR="00C675C9">
        <w:rPr>
          <w:rFonts w:ascii="Times New Roman" w:hAnsi="Times New Roman" w:cs="Times New Roman"/>
        </w:rPr>
        <w:t>ametiisiku staatuse lõppemisest arvates</w:t>
      </w:r>
      <w:r w:rsidR="00996FB5" w:rsidRPr="000254D4">
        <w:rPr>
          <w:rFonts w:ascii="Times New Roman" w:hAnsi="Times New Roman" w:cs="Times New Roman"/>
        </w:rPr>
        <w:t xml:space="preserve"> </w:t>
      </w:r>
      <w:r w:rsidR="00996FB5" w:rsidRPr="000254D4">
        <w:rPr>
          <w:rFonts w:ascii="Times New Roman" w:hAnsi="Times New Roman" w:cs="Times New Roman"/>
          <w:color w:val="202020"/>
          <w:shd w:val="clear" w:color="auto" w:fill="FFFFFF"/>
        </w:rPr>
        <w:t>saa</w:t>
      </w:r>
      <w:r w:rsidR="004B3BC6">
        <w:rPr>
          <w:rFonts w:ascii="Times New Roman" w:hAnsi="Times New Roman" w:cs="Times New Roman"/>
          <w:color w:val="202020"/>
          <w:shd w:val="clear" w:color="auto" w:fill="FFFFFF"/>
        </w:rPr>
        <w:t>m</w:t>
      </w:r>
      <w:r w:rsidR="00EA4F56">
        <w:rPr>
          <w:rFonts w:ascii="Times New Roman" w:hAnsi="Times New Roman" w:cs="Times New Roman"/>
          <w:color w:val="202020"/>
          <w:shd w:val="clear" w:color="auto" w:fill="FFFFFF"/>
        </w:rPr>
        <w:t>a</w:t>
      </w:r>
      <w:r w:rsidR="004B3BC6">
        <w:rPr>
          <w:rFonts w:ascii="Times New Roman" w:hAnsi="Times New Roman" w:cs="Times New Roman"/>
          <w:color w:val="202020"/>
          <w:shd w:val="clear" w:color="auto" w:fill="FFFFFF"/>
        </w:rPr>
        <w:t>st</w:t>
      </w:r>
      <w:r w:rsidR="00996FB5" w:rsidRPr="000254D4">
        <w:rPr>
          <w:rFonts w:ascii="Times New Roman" w:hAnsi="Times New Roman" w:cs="Times New Roman"/>
          <w:color w:val="202020"/>
          <w:shd w:val="clear" w:color="auto" w:fill="FFFFFF"/>
        </w:rPr>
        <w:t xml:space="preserve"> korruptsioonivastase seaduse § 7 lõike 1 punktide 2 ja 3 tähenduses seotud isikuks sellise  juriidilise isikuga, kelle tegevust on ta viimase aasta jooksul avalikku ülesannet täites oluliselt mõjutanud</w:t>
      </w:r>
      <w:r w:rsidR="00C675C9">
        <w:rPr>
          <w:rFonts w:ascii="Times New Roman" w:hAnsi="Times New Roman" w:cs="Times New Roman"/>
          <w:color w:val="202020"/>
          <w:shd w:val="clear" w:color="auto" w:fill="FFFFFF"/>
        </w:rPr>
        <w:t>, samuti mitte asuda sellele isikule tööd tegema töö-, käsundus</w:t>
      </w:r>
      <w:r w:rsidR="00EA4F56">
        <w:rPr>
          <w:rFonts w:ascii="Times New Roman" w:hAnsi="Times New Roman" w:cs="Times New Roman"/>
          <w:color w:val="202020"/>
          <w:shd w:val="clear" w:color="auto" w:fill="FFFFFF"/>
        </w:rPr>
        <w:t>-</w:t>
      </w:r>
      <w:r w:rsidR="00C675C9">
        <w:rPr>
          <w:rFonts w:ascii="Times New Roman" w:hAnsi="Times New Roman" w:cs="Times New Roman"/>
          <w:color w:val="202020"/>
          <w:shd w:val="clear" w:color="auto" w:fill="FFFFFF"/>
        </w:rPr>
        <w:t xml:space="preserve"> või muu lepingu alusel</w:t>
      </w:r>
      <w:r w:rsidR="00996FB5" w:rsidRPr="000254D4">
        <w:rPr>
          <w:rFonts w:ascii="Times New Roman" w:hAnsi="Times New Roman" w:cs="Times New Roman"/>
          <w:color w:val="202020"/>
          <w:shd w:val="clear" w:color="auto" w:fill="FFFFFF"/>
        </w:rPr>
        <w:t xml:space="preserve">. </w:t>
      </w:r>
      <w:r w:rsidR="00AC7457">
        <w:rPr>
          <w:rFonts w:ascii="Times New Roman" w:hAnsi="Times New Roman" w:cs="Times New Roman"/>
        </w:rPr>
        <w:t xml:space="preserve">Piirang kehtib ainult selle juriidilise isiku suhtes, kelle osas ametiisik on teinud teda arvestatavalt mõjutanud otsuseid (nt hankeotsused). </w:t>
      </w:r>
    </w:p>
    <w:p w14:paraId="6CB78526" w14:textId="29903873" w:rsidR="00A12420" w:rsidRPr="000254D4" w:rsidRDefault="00A12420" w:rsidP="000254D4">
      <w:pPr>
        <w:pStyle w:val="Loendilik"/>
        <w:spacing w:line="276" w:lineRule="auto"/>
        <w:ind w:left="0"/>
        <w:jc w:val="both"/>
        <w:rPr>
          <w:rFonts w:ascii="Times New Roman" w:hAnsi="Times New Roman" w:cs="Times New Roman"/>
          <w:color w:val="202020"/>
          <w:shd w:val="clear" w:color="auto" w:fill="FFFFFF"/>
        </w:rPr>
      </w:pPr>
      <w:r>
        <w:rPr>
          <w:rFonts w:ascii="Times New Roman" w:hAnsi="Times New Roman" w:cs="Times New Roman"/>
          <w:color w:val="202020"/>
          <w:shd w:val="clear" w:color="auto" w:fill="FFFFFF"/>
        </w:rPr>
        <w:t>Kaitsepolitseiameti 2025-2026 aastaraamat rõhutas kaitse- ja energeetikavaldkonna korruptsioonitundlikkust, mis tuleb otsuste koondumisest kitsa isikute ringi kätte, mistõttu on vaja vältida</w:t>
      </w:r>
      <w:r>
        <w:t xml:space="preserve"> </w:t>
      </w:r>
      <w:r w:rsidRPr="00A12420">
        <w:rPr>
          <w:rFonts w:ascii="Times New Roman" w:hAnsi="Times New Roman" w:cs="Times New Roman"/>
        </w:rPr>
        <w:t xml:space="preserve">olukordi, kus ettevõtjad taotlevad riigikaitseks mõeldud toote arendamiseks riigi </w:t>
      </w:r>
      <w:r w:rsidRPr="00521C57">
        <w:rPr>
          <w:rFonts w:ascii="Times New Roman" w:hAnsi="Times New Roman" w:cs="Times New Roman"/>
        </w:rPr>
        <w:t>toetust endistelt kolleegidelt.</w:t>
      </w:r>
      <w:r w:rsidR="004B3BC6" w:rsidRPr="00521C57">
        <w:rPr>
          <w:rFonts w:ascii="Times New Roman" w:hAnsi="Times New Roman" w:cs="Times New Roman"/>
        </w:rPr>
        <w:t xml:space="preserve"> Kuigi Kaitsepolitsei aastaraamatus nimetati pöördustes efektist ohustatutena vaid mõnda valdkonda, on kohane regul</w:t>
      </w:r>
      <w:r w:rsidR="00EA4F56" w:rsidRPr="00521C57">
        <w:rPr>
          <w:rFonts w:ascii="Times New Roman" w:hAnsi="Times New Roman" w:cs="Times New Roman"/>
        </w:rPr>
        <w:t>atsiooniga maandada</w:t>
      </w:r>
      <w:r w:rsidR="004B3BC6" w:rsidRPr="00521C57">
        <w:rPr>
          <w:rFonts w:ascii="Times New Roman" w:hAnsi="Times New Roman" w:cs="Times New Roman"/>
        </w:rPr>
        <w:t xml:space="preserve"> </w:t>
      </w:r>
      <w:r w:rsidR="00EA4F56" w:rsidRPr="00521C57">
        <w:rPr>
          <w:rFonts w:ascii="Times New Roman" w:hAnsi="Times New Roman" w:cs="Times New Roman"/>
        </w:rPr>
        <w:t>pöörduste efektist tulenevad riskid valdkonnaneutraalselt.</w:t>
      </w:r>
      <w:r w:rsidR="00521C57" w:rsidRPr="00521C57">
        <w:rPr>
          <w:rFonts w:ascii="Times New Roman" w:hAnsi="Times New Roman" w:cs="Times New Roman"/>
        </w:rPr>
        <w:t xml:space="preserve"> Eelnõu eesmärk ei ole </w:t>
      </w:r>
      <w:r w:rsidR="00521C57" w:rsidRPr="00521C57">
        <w:rPr>
          <w:rFonts w:ascii="Times New Roman" w:eastAsia="Times New Roman" w:hAnsi="Times New Roman" w:cs="Times New Roman"/>
        </w:rPr>
        <w:t>piirata ametnike liikumist erasektorisse ja vastupidi, vaid maandada võimalikud huvide konfliktide riskid</w:t>
      </w:r>
      <w:r w:rsidR="00AC7457">
        <w:rPr>
          <w:rFonts w:ascii="Times New Roman" w:eastAsia="Times New Roman" w:hAnsi="Times New Roman" w:cs="Times New Roman"/>
        </w:rPr>
        <w:t>.</w:t>
      </w:r>
    </w:p>
    <w:p w14:paraId="43E7A797" w14:textId="77777777" w:rsidR="00996FB5" w:rsidRDefault="00996FB5" w:rsidP="000254D4">
      <w:pPr>
        <w:pStyle w:val="Loendilik"/>
        <w:spacing w:line="276" w:lineRule="auto"/>
        <w:ind w:left="0"/>
        <w:jc w:val="both"/>
        <w:rPr>
          <w:rFonts w:ascii="Times New Roman" w:hAnsi="Times New Roman" w:cs="Times New Roman"/>
          <w:color w:val="202020"/>
          <w:shd w:val="clear" w:color="auto" w:fill="FFFFFF"/>
        </w:rPr>
      </w:pPr>
    </w:p>
    <w:p w14:paraId="6E7693F0" w14:textId="77777777" w:rsidR="00B76A86" w:rsidRPr="000254D4" w:rsidRDefault="00B76A86" w:rsidP="000254D4">
      <w:pPr>
        <w:pStyle w:val="Loendilik"/>
        <w:spacing w:line="276" w:lineRule="auto"/>
        <w:ind w:left="0"/>
        <w:jc w:val="both"/>
        <w:rPr>
          <w:rFonts w:ascii="Times New Roman" w:hAnsi="Times New Roman" w:cs="Times New Roman"/>
          <w:color w:val="202020"/>
          <w:shd w:val="clear" w:color="auto" w:fill="FFFFFF"/>
        </w:rPr>
      </w:pPr>
    </w:p>
    <w:p w14:paraId="3932C86D" w14:textId="77777777" w:rsidR="00970221" w:rsidRPr="00030FF9" w:rsidRDefault="00970221" w:rsidP="000254D4">
      <w:pPr>
        <w:pStyle w:val="Loendilik"/>
        <w:numPr>
          <w:ilvl w:val="0"/>
          <w:numId w:val="38"/>
        </w:numPr>
        <w:spacing w:line="276" w:lineRule="auto"/>
        <w:jc w:val="both"/>
        <w:rPr>
          <w:rFonts w:ascii="Times New Roman" w:hAnsi="Times New Roman" w:cs="Times New Roman"/>
          <w:b/>
          <w:bCs/>
          <w:color w:val="202020"/>
          <w:shd w:val="clear" w:color="auto" w:fill="FFFFFF"/>
        </w:rPr>
      </w:pPr>
      <w:r w:rsidRPr="00030FF9">
        <w:rPr>
          <w:rFonts w:ascii="Times New Roman" w:hAnsi="Times New Roman" w:cs="Times New Roman"/>
          <w:b/>
          <w:bCs/>
          <w:color w:val="202020"/>
          <w:shd w:val="clear" w:color="auto" w:fill="FFFFFF"/>
        </w:rPr>
        <w:t xml:space="preserve">Eelnõu vastavus Eesti Vabariigi põhiseadusele. </w:t>
      </w:r>
    </w:p>
    <w:p w14:paraId="6F56CB4A" w14:textId="13A90CFE" w:rsidR="00970221" w:rsidRPr="000254D4" w:rsidRDefault="00970221" w:rsidP="000254D4">
      <w:pPr>
        <w:spacing w:line="276" w:lineRule="auto"/>
        <w:jc w:val="both"/>
        <w:rPr>
          <w:rFonts w:ascii="Times New Roman" w:hAnsi="Times New Roman" w:cs="Times New Roman"/>
          <w:color w:val="202020"/>
          <w:shd w:val="clear" w:color="auto" w:fill="FFFFFF"/>
        </w:rPr>
      </w:pPr>
      <w:r w:rsidRPr="000254D4">
        <w:rPr>
          <w:rFonts w:ascii="Times New Roman" w:hAnsi="Times New Roman" w:cs="Times New Roman"/>
          <w:color w:val="202020"/>
          <w:shd w:val="clear" w:color="auto" w:fill="FFFFFF"/>
        </w:rPr>
        <w:t xml:space="preserve">Eesti Vabariigi põhiseaduse § 19 lõike 1 kohaselt on igaühel õigus vabale eneseteostusele. Selle sätte piiriklausel lisab, et igaüks peab oma õiguste ja vabaduste kasutamisel ning kohustuste </w:t>
      </w:r>
      <w:r w:rsidRPr="000254D4">
        <w:rPr>
          <w:rFonts w:ascii="Times New Roman" w:hAnsi="Times New Roman" w:cs="Times New Roman"/>
          <w:color w:val="202020"/>
          <w:shd w:val="clear" w:color="auto" w:fill="FFFFFF"/>
        </w:rPr>
        <w:lastRenderedPageBreak/>
        <w:t xml:space="preserve">täitmisel austama ja arvestama teiste inimeste õigusi ja vabadusi ning järgima seadust. Põhiseaduse kommentaaride kohaselt võib seda pidada nii lihtsaks kui ka kvalifitseeritud piiriklausliks. Lõike lõpus sisalduv fraas „ning järgima seadust“ toimib seadusereservatsioonina ning tähendab, et õigust vabale eneseteostusele saab piirata üksnes seadusega. Riigikohus on </w:t>
      </w:r>
      <w:r w:rsidR="00030FF9">
        <w:rPr>
          <w:rFonts w:ascii="Times New Roman" w:hAnsi="Times New Roman" w:cs="Times New Roman"/>
          <w:color w:val="202020"/>
          <w:shd w:val="clear" w:color="auto" w:fill="FFFFFF"/>
        </w:rPr>
        <w:t xml:space="preserve">põhiseaduse </w:t>
      </w:r>
      <w:r w:rsidRPr="000254D4">
        <w:rPr>
          <w:rFonts w:ascii="Times New Roman" w:hAnsi="Times New Roman" w:cs="Times New Roman"/>
          <w:color w:val="202020"/>
          <w:shd w:val="clear" w:color="auto" w:fill="FFFFFF"/>
        </w:rPr>
        <w:t>§ 19 lg 1 nimetanud lihtsa seadusereservatsiooniga põhiõiguseks ning nõustunud, et seda võib piirata mis tahes põhjusel, mis ei ole põhiseadusega otseselt keelatud (RKPJKo 17.12.2019, 5-19-40/36, p53; RKÜKo 14.05.2014, 3-2-1-79-13, p 28; RKTKo 13.01.2010, 3-2-1-152-09, p 11). Arvestades ülaltoodut on võimalik piirata seadusega avalike teenistujate ja ametiasutuse töötajate lepinguvabadust.</w:t>
      </w:r>
    </w:p>
    <w:p w14:paraId="0BB70304" w14:textId="1ADBF24B" w:rsidR="008C3867" w:rsidRDefault="008C3867" w:rsidP="000254D4">
      <w:pPr>
        <w:spacing w:line="276" w:lineRule="auto"/>
        <w:jc w:val="both"/>
        <w:rPr>
          <w:rFonts w:ascii="Times New Roman" w:hAnsi="Times New Roman" w:cs="Times New Roman"/>
          <w:color w:val="202020"/>
          <w:shd w:val="clear" w:color="auto" w:fill="FFFFFF"/>
        </w:rPr>
      </w:pPr>
      <w:r w:rsidRPr="000254D4">
        <w:rPr>
          <w:rFonts w:ascii="Times New Roman" w:hAnsi="Times New Roman" w:cs="Times New Roman"/>
          <w:color w:val="202020"/>
          <w:shd w:val="clear" w:color="auto" w:fill="FFFFFF"/>
        </w:rPr>
        <w:t xml:space="preserve">Eelnõuga sätestatav meede on proportsionaalne, sest eelkõige kaardistatakse ametikoha spetsiifikast tulenevad riskid eesmärgiga vältida isiku oskusteabest ja mõnedel juhtudel ka tema juurdepääsust asutusesisese teabele ning ka nt riigisaladusele ja salastatud välisteabele või muule tundlikule informatsioonile tulenevaid huvide konflikte ning vajadusel pidestatakse riskide maandamine piirangutega uuele tööle asumisel.   </w:t>
      </w:r>
    </w:p>
    <w:p w14:paraId="4D8811CE" w14:textId="06AD788D" w:rsidR="00AC7457" w:rsidRDefault="00AC7457" w:rsidP="000254D4">
      <w:pPr>
        <w:spacing w:line="276" w:lineRule="auto"/>
        <w:jc w:val="both"/>
        <w:rPr>
          <w:rFonts w:ascii="Times New Roman" w:hAnsi="Times New Roman" w:cs="Times New Roman"/>
          <w:color w:val="202020"/>
          <w:shd w:val="clear" w:color="auto" w:fill="FFFFFF"/>
        </w:rPr>
      </w:pPr>
      <w:r>
        <w:rPr>
          <w:rFonts w:ascii="Times New Roman" w:hAnsi="Times New Roman" w:cs="Times New Roman"/>
          <w:color w:val="202020"/>
          <w:shd w:val="clear" w:color="auto" w:fill="FFFFFF"/>
        </w:rPr>
        <w:t xml:space="preserve">Olulise mõju sisustamisel saab lähtuda </w:t>
      </w:r>
      <w:r w:rsidR="0060372C">
        <w:rPr>
          <w:rFonts w:ascii="Times New Roman" w:hAnsi="Times New Roman" w:cs="Times New Roman"/>
          <w:color w:val="202020"/>
          <w:shd w:val="clear" w:color="auto" w:fill="FFFFFF"/>
        </w:rPr>
        <w:t>kohtupraktikast, kus on</w:t>
      </w:r>
      <w:r w:rsidR="00AB06ED">
        <w:rPr>
          <w:rFonts w:ascii="Times New Roman" w:hAnsi="Times New Roman" w:cs="Times New Roman"/>
          <w:color w:val="202020"/>
          <w:shd w:val="clear" w:color="auto" w:fill="FFFFFF"/>
        </w:rPr>
        <w:t xml:space="preserve"> olulisena on välja toodud asjaolud, mille puudumisel oleks otsus teistsugune. Samuti on võimalik olulise mõju hindamisel ning ametikohaga seonduvate riskide kaardistamisel saada abi Ametnikueetika Nõukogult. </w:t>
      </w:r>
    </w:p>
    <w:p w14:paraId="333E535B" w14:textId="77777777" w:rsidR="00B76A86" w:rsidRPr="000254D4" w:rsidRDefault="00B76A86" w:rsidP="000254D4">
      <w:pPr>
        <w:spacing w:line="276" w:lineRule="auto"/>
        <w:jc w:val="both"/>
        <w:rPr>
          <w:rFonts w:ascii="Times New Roman" w:hAnsi="Times New Roman" w:cs="Times New Roman"/>
          <w:color w:val="202020"/>
          <w:shd w:val="clear" w:color="auto" w:fill="FFFFFF"/>
        </w:rPr>
      </w:pPr>
    </w:p>
    <w:p w14:paraId="5BFBB889" w14:textId="3A29C694" w:rsidR="00DB4071" w:rsidRPr="00030FF9" w:rsidRDefault="00DB4071" w:rsidP="000254D4">
      <w:pPr>
        <w:pStyle w:val="Normaallaadveeb"/>
        <w:numPr>
          <w:ilvl w:val="0"/>
          <w:numId w:val="38"/>
        </w:numPr>
        <w:spacing w:line="276" w:lineRule="auto"/>
        <w:rPr>
          <w:b/>
          <w:bCs/>
        </w:rPr>
      </w:pPr>
      <w:r w:rsidRPr="00030FF9">
        <w:rPr>
          <w:b/>
          <w:bCs/>
        </w:rPr>
        <w:t>Eelnõu vastavus Euroopa Liidu õigusele ja rahvusvahelisele õigusele</w:t>
      </w:r>
    </w:p>
    <w:p w14:paraId="20867C64" w14:textId="591F3709" w:rsidR="00D0096C" w:rsidRPr="000254D4" w:rsidRDefault="008C3867" w:rsidP="000254D4">
      <w:pPr>
        <w:pStyle w:val="Normaallaadveeb"/>
        <w:spacing w:line="276" w:lineRule="auto"/>
      </w:pPr>
      <w:r w:rsidRPr="000254D4">
        <w:t>Eelnõus käsitletav pöörduste efekt eh</w:t>
      </w:r>
      <w:r w:rsidR="00030FF9">
        <w:t>k</w:t>
      </w:r>
      <w:r w:rsidRPr="000254D4">
        <w:t xml:space="preserve"> „</w:t>
      </w:r>
      <w:r w:rsidR="00DB4071" w:rsidRPr="000254D4">
        <w:t>r</w:t>
      </w:r>
      <w:r w:rsidR="00D0096C" w:rsidRPr="000254D4">
        <w:t xml:space="preserve">evolving doors” on EL-is </w:t>
      </w:r>
      <w:r w:rsidR="00BE3335" w:rsidRPr="000254D4">
        <w:t xml:space="preserve">järjest aktuaalsem </w:t>
      </w:r>
      <w:r w:rsidR="00D0096C" w:rsidRPr="000254D4">
        <w:t>eriti seoses suurte tehnoloogia- ja finantssektori ettevõtetega.</w:t>
      </w:r>
      <w:r w:rsidR="00AB0F93" w:rsidRPr="000254D4">
        <w:t xml:space="preserve"> EL </w:t>
      </w:r>
      <w:r w:rsidR="00D0096C" w:rsidRPr="000254D4">
        <w:t>Ombudsman rõhutab vajadust</w:t>
      </w:r>
      <w:r w:rsidR="00AB0F93" w:rsidRPr="000254D4">
        <w:t xml:space="preserve"> </w:t>
      </w:r>
      <w:r w:rsidR="00D0096C" w:rsidRPr="000254D4">
        <w:t xml:space="preserve">rangemate ja selgemate piirangute </w:t>
      </w:r>
      <w:r w:rsidR="00AB0F93" w:rsidRPr="000254D4">
        <w:t xml:space="preserve">ja järelevalve ning EL ühtse raamistiku </w:t>
      </w:r>
      <w:r w:rsidR="00D0096C" w:rsidRPr="000254D4">
        <w:t>järele</w:t>
      </w:r>
      <w:r w:rsidR="009F5C03" w:rsidRPr="000254D4">
        <w:t xml:space="preserve">. </w:t>
      </w:r>
      <w:hyperlink r:id="rId5" w:history="1">
        <w:r w:rsidR="00030FF9" w:rsidRPr="00030FF9">
          <w:rPr>
            <w:rFonts w:asciiTheme="minorHAnsi" w:eastAsiaTheme="minorHAnsi" w:hAnsiTheme="minorHAnsi" w:cstheme="minorBidi"/>
            <w:color w:val="0000FF"/>
            <w:kern w:val="2"/>
            <w:u w:val="single"/>
            <w:lang w:eastAsia="en-US"/>
            <w14:ligatures w14:val="standardContextual"/>
          </w:rPr>
          <w:t>How EU agencies deal with ‘revolving door’ cases | Case | European Ombudsman</w:t>
        </w:r>
      </w:hyperlink>
    </w:p>
    <w:p w14:paraId="45AC5214" w14:textId="11EF34C4" w:rsidR="005921BA" w:rsidRPr="000254D4" w:rsidRDefault="005921BA" w:rsidP="000254D4">
      <w:pPr>
        <w:pStyle w:val="Normaallaadveeb"/>
        <w:spacing w:line="276" w:lineRule="auto"/>
      </w:pPr>
      <w:r w:rsidRPr="000254D4">
        <w:t xml:space="preserve">ÜRO korruptsioonivastane konventsioon </w:t>
      </w:r>
      <w:r w:rsidR="00CE0186" w:rsidRPr="000254D4">
        <w:t>(RT II 2010, 4, 10</w:t>
      </w:r>
      <w:r w:rsidR="006C267C" w:rsidRPr="000254D4">
        <w:t xml:space="preserve">) artikkel 12 lg 2  p e) näeb osalisriikidele ette kohustuse võtta meetmeid huvide konfliktide ennetamiseks, kohaldades vajaduse korral ja mõistlikuks ajavahemikuks piiranguid endiste ametiisikute kutsetegevusele või ametisikute töötamisele erasektoris pärast ametist lahkumist või pensionile jäämist, kui selline tegevus või töötamine on otseselt seotud ametiisikute poolt ametisoleku ajal täidetud või kontrollitud tööülesannetega. </w:t>
      </w:r>
    </w:p>
    <w:p w14:paraId="3098845B" w14:textId="68501B28" w:rsidR="006C267C" w:rsidRPr="000254D4" w:rsidRDefault="006C267C" w:rsidP="000254D4">
      <w:pPr>
        <w:pStyle w:val="Normaallaadveeb"/>
        <w:spacing w:line="276" w:lineRule="auto"/>
      </w:pPr>
      <w:r w:rsidRPr="000254D4">
        <w:t>Käesoleval ajal näeb Eesti õigus ette avaliku teenistuse seaduse § 60 lõikes 5 keelu teenistusest vabastatud ametnikule ühe aasta jooksul vabastamise päevast arvates saada korruptsioonivastase seaduse § 7 lõike 1 punktide 2 ja 3 tähenduses seotud isikuks sellise eraõigusliku juriidilise isikuga, kelle üle ta viimase aasta jooksul on teostanud vahetult või püsivalt järelevalvet.</w:t>
      </w:r>
      <w:r w:rsidR="00996FB5" w:rsidRPr="000254D4">
        <w:t xml:space="preserve"> </w:t>
      </w:r>
    </w:p>
    <w:p w14:paraId="70F7ADE4" w14:textId="124B52BF" w:rsidR="00C675C9" w:rsidRDefault="00996FB5" w:rsidP="000254D4">
      <w:pPr>
        <w:pStyle w:val="Normaallaadveeb"/>
        <w:spacing w:line="276" w:lineRule="auto"/>
      </w:pPr>
      <w:r w:rsidRPr="000254D4">
        <w:t>Seega puudub käesoleval ajal</w:t>
      </w:r>
      <w:r w:rsidR="00716940" w:rsidRPr="000254D4">
        <w:t xml:space="preserve"> Eesti õiguskorras reeglistik, mis korraldaks juhtumeid, kui spetsiifilise oskusteabe ja avalikust teenistusest saadud sidemete kogemustega isik</w:t>
      </w:r>
      <w:r w:rsidR="00030FF9">
        <w:t>, kes avalikku võimu teostades ei ole teostanud järelevalvet, kuid on nt tegelenud hangetega, poliitikate väljatöötamisega, vms.,</w:t>
      </w:r>
      <w:r w:rsidR="00716940" w:rsidRPr="000254D4">
        <w:t xml:space="preserve"> on liikumas erasektoisse. </w:t>
      </w:r>
      <w:r w:rsidR="00C675C9">
        <w:t xml:space="preserve">Lisaks avalikele teenistujatele on </w:t>
      </w:r>
      <w:r w:rsidR="00C675C9">
        <w:lastRenderedPageBreak/>
        <w:t>samasugune huvide konflikti risk ka töö-, käsundus- ja muude lepingute alusel tegutsevatel isikutel, kes tulenevalt oma ülesandest võivad olla ametiisikud. Eeltoodust tulenevalt on kohane</w:t>
      </w:r>
      <w:r w:rsidR="005F51D7">
        <w:t xml:space="preserve"> pöördukse efekti lahendavad reeglid esitada korruptsioonivastases seaduses, kuivõrd avaliku teenistuse seadus reguleerib vaid avalike teenistujate, kuid mitte muude ametiisikute õigusi ja kohustusi.  </w:t>
      </w:r>
    </w:p>
    <w:p w14:paraId="6E7BCFEC" w14:textId="3DFBBFA7" w:rsidR="002B78E6" w:rsidRPr="00AC7457" w:rsidRDefault="002B78E6" w:rsidP="000254D4">
      <w:pPr>
        <w:pStyle w:val="Normaallaadveeb"/>
        <w:spacing w:line="276" w:lineRule="auto"/>
      </w:pPr>
      <w:r w:rsidRPr="00AC7457">
        <w:t xml:space="preserve">Käesoleval ajal on toimumas korruptsioonivastase seaduse revisjon, mille käigus </w:t>
      </w:r>
      <w:r w:rsidRPr="00AC7457">
        <w:rPr>
          <w:color w:val="000000"/>
        </w:rPr>
        <w:t xml:space="preserve">analüüsitakse kehtiva seaduse probleeme, töötatakse välja võimalikud lahendusvariandid ning valmistatakse ette uus regulatsioon. Planeeritud ajakava kohaselt peaks revisjoni tulemusena valmiv uus korruptsioonivastane seadus olema vastu võetud ja jõustunud 2029. aasta lõpuks. Samas on pöörduste efektist tulenevad riskid olemas juba täna ning nende väljatoomine Kaitsepolitseiameti 2025-2026 aastaraamatus </w:t>
      </w:r>
      <w:r w:rsidR="00AC7457" w:rsidRPr="00AC7457">
        <w:rPr>
          <w:color w:val="000000"/>
        </w:rPr>
        <w:t xml:space="preserve">on muutnud möödapääsmatuks nende riskide adresseerimise käesoleva eelnõuga juba varem. </w:t>
      </w:r>
    </w:p>
    <w:p w14:paraId="44FAF218" w14:textId="7C441740" w:rsidR="00746219" w:rsidRPr="000254D4" w:rsidRDefault="00AC7457" w:rsidP="000254D4">
      <w:pPr>
        <w:pStyle w:val="Normaallaadveeb"/>
        <w:spacing w:line="276" w:lineRule="auto"/>
      </w:pPr>
      <w:r>
        <w:t>Pöörduste efektiga kaasnevaid riske on</w:t>
      </w:r>
      <w:r w:rsidR="00716940" w:rsidRPr="000254D4">
        <w:t xml:space="preserve"> E</w:t>
      </w:r>
      <w:r w:rsidR="00EA4F56">
        <w:t xml:space="preserve">uroopa </w:t>
      </w:r>
      <w:r w:rsidR="00716940" w:rsidRPr="000254D4">
        <w:t>L</w:t>
      </w:r>
      <w:r w:rsidR="00EA4F56">
        <w:t>iidu</w:t>
      </w:r>
      <w:r w:rsidR="00716940" w:rsidRPr="000254D4">
        <w:t xml:space="preserve"> riikide õiguses käsitletud mitmeti. Nt näeb </w:t>
      </w:r>
      <w:r w:rsidR="009F5C03" w:rsidRPr="000254D4">
        <w:t xml:space="preserve">Belgias </w:t>
      </w:r>
      <w:r w:rsidR="00AF61BA" w:rsidRPr="000254D4">
        <w:t xml:space="preserve">seadus ette </w:t>
      </w:r>
      <w:r w:rsidR="00746219" w:rsidRPr="000254D4">
        <w:t>ministrite, parlamendiliikmete ja mõnede kõrgemate ametnike jahtumisperioodiks</w:t>
      </w:r>
      <w:r w:rsidR="009F5C03" w:rsidRPr="000254D4">
        <w:t xml:space="preserve"> 1 aasta</w:t>
      </w:r>
      <w:r w:rsidR="00746219" w:rsidRPr="000254D4">
        <w:t xml:space="preserve"> (erandid tehakse kui asub tööle ministri kabinetis, põhiseaduskohtus või diplomaadina). H</w:t>
      </w:r>
      <w:r w:rsidR="009F5C03" w:rsidRPr="000254D4">
        <w:t xml:space="preserve">orvaatias </w:t>
      </w:r>
      <w:r w:rsidR="00746219" w:rsidRPr="000254D4">
        <w:t xml:space="preserve">sisaldab huvide konflikti vältimise seadus üldsätet terve rea avalike ametikandjate, sh parlamendiliikmete kohta, kes 18 kuu jooksul ametist lahkumisest </w:t>
      </w:r>
      <w:r w:rsidR="00EA4F56">
        <w:t xml:space="preserve">ei või </w:t>
      </w:r>
      <w:r w:rsidR="00746219" w:rsidRPr="000254D4">
        <w:t xml:space="preserve">minna tööle kohta, mille üle teostasid enne järelevalvet või muud avalikku võimu või omasid ärisuhteid. Lätis </w:t>
      </w:r>
      <w:r w:rsidR="00AD56EC" w:rsidRPr="000254D4">
        <w:t xml:space="preserve">on </w:t>
      </w:r>
      <w:r w:rsidR="00AF61BA" w:rsidRPr="000254D4">
        <w:t xml:space="preserve">seadusest tulenev </w:t>
      </w:r>
      <w:r w:rsidR="00AD56EC" w:rsidRPr="000254D4">
        <w:t>2-aastane jahtumisperiood ametnikele, kes on osalenud hankemenetluses või vahendite andmise otsuses või teostanud järelevalvet, uurimist või sanktsioneerimist või viinud läbi pankrotimenetluse. Leedus on seadusega reguleeritud avaliku teenistuse ja parlamendi osas 1-aastane jahtumisperiood</w:t>
      </w:r>
      <w:r w:rsidR="00AF61BA" w:rsidRPr="000254D4">
        <w:t xml:space="preserve"> töötamise osas endiste </w:t>
      </w:r>
      <w:r w:rsidR="00AD56EC" w:rsidRPr="000254D4">
        <w:t xml:space="preserve">järelevalvatavate </w:t>
      </w:r>
      <w:r w:rsidR="00AF61BA" w:rsidRPr="000254D4">
        <w:t xml:space="preserve">heaks ja isikute ja asutuste heaks, kelle osas tehti finantseerimise ja muid otsuseid. Sloveenia korruptsiooni tõkestamise seadus näeb ette 2-aastase jahtumisperioodi avalikele teenistujatele ja parlamendiliikmetele. Portugalis on 3-aastane jahtumisperiood poliitilist järelevalvet teostanud isikutele.   </w:t>
      </w:r>
    </w:p>
    <w:p w14:paraId="4CE38843" w14:textId="6F2EEED8" w:rsidR="00A91885" w:rsidRPr="000254D4" w:rsidRDefault="00A91885" w:rsidP="000254D4">
      <w:pPr>
        <w:spacing w:before="100" w:beforeAutospacing="1" w:after="100" w:afterAutospacing="1" w:line="276" w:lineRule="auto"/>
        <w:outlineLvl w:val="2"/>
        <w:rPr>
          <w:rFonts w:ascii="Times New Roman" w:eastAsia="Times New Roman" w:hAnsi="Times New Roman" w:cs="Times New Roman"/>
          <w:kern w:val="0"/>
          <w:lang w:eastAsia="et-EE"/>
          <w14:ligatures w14:val="none"/>
        </w:rPr>
      </w:pPr>
      <w:r w:rsidRPr="000254D4">
        <w:rPr>
          <w:rFonts w:ascii="Times New Roman" w:eastAsia="Times New Roman" w:hAnsi="Times New Roman" w:cs="Times New Roman"/>
          <w:kern w:val="0"/>
          <w:lang w:eastAsia="et-EE"/>
          <w14:ligatures w14:val="none"/>
        </w:rPr>
        <w:t>Prantsusmaa</w:t>
      </w:r>
      <w:r w:rsidR="003922EF" w:rsidRPr="000254D4">
        <w:rPr>
          <w:rFonts w:ascii="Times New Roman" w:eastAsia="Times New Roman" w:hAnsi="Times New Roman" w:cs="Times New Roman"/>
          <w:kern w:val="0"/>
          <w:lang w:eastAsia="et-EE"/>
          <w14:ligatures w14:val="none"/>
        </w:rPr>
        <w:t>l on p</w:t>
      </w:r>
      <w:r w:rsidRPr="000254D4">
        <w:rPr>
          <w:rFonts w:ascii="Times New Roman" w:eastAsia="Times New Roman" w:hAnsi="Times New Roman" w:cs="Times New Roman"/>
          <w:kern w:val="0"/>
          <w:lang w:eastAsia="et-EE"/>
          <w14:ligatures w14:val="none"/>
        </w:rPr>
        <w:t>arlamendiliikmetel eraldi huvide konflikti ja lobitöö reeglid, aga jahenemisperiood on pigem erandlik.</w:t>
      </w:r>
      <w:r w:rsidR="003922EF" w:rsidRPr="000254D4">
        <w:rPr>
          <w:rFonts w:ascii="Times New Roman" w:eastAsia="Times New Roman" w:hAnsi="Times New Roman" w:cs="Times New Roman"/>
          <w:kern w:val="0"/>
          <w:lang w:eastAsia="et-EE"/>
          <w14:ligatures w14:val="none"/>
        </w:rPr>
        <w:t xml:space="preserve"> </w:t>
      </w:r>
      <w:r w:rsidR="00A027B4" w:rsidRPr="000254D4">
        <w:rPr>
          <w:rFonts w:ascii="Times New Roman" w:eastAsia="Times New Roman" w:hAnsi="Times New Roman" w:cs="Times New Roman"/>
          <w:kern w:val="0"/>
          <w:lang w:eastAsia="et-EE"/>
          <w14:ligatures w14:val="none"/>
        </w:rPr>
        <w:t xml:space="preserve">Avaliku Teenistuse Läbipaistvuse Kõrge Amet </w:t>
      </w:r>
      <w:r w:rsidRPr="000254D4">
        <w:rPr>
          <w:rFonts w:ascii="Times New Roman" w:eastAsia="Times New Roman" w:hAnsi="Times New Roman" w:cs="Times New Roman"/>
          <w:kern w:val="0"/>
          <w:lang w:eastAsia="et-EE"/>
          <w14:ligatures w14:val="none"/>
        </w:rPr>
        <w:t>(Haute Autorité pour la transparence de la vie publique</w:t>
      </w:r>
      <w:r w:rsidR="00AF61BA" w:rsidRPr="000254D4">
        <w:rPr>
          <w:rFonts w:ascii="Times New Roman" w:eastAsia="Times New Roman" w:hAnsi="Times New Roman" w:cs="Times New Roman"/>
          <w:kern w:val="0"/>
          <w:lang w:eastAsia="et-EE"/>
          <w14:ligatures w14:val="none"/>
        </w:rPr>
        <w:t xml:space="preserve"> – hatvp.fr</w:t>
      </w:r>
      <w:r w:rsidRPr="000254D4">
        <w:rPr>
          <w:rFonts w:ascii="Times New Roman" w:eastAsia="Times New Roman" w:hAnsi="Times New Roman" w:cs="Times New Roman"/>
          <w:kern w:val="0"/>
          <w:lang w:eastAsia="et-EE"/>
          <w14:ligatures w14:val="none"/>
        </w:rPr>
        <w:t>)</w:t>
      </w:r>
      <w:r w:rsidR="003922EF" w:rsidRPr="000254D4">
        <w:rPr>
          <w:rFonts w:ascii="Times New Roman" w:eastAsia="Times New Roman" w:hAnsi="Times New Roman" w:cs="Times New Roman"/>
          <w:kern w:val="0"/>
          <w:lang w:eastAsia="et-EE"/>
          <w14:ligatures w14:val="none"/>
        </w:rPr>
        <w:t xml:space="preserve"> hindab </w:t>
      </w:r>
      <w:r w:rsidR="00030FF9">
        <w:rPr>
          <w:rFonts w:ascii="Times New Roman" w:eastAsia="Times New Roman" w:hAnsi="Times New Roman" w:cs="Times New Roman"/>
          <w:kern w:val="0"/>
          <w:lang w:eastAsia="et-EE"/>
          <w14:ligatures w14:val="none"/>
        </w:rPr>
        <w:t xml:space="preserve">ametiisikute osas </w:t>
      </w:r>
      <w:r w:rsidR="003922EF" w:rsidRPr="000254D4">
        <w:rPr>
          <w:rFonts w:ascii="Times New Roman" w:eastAsia="Times New Roman" w:hAnsi="Times New Roman" w:cs="Times New Roman"/>
          <w:kern w:val="0"/>
          <w:lang w:eastAsia="et-EE"/>
          <w14:ligatures w14:val="none"/>
        </w:rPr>
        <w:t xml:space="preserve">kas </w:t>
      </w:r>
      <w:r w:rsidR="00030FF9">
        <w:rPr>
          <w:rFonts w:ascii="Times New Roman" w:eastAsia="Times New Roman" w:hAnsi="Times New Roman" w:cs="Times New Roman"/>
          <w:kern w:val="0"/>
          <w:lang w:eastAsia="et-EE"/>
          <w14:ligatures w14:val="none"/>
        </w:rPr>
        <w:t xml:space="preserve">nende </w:t>
      </w:r>
      <w:r w:rsidR="003922EF" w:rsidRPr="000254D4">
        <w:rPr>
          <w:rFonts w:ascii="Times New Roman" w:eastAsia="Times New Roman" w:hAnsi="Times New Roman" w:cs="Times New Roman"/>
          <w:kern w:val="0"/>
          <w:lang w:eastAsia="et-EE"/>
          <w14:ligatures w14:val="none"/>
        </w:rPr>
        <w:t xml:space="preserve">uus töökoht võib tekitada huvide konflikti, võib anda keelu või tingimusliku loa (nt mitte tegeleda teatud klientidega. </w:t>
      </w:r>
      <w:r w:rsidRPr="000254D4">
        <w:rPr>
          <w:rFonts w:ascii="Times New Roman" w:eastAsia="Times New Roman" w:hAnsi="Times New Roman" w:cs="Times New Roman"/>
          <w:kern w:val="0"/>
          <w:lang w:eastAsia="et-EE"/>
          <w14:ligatures w14:val="none"/>
        </w:rPr>
        <w:t>Jahenemisperiood võib olla kuni 3 aastat teatud ametikohtade puhul, eriti kui minnakse erasektorisse valdkonda, mida varem reguleeriti.</w:t>
      </w:r>
      <w:r w:rsidR="00BE3335"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HATVP avaldab otsuseid ja arvamusi, mis loob märkimisväärse avaliku surve.</w:t>
      </w:r>
      <w:r w:rsidR="003922EF" w:rsidRPr="000254D4">
        <w:rPr>
          <w:rFonts w:ascii="Times New Roman" w:eastAsia="Times New Roman" w:hAnsi="Times New Roman" w:cs="Times New Roman"/>
          <w:kern w:val="0"/>
          <w:lang w:eastAsia="et-EE"/>
          <w14:ligatures w14:val="none"/>
        </w:rPr>
        <w:t xml:space="preserve"> Prantsusmaa </w:t>
      </w:r>
      <w:r w:rsidRPr="000254D4">
        <w:rPr>
          <w:rFonts w:ascii="Times New Roman" w:eastAsia="Times New Roman" w:hAnsi="Times New Roman" w:cs="Times New Roman"/>
          <w:kern w:val="0"/>
          <w:lang w:eastAsia="et-EE"/>
          <w14:ligatures w14:val="none"/>
        </w:rPr>
        <w:t>on üks rangemaid Euroopa riike “revolving doors” osas</w:t>
      </w:r>
      <w:r w:rsidR="00712926" w:rsidRPr="000254D4">
        <w:rPr>
          <w:rFonts w:ascii="Times New Roman" w:eastAsia="Times New Roman" w:hAnsi="Times New Roman" w:cs="Times New Roman"/>
          <w:kern w:val="0"/>
          <w:lang w:eastAsia="et-EE"/>
          <w14:ligatures w14:val="none"/>
        </w:rPr>
        <w:t xml:space="preserve">. Samas on ka </w:t>
      </w:r>
      <w:r w:rsidRPr="000254D4">
        <w:rPr>
          <w:rFonts w:ascii="Times New Roman" w:eastAsia="Times New Roman" w:hAnsi="Times New Roman" w:cs="Times New Roman"/>
          <w:kern w:val="0"/>
          <w:lang w:eastAsia="et-EE"/>
          <w14:ligatures w14:val="none"/>
        </w:rPr>
        <w:t>skandaal</w:t>
      </w:r>
      <w:r w:rsidR="00712926" w:rsidRPr="000254D4">
        <w:rPr>
          <w:rFonts w:ascii="Times New Roman" w:eastAsia="Times New Roman" w:hAnsi="Times New Roman" w:cs="Times New Roman"/>
          <w:kern w:val="0"/>
          <w:lang w:eastAsia="et-EE"/>
          <w14:ligatures w14:val="none"/>
        </w:rPr>
        <w:t>e</w:t>
      </w:r>
      <w:r w:rsidRPr="000254D4">
        <w:rPr>
          <w:rFonts w:ascii="Times New Roman" w:eastAsia="Times New Roman" w:hAnsi="Times New Roman" w:cs="Times New Roman"/>
          <w:kern w:val="0"/>
          <w:lang w:eastAsia="et-EE"/>
          <w14:ligatures w14:val="none"/>
        </w:rPr>
        <w:t>, mis näitavad, et poliitiline surve ja “hallid tsoonid” ei kao ka tugeva raamistikuga.</w:t>
      </w:r>
    </w:p>
    <w:p w14:paraId="287F9CC4" w14:textId="5CA8AD53" w:rsidR="00A91885" w:rsidRPr="000254D4" w:rsidRDefault="00A91885" w:rsidP="000254D4">
      <w:pPr>
        <w:spacing w:before="100" w:beforeAutospacing="1" w:after="100" w:afterAutospacing="1" w:line="276" w:lineRule="auto"/>
        <w:outlineLvl w:val="2"/>
        <w:rPr>
          <w:rFonts w:ascii="Times New Roman" w:eastAsia="Times New Roman" w:hAnsi="Times New Roman" w:cs="Times New Roman"/>
          <w:kern w:val="0"/>
          <w:lang w:eastAsia="et-EE"/>
          <w14:ligatures w14:val="none"/>
        </w:rPr>
      </w:pPr>
      <w:r w:rsidRPr="000254D4">
        <w:rPr>
          <w:rFonts w:ascii="Times New Roman" w:eastAsia="Times New Roman" w:hAnsi="Times New Roman" w:cs="Times New Roman"/>
          <w:kern w:val="0"/>
          <w:lang w:eastAsia="et-EE"/>
          <w14:ligatures w14:val="none"/>
        </w:rPr>
        <w:t>Põhjamaad</w:t>
      </w:r>
      <w:r w:rsidR="00712926" w:rsidRPr="000254D4">
        <w:rPr>
          <w:rFonts w:ascii="Times New Roman" w:eastAsia="Times New Roman" w:hAnsi="Times New Roman" w:cs="Times New Roman"/>
          <w:kern w:val="0"/>
          <w:lang w:eastAsia="et-EE"/>
          <w14:ligatures w14:val="none"/>
        </w:rPr>
        <w:t xml:space="preserve"> on korruptsioonitaju indeksis kõrgetel kohtadel, seal on avalikkuse </w:t>
      </w:r>
      <w:r w:rsidRPr="000254D4">
        <w:rPr>
          <w:rFonts w:ascii="Times New Roman" w:eastAsia="Times New Roman" w:hAnsi="Times New Roman" w:cs="Times New Roman"/>
          <w:kern w:val="0"/>
          <w:lang w:eastAsia="et-EE"/>
          <w14:ligatures w14:val="none"/>
        </w:rPr>
        <w:t>kõrge usaldus ja suhteliselt vähe formaalseid keelde, aga tugev avaliku eetika kultuur.</w:t>
      </w:r>
      <w:r w:rsidR="00BE3335"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Rootsi</w:t>
      </w:r>
      <w:r w:rsidR="00712926" w:rsidRPr="000254D4">
        <w:rPr>
          <w:rFonts w:ascii="Times New Roman" w:eastAsia="Times New Roman" w:hAnsi="Times New Roman" w:cs="Times New Roman"/>
          <w:kern w:val="0"/>
          <w:lang w:eastAsia="et-EE"/>
          <w14:ligatures w14:val="none"/>
        </w:rPr>
        <w:t>s ei ole m</w:t>
      </w:r>
      <w:r w:rsidRPr="000254D4">
        <w:rPr>
          <w:rFonts w:ascii="Times New Roman" w:eastAsia="Times New Roman" w:hAnsi="Times New Roman" w:cs="Times New Roman"/>
          <w:kern w:val="0"/>
          <w:lang w:eastAsia="et-EE"/>
          <w14:ligatures w14:val="none"/>
        </w:rPr>
        <w:t>inistritel ja parlamendiliikmetel üldist seadus</w:t>
      </w:r>
      <w:r w:rsidR="00EA4F56">
        <w:rPr>
          <w:rFonts w:ascii="Times New Roman" w:eastAsia="Times New Roman" w:hAnsi="Times New Roman" w:cs="Times New Roman"/>
          <w:kern w:val="0"/>
          <w:lang w:eastAsia="et-EE"/>
          <w14:ligatures w14:val="none"/>
        </w:rPr>
        <w:t>est tulenevat</w:t>
      </w:r>
      <w:r w:rsidRPr="000254D4">
        <w:rPr>
          <w:rFonts w:ascii="Times New Roman" w:eastAsia="Times New Roman" w:hAnsi="Times New Roman" w:cs="Times New Roman"/>
          <w:kern w:val="0"/>
          <w:lang w:eastAsia="et-EE"/>
          <w14:ligatures w14:val="none"/>
        </w:rPr>
        <w:t xml:space="preserve"> jahenemisperioodi.</w:t>
      </w:r>
      <w:r w:rsidR="00712926"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Tippametnike puhul võib olla administratiivseid piiranguid (nt ei tohi teatud aega tegeleda konkreetsete asjadega, mi</w:t>
      </w:r>
      <w:r w:rsidR="0054004D">
        <w:rPr>
          <w:rFonts w:ascii="Times New Roman" w:eastAsia="Times New Roman" w:hAnsi="Times New Roman" w:cs="Times New Roman"/>
          <w:kern w:val="0"/>
          <w:lang w:eastAsia="et-EE"/>
          <w14:ligatures w14:val="none"/>
        </w:rPr>
        <w:t>lle osas varasemas töökohas otsuseid tehti</w:t>
      </w:r>
      <w:r w:rsidRPr="000254D4">
        <w:rPr>
          <w:rFonts w:ascii="Times New Roman" w:eastAsia="Times New Roman" w:hAnsi="Times New Roman" w:cs="Times New Roman"/>
          <w:kern w:val="0"/>
          <w:lang w:eastAsia="et-EE"/>
          <w14:ligatures w14:val="none"/>
        </w:rPr>
        <w:t>).</w:t>
      </w:r>
      <w:r w:rsidR="00BE3335"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Soome</w:t>
      </w:r>
      <w:r w:rsidR="00712926" w:rsidRPr="000254D4">
        <w:rPr>
          <w:rFonts w:ascii="Times New Roman" w:eastAsia="Times New Roman" w:hAnsi="Times New Roman" w:cs="Times New Roman"/>
          <w:kern w:val="0"/>
          <w:lang w:eastAsia="et-EE"/>
          <w14:ligatures w14:val="none"/>
        </w:rPr>
        <w:t>s on sarnaselt Rootsile v</w:t>
      </w:r>
      <w:r w:rsidRPr="000254D4">
        <w:rPr>
          <w:rFonts w:ascii="Times New Roman" w:eastAsia="Times New Roman" w:hAnsi="Times New Roman" w:cs="Times New Roman"/>
          <w:kern w:val="0"/>
          <w:lang w:eastAsia="et-EE"/>
          <w14:ligatures w14:val="none"/>
        </w:rPr>
        <w:t xml:space="preserve">ähe </w:t>
      </w:r>
      <w:r w:rsidRPr="000254D4">
        <w:rPr>
          <w:rFonts w:ascii="Times New Roman" w:eastAsia="Times New Roman" w:hAnsi="Times New Roman" w:cs="Times New Roman"/>
          <w:kern w:val="0"/>
          <w:lang w:eastAsia="et-EE"/>
          <w14:ligatures w14:val="none"/>
        </w:rPr>
        <w:lastRenderedPageBreak/>
        <w:t>formaalseid “revolving doors” keelde,</w:t>
      </w:r>
      <w:r w:rsidR="00706C0D" w:rsidRPr="000254D4">
        <w:rPr>
          <w:rFonts w:ascii="Times New Roman" w:eastAsia="Times New Roman" w:hAnsi="Times New Roman" w:cs="Times New Roman"/>
          <w:kern w:val="0"/>
          <w:lang w:eastAsia="et-EE"/>
          <w14:ligatures w14:val="none"/>
        </w:rPr>
        <w:t xml:space="preserve"> t</w:t>
      </w:r>
      <w:r w:rsidRPr="000254D4">
        <w:rPr>
          <w:rFonts w:ascii="Times New Roman" w:eastAsia="Times New Roman" w:hAnsi="Times New Roman" w:cs="Times New Roman"/>
          <w:kern w:val="0"/>
          <w:lang w:eastAsia="et-EE"/>
          <w14:ligatures w14:val="none"/>
        </w:rPr>
        <w:t>ippametnike puhul kasutatakse pigem juhtumipõhist hindamist kui jäika jahenemisperioodi.</w:t>
      </w:r>
      <w:r w:rsidR="00BE3335"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Norra</w:t>
      </w:r>
      <w:r w:rsidR="00706C0D" w:rsidRPr="000254D4">
        <w:rPr>
          <w:rFonts w:ascii="Times New Roman" w:eastAsia="Times New Roman" w:hAnsi="Times New Roman" w:cs="Times New Roman"/>
          <w:kern w:val="0"/>
          <w:lang w:eastAsia="et-EE"/>
          <w14:ligatures w14:val="none"/>
        </w:rPr>
        <w:t xml:space="preserve">s on rohkem </w:t>
      </w:r>
      <w:r w:rsidRPr="000254D4">
        <w:rPr>
          <w:rFonts w:ascii="Times New Roman" w:eastAsia="Times New Roman" w:hAnsi="Times New Roman" w:cs="Times New Roman"/>
          <w:kern w:val="0"/>
          <w:lang w:eastAsia="et-EE"/>
          <w14:ligatures w14:val="none"/>
        </w:rPr>
        <w:t>formaalseid reegleid tippametnikele, sh võimalus kehtestada ajutisi piiranguid uuele tööle asumisel.</w:t>
      </w:r>
      <w:r w:rsidR="00706C0D"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Ministrite ja parlamendiliikmete puhul on fookus pigem poliitilisel vastutusel ja avalikul debatil.</w:t>
      </w:r>
      <w:r w:rsidR="00BE3335" w:rsidRPr="000254D4">
        <w:rPr>
          <w:rFonts w:ascii="Times New Roman" w:eastAsia="Times New Roman" w:hAnsi="Times New Roman" w:cs="Times New Roman"/>
          <w:kern w:val="0"/>
          <w:lang w:eastAsia="et-EE"/>
          <w14:ligatures w14:val="none"/>
        </w:rPr>
        <w:t xml:space="preserve"> </w:t>
      </w:r>
      <w:r w:rsidRPr="000254D4">
        <w:rPr>
          <w:rFonts w:ascii="Times New Roman" w:eastAsia="Times New Roman" w:hAnsi="Times New Roman" w:cs="Times New Roman"/>
          <w:kern w:val="0"/>
          <w:lang w:eastAsia="et-EE"/>
          <w14:ligatures w14:val="none"/>
        </w:rPr>
        <w:t>Taani</w:t>
      </w:r>
      <w:r w:rsidR="002F31CB" w:rsidRPr="000254D4">
        <w:rPr>
          <w:rFonts w:ascii="Times New Roman" w:eastAsia="Times New Roman" w:hAnsi="Times New Roman" w:cs="Times New Roman"/>
          <w:kern w:val="0"/>
          <w:lang w:eastAsia="et-EE"/>
          <w14:ligatures w14:val="none"/>
        </w:rPr>
        <w:t xml:space="preserve">s on </w:t>
      </w:r>
      <w:r w:rsidRPr="000254D4">
        <w:rPr>
          <w:rFonts w:ascii="Times New Roman" w:eastAsia="Times New Roman" w:hAnsi="Times New Roman" w:cs="Times New Roman"/>
          <w:kern w:val="0"/>
          <w:lang w:eastAsia="et-EE"/>
          <w14:ligatures w14:val="none"/>
        </w:rPr>
        <w:t>vähe formaalseid jahenemisperioode,</w:t>
      </w:r>
      <w:r w:rsidR="002F31CB" w:rsidRPr="000254D4">
        <w:rPr>
          <w:rFonts w:ascii="Times New Roman" w:eastAsia="Times New Roman" w:hAnsi="Times New Roman" w:cs="Times New Roman"/>
          <w:kern w:val="0"/>
          <w:lang w:eastAsia="et-EE"/>
          <w14:ligatures w14:val="none"/>
        </w:rPr>
        <w:t xml:space="preserve"> kuid t</w:t>
      </w:r>
      <w:r w:rsidRPr="000254D4">
        <w:rPr>
          <w:rFonts w:ascii="Times New Roman" w:eastAsia="Times New Roman" w:hAnsi="Times New Roman" w:cs="Times New Roman"/>
          <w:kern w:val="0"/>
          <w:lang w:eastAsia="et-EE"/>
          <w14:ligatures w14:val="none"/>
        </w:rPr>
        <w:t>ugevad lobitöö ja huvide konflikti reeglid,</w:t>
      </w:r>
      <w:r w:rsidR="002F31CB" w:rsidRPr="000254D4">
        <w:rPr>
          <w:rFonts w:ascii="Times New Roman" w:eastAsia="Times New Roman" w:hAnsi="Times New Roman" w:cs="Times New Roman"/>
          <w:kern w:val="0"/>
          <w:lang w:eastAsia="et-EE"/>
          <w14:ligatures w14:val="none"/>
        </w:rPr>
        <w:t xml:space="preserve"> samuti </w:t>
      </w:r>
      <w:r w:rsidRPr="000254D4">
        <w:rPr>
          <w:rFonts w:ascii="Times New Roman" w:eastAsia="Times New Roman" w:hAnsi="Times New Roman" w:cs="Times New Roman"/>
          <w:kern w:val="0"/>
          <w:lang w:eastAsia="et-EE"/>
          <w14:ligatures w14:val="none"/>
        </w:rPr>
        <w:t>aktiivne meedia, mis hoiab “revolving doors” juhtumeid avalikus fookuses.</w:t>
      </w:r>
    </w:p>
    <w:p w14:paraId="69B20E4E" w14:textId="6B18C9F9" w:rsidR="00A91885" w:rsidRPr="000254D4" w:rsidRDefault="00A91885" w:rsidP="000254D4">
      <w:pPr>
        <w:spacing w:before="100" w:beforeAutospacing="1" w:after="100" w:afterAutospacing="1" w:line="276" w:lineRule="auto"/>
        <w:rPr>
          <w:rFonts w:ascii="Times New Roman" w:eastAsia="Times New Roman" w:hAnsi="Times New Roman" w:cs="Times New Roman"/>
          <w:kern w:val="0"/>
          <w:lang w:eastAsia="et-EE"/>
          <w14:ligatures w14:val="none"/>
        </w:rPr>
      </w:pPr>
      <w:r w:rsidRPr="000254D4">
        <w:rPr>
          <w:rFonts w:ascii="Times New Roman" w:eastAsia="Times New Roman" w:hAnsi="Times New Roman" w:cs="Times New Roman"/>
          <w:kern w:val="0"/>
          <w:lang w:eastAsia="et-EE"/>
          <w14:ligatures w14:val="none"/>
        </w:rPr>
        <w:t>Põhjamaade</w:t>
      </w:r>
      <w:r w:rsidR="002F31CB" w:rsidRPr="000254D4">
        <w:rPr>
          <w:rFonts w:ascii="Times New Roman" w:eastAsia="Times New Roman" w:hAnsi="Times New Roman" w:cs="Times New Roman"/>
          <w:kern w:val="0"/>
          <w:lang w:eastAsia="et-EE"/>
          <w14:ligatures w14:val="none"/>
        </w:rPr>
        <w:t xml:space="preserve">s </w:t>
      </w:r>
      <w:r w:rsidR="007F19D9" w:rsidRPr="000254D4">
        <w:rPr>
          <w:rFonts w:ascii="Times New Roman" w:eastAsia="Times New Roman" w:hAnsi="Times New Roman" w:cs="Times New Roman"/>
          <w:kern w:val="0"/>
          <w:lang w:eastAsia="et-EE"/>
          <w14:ligatures w14:val="none"/>
        </w:rPr>
        <w:t xml:space="preserve">on </w:t>
      </w:r>
      <w:r w:rsidRPr="000254D4">
        <w:rPr>
          <w:rFonts w:ascii="Times New Roman" w:eastAsia="Times New Roman" w:hAnsi="Times New Roman" w:cs="Times New Roman"/>
          <w:kern w:val="0"/>
          <w:lang w:eastAsia="et-EE"/>
          <w14:ligatures w14:val="none"/>
        </w:rPr>
        <w:t xml:space="preserve">vähem </w:t>
      </w:r>
      <w:r w:rsidR="002F31CB" w:rsidRPr="000254D4">
        <w:rPr>
          <w:rFonts w:ascii="Times New Roman" w:eastAsia="Times New Roman" w:hAnsi="Times New Roman" w:cs="Times New Roman"/>
          <w:kern w:val="0"/>
          <w:lang w:eastAsia="et-EE"/>
          <w14:ligatures w14:val="none"/>
        </w:rPr>
        <w:t xml:space="preserve">õigusakte, kuid rohkem juhendeid ja </w:t>
      </w:r>
      <w:r w:rsidR="007F19D9" w:rsidRPr="000254D4">
        <w:rPr>
          <w:rFonts w:ascii="Times New Roman" w:eastAsia="Times New Roman" w:hAnsi="Times New Roman" w:cs="Times New Roman"/>
          <w:kern w:val="0"/>
          <w:lang w:eastAsia="et-EE"/>
          <w14:ligatures w14:val="none"/>
        </w:rPr>
        <w:t>sotsiaalset</w:t>
      </w:r>
      <w:r w:rsidRPr="000254D4">
        <w:rPr>
          <w:rFonts w:ascii="Times New Roman" w:eastAsia="Times New Roman" w:hAnsi="Times New Roman" w:cs="Times New Roman"/>
          <w:kern w:val="0"/>
          <w:lang w:eastAsia="et-EE"/>
          <w14:ligatures w14:val="none"/>
        </w:rPr>
        <w:t xml:space="preserve"> kontrolli</w:t>
      </w:r>
      <w:r w:rsidR="002F31CB" w:rsidRPr="000254D4">
        <w:rPr>
          <w:rFonts w:ascii="Times New Roman" w:eastAsia="Times New Roman" w:hAnsi="Times New Roman" w:cs="Times New Roman"/>
          <w:kern w:val="0"/>
          <w:lang w:eastAsia="et-EE"/>
          <w14:ligatures w14:val="none"/>
        </w:rPr>
        <w:t xml:space="preserve">, mille toimimise eelduseks on tugev </w:t>
      </w:r>
      <w:r w:rsidRPr="000254D4">
        <w:rPr>
          <w:rFonts w:ascii="Times New Roman" w:eastAsia="Times New Roman" w:hAnsi="Times New Roman" w:cs="Times New Roman"/>
          <w:kern w:val="0"/>
          <w:lang w:eastAsia="et-EE"/>
          <w14:ligatures w14:val="none"/>
        </w:rPr>
        <w:t>poliitiline kultuur</w:t>
      </w:r>
      <w:r w:rsidR="007F19D9" w:rsidRPr="000254D4">
        <w:rPr>
          <w:rFonts w:ascii="Times New Roman" w:eastAsia="Times New Roman" w:hAnsi="Times New Roman" w:cs="Times New Roman"/>
          <w:kern w:val="0"/>
          <w:lang w:eastAsia="et-EE"/>
          <w14:ligatures w14:val="none"/>
        </w:rPr>
        <w:t xml:space="preserve">, samas on </w:t>
      </w:r>
      <w:r w:rsidRPr="000254D4">
        <w:rPr>
          <w:rFonts w:ascii="Times New Roman" w:eastAsia="Times New Roman" w:hAnsi="Times New Roman" w:cs="Times New Roman"/>
          <w:kern w:val="0"/>
          <w:lang w:eastAsia="et-EE"/>
          <w14:ligatures w14:val="none"/>
        </w:rPr>
        <w:t xml:space="preserve">rahvusvahelise lobitöö ja suurte korporatsioonide surve kasvades hakatud arutama </w:t>
      </w:r>
      <w:r w:rsidR="007F19D9" w:rsidRPr="000254D4">
        <w:rPr>
          <w:rFonts w:ascii="Times New Roman" w:eastAsia="Times New Roman" w:hAnsi="Times New Roman" w:cs="Times New Roman"/>
          <w:kern w:val="0"/>
          <w:lang w:eastAsia="et-EE"/>
          <w14:ligatures w14:val="none"/>
        </w:rPr>
        <w:t xml:space="preserve">vajadust rangemate reeglite järele </w:t>
      </w:r>
      <w:r w:rsidRPr="000254D4">
        <w:rPr>
          <w:rFonts w:ascii="Times New Roman" w:eastAsia="Times New Roman" w:hAnsi="Times New Roman" w:cs="Times New Roman"/>
          <w:kern w:val="0"/>
          <w:lang w:eastAsia="et-EE"/>
          <w14:ligatures w14:val="none"/>
        </w:rPr>
        <w:t>reegleid.</w:t>
      </w:r>
    </w:p>
    <w:p w14:paraId="03D09992" w14:textId="31094B2C" w:rsidR="00A91885" w:rsidRPr="000254D4" w:rsidRDefault="00A91885" w:rsidP="000254D4">
      <w:pPr>
        <w:spacing w:before="100" w:beforeAutospacing="1" w:after="100" w:afterAutospacing="1" w:line="276" w:lineRule="auto"/>
        <w:outlineLvl w:val="2"/>
        <w:rPr>
          <w:rFonts w:ascii="Times New Roman" w:hAnsi="Times New Roman" w:cs="Times New Roman"/>
        </w:rPr>
      </w:pPr>
      <w:r w:rsidRPr="000254D4">
        <w:rPr>
          <w:rFonts w:ascii="Times New Roman" w:eastAsia="Times New Roman" w:hAnsi="Times New Roman" w:cs="Times New Roman"/>
          <w:kern w:val="0"/>
          <w:lang w:eastAsia="et-EE"/>
          <w14:ligatures w14:val="none"/>
        </w:rPr>
        <w:t>Ühendkuningrii</w:t>
      </w:r>
      <w:r w:rsidR="002F31CB" w:rsidRPr="000254D4">
        <w:rPr>
          <w:rFonts w:ascii="Times New Roman" w:eastAsia="Times New Roman" w:hAnsi="Times New Roman" w:cs="Times New Roman"/>
          <w:kern w:val="0"/>
          <w:lang w:eastAsia="et-EE"/>
          <w14:ligatures w14:val="none"/>
        </w:rPr>
        <w:t>gis on pöörduste-regulatsioon m</w:t>
      </w:r>
      <w:r w:rsidRPr="000254D4">
        <w:rPr>
          <w:rFonts w:ascii="Times New Roman" w:eastAsia="Times New Roman" w:hAnsi="Times New Roman" w:cs="Times New Roman"/>
          <w:kern w:val="0"/>
          <w:lang w:eastAsia="et-EE"/>
          <w14:ligatures w14:val="none"/>
        </w:rPr>
        <w:t>inistri</w:t>
      </w:r>
      <w:r w:rsidR="002F31CB" w:rsidRPr="000254D4">
        <w:rPr>
          <w:rFonts w:ascii="Times New Roman" w:eastAsia="Times New Roman" w:hAnsi="Times New Roman" w:cs="Times New Roman"/>
          <w:kern w:val="0"/>
          <w:lang w:eastAsia="et-EE"/>
          <w14:ligatures w14:val="none"/>
        </w:rPr>
        <w:t>te</w:t>
      </w:r>
      <w:r w:rsidRPr="000254D4">
        <w:rPr>
          <w:rFonts w:ascii="Times New Roman" w:eastAsia="Times New Roman" w:hAnsi="Times New Roman" w:cs="Times New Roman"/>
          <w:kern w:val="0"/>
          <w:lang w:eastAsia="et-EE"/>
          <w14:ligatures w14:val="none"/>
        </w:rPr>
        <w:t>, kõrgema</w:t>
      </w:r>
      <w:r w:rsidR="002F31CB" w:rsidRPr="000254D4">
        <w:rPr>
          <w:rFonts w:ascii="Times New Roman" w:eastAsia="Times New Roman" w:hAnsi="Times New Roman" w:cs="Times New Roman"/>
          <w:kern w:val="0"/>
          <w:lang w:eastAsia="et-EE"/>
          <w14:ligatures w14:val="none"/>
        </w:rPr>
        <w:t>te</w:t>
      </w:r>
      <w:r w:rsidRPr="000254D4">
        <w:rPr>
          <w:rFonts w:ascii="Times New Roman" w:eastAsia="Times New Roman" w:hAnsi="Times New Roman" w:cs="Times New Roman"/>
          <w:kern w:val="0"/>
          <w:lang w:eastAsia="et-EE"/>
          <w14:ligatures w14:val="none"/>
        </w:rPr>
        <w:t xml:space="preserve"> ametnik</w:t>
      </w:r>
      <w:r w:rsidR="002F31CB" w:rsidRPr="000254D4">
        <w:rPr>
          <w:rFonts w:ascii="Times New Roman" w:eastAsia="Times New Roman" w:hAnsi="Times New Roman" w:cs="Times New Roman"/>
          <w:kern w:val="0"/>
          <w:lang w:eastAsia="et-EE"/>
          <w14:ligatures w14:val="none"/>
        </w:rPr>
        <w:t>e</w:t>
      </w:r>
      <w:r w:rsidRPr="000254D4">
        <w:rPr>
          <w:rFonts w:ascii="Times New Roman" w:eastAsia="Times New Roman" w:hAnsi="Times New Roman" w:cs="Times New Roman"/>
          <w:kern w:val="0"/>
          <w:lang w:eastAsia="et-EE"/>
          <w14:ligatures w14:val="none"/>
        </w:rPr>
        <w:t xml:space="preserve">, </w:t>
      </w:r>
      <w:r w:rsidR="002F31CB" w:rsidRPr="000254D4">
        <w:rPr>
          <w:rFonts w:ascii="Times New Roman" w:eastAsia="Times New Roman" w:hAnsi="Times New Roman" w:cs="Times New Roman"/>
          <w:kern w:val="0"/>
          <w:lang w:eastAsia="et-EE"/>
          <w14:ligatures w14:val="none"/>
        </w:rPr>
        <w:t xml:space="preserve">kõrgemate sõjaväelaste ning mõnede </w:t>
      </w:r>
      <w:r w:rsidRPr="000254D4">
        <w:rPr>
          <w:rFonts w:ascii="Times New Roman" w:eastAsia="Times New Roman" w:hAnsi="Times New Roman" w:cs="Times New Roman"/>
          <w:kern w:val="0"/>
          <w:lang w:eastAsia="et-EE"/>
          <w14:ligatures w14:val="none"/>
        </w:rPr>
        <w:t>avalike asutuste juh</w:t>
      </w:r>
      <w:r w:rsidR="002F31CB" w:rsidRPr="000254D4">
        <w:rPr>
          <w:rFonts w:ascii="Times New Roman" w:eastAsia="Times New Roman" w:hAnsi="Times New Roman" w:cs="Times New Roman"/>
          <w:kern w:val="0"/>
          <w:lang w:eastAsia="et-EE"/>
          <w14:ligatures w14:val="none"/>
        </w:rPr>
        <w:t xml:space="preserve">tide kohta. </w:t>
      </w:r>
      <w:r w:rsidR="00224A93" w:rsidRPr="000254D4">
        <w:rPr>
          <w:rFonts w:ascii="Times New Roman" w:eastAsia="Times New Roman" w:hAnsi="Times New Roman" w:cs="Times New Roman"/>
          <w:kern w:val="0"/>
          <w:lang w:eastAsia="et-EE"/>
          <w14:ligatures w14:val="none"/>
        </w:rPr>
        <w:t xml:space="preserve">Kuni 2025. aasta sügiseni pidid endised ministrid ja tippametnikud konsulteerima </w:t>
      </w:r>
      <w:r w:rsidRPr="000254D4">
        <w:rPr>
          <w:rFonts w:ascii="Times New Roman" w:eastAsia="Times New Roman" w:hAnsi="Times New Roman" w:cs="Times New Roman"/>
          <w:kern w:val="0"/>
          <w:lang w:eastAsia="et-EE"/>
          <w14:ligatures w14:val="none"/>
        </w:rPr>
        <w:t>ACOBA</w:t>
      </w:r>
      <w:r w:rsidR="00224A93" w:rsidRPr="000254D4">
        <w:rPr>
          <w:rFonts w:ascii="Times New Roman" w:eastAsia="Times New Roman" w:hAnsi="Times New Roman" w:cs="Times New Roman"/>
          <w:kern w:val="0"/>
          <w:lang w:eastAsia="et-EE"/>
          <w14:ligatures w14:val="none"/>
        </w:rPr>
        <w:t>-ga</w:t>
      </w:r>
      <w:r w:rsidRPr="000254D4">
        <w:rPr>
          <w:rFonts w:ascii="Times New Roman" w:eastAsia="Times New Roman" w:hAnsi="Times New Roman" w:cs="Times New Roman"/>
          <w:kern w:val="0"/>
          <w:lang w:eastAsia="et-EE"/>
          <w14:ligatures w14:val="none"/>
        </w:rPr>
        <w:t xml:space="preserve"> (Advisory Committee on Business Appointments)</w:t>
      </w:r>
      <w:r w:rsidR="00224A93" w:rsidRPr="000254D4">
        <w:rPr>
          <w:rFonts w:ascii="Times New Roman" w:eastAsia="Times New Roman" w:hAnsi="Times New Roman" w:cs="Times New Roman"/>
          <w:kern w:val="0"/>
          <w:lang w:eastAsia="et-EE"/>
          <w14:ligatures w14:val="none"/>
        </w:rPr>
        <w:t xml:space="preserve"> oma plaane a</w:t>
      </w:r>
      <w:r w:rsidR="00B816FB" w:rsidRPr="000254D4">
        <w:rPr>
          <w:rFonts w:ascii="Times New Roman" w:hAnsi="Times New Roman" w:cs="Times New Roman"/>
        </w:rPr>
        <w:t xml:space="preserve">suda tööle </w:t>
      </w:r>
      <w:r w:rsidRPr="000254D4">
        <w:rPr>
          <w:rFonts w:ascii="Times New Roman" w:hAnsi="Times New Roman" w:cs="Times New Roman"/>
        </w:rPr>
        <w:t>erasektori</w:t>
      </w:r>
      <w:r w:rsidR="00B816FB" w:rsidRPr="000254D4">
        <w:rPr>
          <w:rFonts w:ascii="Times New Roman" w:hAnsi="Times New Roman" w:cs="Times New Roman"/>
        </w:rPr>
        <w:t xml:space="preserve">sse, </w:t>
      </w:r>
      <w:r w:rsidRPr="000254D4">
        <w:rPr>
          <w:rFonts w:ascii="Times New Roman" w:hAnsi="Times New Roman" w:cs="Times New Roman"/>
        </w:rPr>
        <w:t>nõusta</w:t>
      </w:r>
      <w:r w:rsidR="00B816FB" w:rsidRPr="000254D4">
        <w:rPr>
          <w:rFonts w:ascii="Times New Roman" w:hAnsi="Times New Roman" w:cs="Times New Roman"/>
        </w:rPr>
        <w:t>jana või juhina ning ACOBA sai soovitada jahtumisperioodi või k</w:t>
      </w:r>
      <w:r w:rsidRPr="000254D4">
        <w:rPr>
          <w:rFonts w:ascii="Times New Roman" w:hAnsi="Times New Roman" w:cs="Times New Roman"/>
        </w:rPr>
        <w:t xml:space="preserve">ehtestada </w:t>
      </w:r>
      <w:r w:rsidRPr="000254D4">
        <w:rPr>
          <w:rStyle w:val="Tugev"/>
          <w:rFonts w:ascii="Times New Roman" w:hAnsi="Times New Roman" w:cs="Times New Roman"/>
          <w:b w:val="0"/>
          <w:bCs w:val="0"/>
        </w:rPr>
        <w:t>tingimusi</w:t>
      </w:r>
      <w:r w:rsidRPr="000254D4">
        <w:rPr>
          <w:rFonts w:ascii="Times New Roman" w:hAnsi="Times New Roman" w:cs="Times New Roman"/>
          <w:b/>
          <w:bCs/>
        </w:rPr>
        <w:t xml:space="preserve"> </w:t>
      </w:r>
      <w:r w:rsidRPr="000254D4">
        <w:rPr>
          <w:rFonts w:ascii="Times New Roman" w:hAnsi="Times New Roman" w:cs="Times New Roman"/>
        </w:rPr>
        <w:t xml:space="preserve">(nt </w:t>
      </w:r>
      <w:r w:rsidR="00B816FB" w:rsidRPr="000254D4">
        <w:rPr>
          <w:rFonts w:ascii="Times New Roman" w:hAnsi="Times New Roman" w:cs="Times New Roman"/>
        </w:rPr>
        <w:t>lobitöö keelu valitsusasutuses mõne aja jooksul</w:t>
      </w:r>
      <w:r w:rsidR="0054004D">
        <w:rPr>
          <w:rFonts w:ascii="Times New Roman" w:hAnsi="Times New Roman" w:cs="Times New Roman"/>
        </w:rPr>
        <w:t>)</w:t>
      </w:r>
      <w:r w:rsidR="00B816FB" w:rsidRPr="000254D4">
        <w:rPr>
          <w:rFonts w:ascii="Times New Roman" w:hAnsi="Times New Roman" w:cs="Times New Roman"/>
        </w:rPr>
        <w:t xml:space="preserve">. </w:t>
      </w:r>
      <w:r w:rsidRPr="000254D4">
        <w:rPr>
          <w:rFonts w:ascii="Times New Roman" w:hAnsi="Times New Roman" w:cs="Times New Roman"/>
        </w:rPr>
        <w:t>ACOBA otsused o</w:t>
      </w:r>
      <w:r w:rsidR="00B816FB" w:rsidRPr="000254D4">
        <w:rPr>
          <w:rFonts w:ascii="Times New Roman" w:hAnsi="Times New Roman" w:cs="Times New Roman"/>
        </w:rPr>
        <w:t>lid</w:t>
      </w:r>
      <w:r w:rsidRPr="000254D4">
        <w:rPr>
          <w:rFonts w:ascii="Times New Roman" w:hAnsi="Times New Roman" w:cs="Times New Roman"/>
        </w:rPr>
        <w:t xml:space="preserve"> </w:t>
      </w:r>
      <w:r w:rsidRPr="000254D4">
        <w:rPr>
          <w:rStyle w:val="Tugev"/>
          <w:rFonts w:ascii="Times New Roman" w:hAnsi="Times New Roman" w:cs="Times New Roman"/>
          <w:b w:val="0"/>
          <w:bCs w:val="0"/>
        </w:rPr>
        <w:t>soovituslikud</w:t>
      </w:r>
      <w:r w:rsidRPr="000254D4">
        <w:rPr>
          <w:rFonts w:ascii="Times New Roman" w:hAnsi="Times New Roman" w:cs="Times New Roman"/>
        </w:rPr>
        <w:t xml:space="preserve">, </w:t>
      </w:r>
      <w:r w:rsidR="00B816FB" w:rsidRPr="000254D4">
        <w:rPr>
          <w:rFonts w:ascii="Times New Roman" w:hAnsi="Times New Roman" w:cs="Times New Roman"/>
        </w:rPr>
        <w:t>st kaasnes kriitika sanktsioonide puudumisest tuleneva puuduliku jõustamise teema. Kuivõrd otsused olid avalikud, siis maine</w:t>
      </w:r>
      <w:r w:rsidR="00224A93" w:rsidRPr="000254D4">
        <w:rPr>
          <w:rFonts w:ascii="Times New Roman" w:hAnsi="Times New Roman" w:cs="Times New Roman"/>
        </w:rPr>
        <w:t>-</w:t>
      </w:r>
      <w:r w:rsidR="00B816FB" w:rsidRPr="000254D4">
        <w:rPr>
          <w:rFonts w:ascii="Times New Roman" w:hAnsi="Times New Roman" w:cs="Times New Roman"/>
        </w:rPr>
        <w:t xml:space="preserve"> ja meediasurve oli</w:t>
      </w:r>
      <w:r w:rsidR="00224A93" w:rsidRPr="000254D4">
        <w:rPr>
          <w:rFonts w:ascii="Times New Roman" w:hAnsi="Times New Roman" w:cs="Times New Roman"/>
        </w:rPr>
        <w:t>d</w:t>
      </w:r>
      <w:r w:rsidR="00B816FB" w:rsidRPr="000254D4">
        <w:rPr>
          <w:rFonts w:ascii="Times New Roman" w:hAnsi="Times New Roman" w:cs="Times New Roman"/>
        </w:rPr>
        <w:t xml:space="preserve"> arvestatav</w:t>
      </w:r>
      <w:r w:rsidR="00224A93" w:rsidRPr="000254D4">
        <w:rPr>
          <w:rFonts w:ascii="Times New Roman" w:hAnsi="Times New Roman" w:cs="Times New Roman"/>
        </w:rPr>
        <w:t>a mõjuga</w:t>
      </w:r>
      <w:r w:rsidR="00B816FB" w:rsidRPr="000254D4">
        <w:rPr>
          <w:rFonts w:ascii="Times New Roman" w:hAnsi="Times New Roman" w:cs="Times New Roman"/>
        </w:rPr>
        <w:t xml:space="preserve">. </w:t>
      </w:r>
      <w:r w:rsidR="00785D72" w:rsidRPr="000254D4">
        <w:rPr>
          <w:rFonts w:ascii="Times New Roman" w:hAnsi="Times New Roman" w:cs="Times New Roman"/>
        </w:rPr>
        <w:t xml:space="preserve">Alates 2025 </w:t>
      </w:r>
      <w:r w:rsidR="00F4495A" w:rsidRPr="000254D4">
        <w:rPr>
          <w:rFonts w:ascii="Times New Roman" w:hAnsi="Times New Roman" w:cs="Times New Roman"/>
        </w:rPr>
        <w:t>täidab võrreldavat rolli Independent Adviser on Ministerial Standards, mille juhised näevad endistele ministritele ette 2-aastase keelu ministriameti valdkonnas töötamisele</w:t>
      </w:r>
      <w:r w:rsidR="00785D72" w:rsidRPr="000254D4">
        <w:rPr>
          <w:rFonts w:ascii="Times New Roman" w:hAnsi="Times New Roman" w:cs="Times New Roman"/>
        </w:rPr>
        <w:t>. Transparency International oli UK reeglistiku osas skeptiline. (https://www.transparency.org.uk/news/research-reveals-extent-revolving-door-corruption-risk-westminster)</w:t>
      </w:r>
      <w:r w:rsidR="00F4495A" w:rsidRPr="000254D4">
        <w:rPr>
          <w:rFonts w:ascii="Times New Roman" w:hAnsi="Times New Roman" w:cs="Times New Roman"/>
        </w:rPr>
        <w:t xml:space="preserve"> </w:t>
      </w:r>
      <w:r w:rsidR="00785D72" w:rsidRPr="000254D4">
        <w:rPr>
          <w:rFonts w:ascii="Times New Roman" w:hAnsi="Times New Roman" w:cs="Times New Roman"/>
        </w:rPr>
        <w:t>ning praegust Independent Adviser on Ministerial Standards ei ole Transparency International hinnanud</w:t>
      </w:r>
      <w:r w:rsidR="00BE3335" w:rsidRPr="000254D4">
        <w:rPr>
          <w:rFonts w:ascii="Times New Roman" w:hAnsi="Times New Roman" w:cs="Times New Roman"/>
        </w:rPr>
        <w:t>.</w:t>
      </w:r>
    </w:p>
    <w:p w14:paraId="2CE5518A" w14:textId="2E7A9EEE" w:rsidR="00A91885" w:rsidRPr="000254D4" w:rsidRDefault="00A91885" w:rsidP="000254D4">
      <w:pPr>
        <w:spacing w:before="100" w:beforeAutospacing="1" w:after="100" w:afterAutospacing="1" w:line="276" w:lineRule="auto"/>
        <w:outlineLvl w:val="2"/>
        <w:rPr>
          <w:rFonts w:ascii="Times New Roman" w:hAnsi="Times New Roman" w:cs="Times New Roman"/>
        </w:rPr>
      </w:pPr>
      <w:r w:rsidRPr="000254D4">
        <w:rPr>
          <w:rFonts w:ascii="Times New Roman" w:eastAsia="Times New Roman" w:hAnsi="Times New Roman" w:cs="Times New Roman"/>
          <w:kern w:val="0"/>
          <w:lang w:eastAsia="et-EE"/>
          <w14:ligatures w14:val="none"/>
        </w:rPr>
        <w:t>Ameerika Ühendrii</w:t>
      </w:r>
      <w:r w:rsidR="00B816FB" w:rsidRPr="000254D4">
        <w:rPr>
          <w:rFonts w:ascii="Times New Roman" w:eastAsia="Times New Roman" w:hAnsi="Times New Roman" w:cs="Times New Roman"/>
          <w:kern w:val="0"/>
          <w:lang w:eastAsia="et-EE"/>
          <w14:ligatures w14:val="none"/>
        </w:rPr>
        <w:t>kides on</w:t>
      </w:r>
      <w:r w:rsidR="00B816FB" w:rsidRPr="000254D4">
        <w:rPr>
          <w:rFonts w:ascii="Times New Roman" w:hAnsi="Times New Roman" w:cs="Times New Roman"/>
        </w:rPr>
        <w:t xml:space="preserve"> üks </w:t>
      </w:r>
      <w:r w:rsidR="00B816FB" w:rsidRPr="000254D4">
        <w:rPr>
          <w:rStyle w:val="Tugev"/>
          <w:rFonts w:ascii="Times New Roman" w:hAnsi="Times New Roman" w:cs="Times New Roman"/>
          <w:b w:val="0"/>
          <w:bCs w:val="0"/>
        </w:rPr>
        <w:t>detailsemaid ja rangemaid</w:t>
      </w:r>
      <w:r w:rsidR="00B816FB" w:rsidRPr="000254D4">
        <w:rPr>
          <w:rFonts w:ascii="Times New Roman" w:hAnsi="Times New Roman" w:cs="Times New Roman"/>
        </w:rPr>
        <w:t xml:space="preserve"> “revolving doors” süsteeme maailmas, eriti lobitöö osas. </w:t>
      </w:r>
      <w:r w:rsidRPr="000254D4">
        <w:rPr>
          <w:rFonts w:ascii="Times New Roman" w:hAnsi="Times New Roman" w:cs="Times New Roman"/>
        </w:rPr>
        <w:t>Endis</w:t>
      </w:r>
      <w:r w:rsidR="00B816FB" w:rsidRPr="000254D4">
        <w:rPr>
          <w:rFonts w:ascii="Times New Roman" w:hAnsi="Times New Roman" w:cs="Times New Roman"/>
        </w:rPr>
        <w:t xml:space="preserve">tel </w:t>
      </w:r>
      <w:r w:rsidRPr="000254D4">
        <w:rPr>
          <w:rFonts w:ascii="Times New Roman" w:hAnsi="Times New Roman" w:cs="Times New Roman"/>
        </w:rPr>
        <w:t>senaatori</w:t>
      </w:r>
      <w:r w:rsidR="00B816FB" w:rsidRPr="000254D4">
        <w:rPr>
          <w:rFonts w:ascii="Times New Roman" w:hAnsi="Times New Roman" w:cs="Times New Roman"/>
        </w:rPr>
        <w:t>tel on keelatud</w:t>
      </w:r>
      <w:r w:rsidR="00B816FB" w:rsidRPr="000254D4">
        <w:rPr>
          <w:rFonts w:ascii="Times New Roman" w:hAnsi="Times New Roman" w:cs="Times New Roman"/>
          <w:b/>
          <w:bCs/>
        </w:rPr>
        <w:t xml:space="preserve"> </w:t>
      </w:r>
      <w:r w:rsidRPr="000254D4">
        <w:rPr>
          <w:rStyle w:val="Tugev"/>
          <w:rFonts w:ascii="Times New Roman" w:hAnsi="Times New Roman" w:cs="Times New Roman"/>
          <w:b w:val="0"/>
          <w:bCs w:val="0"/>
        </w:rPr>
        <w:t>2</w:t>
      </w:r>
      <w:r w:rsidR="00B816FB" w:rsidRPr="000254D4">
        <w:rPr>
          <w:rStyle w:val="Tugev"/>
          <w:rFonts w:ascii="Times New Roman" w:hAnsi="Times New Roman" w:cs="Times New Roman"/>
          <w:b w:val="0"/>
          <w:bCs w:val="0"/>
        </w:rPr>
        <w:t xml:space="preserve"> </w:t>
      </w:r>
      <w:r w:rsidRPr="000254D4">
        <w:rPr>
          <w:rStyle w:val="Tugev"/>
          <w:rFonts w:ascii="Times New Roman" w:hAnsi="Times New Roman" w:cs="Times New Roman"/>
          <w:b w:val="0"/>
          <w:bCs w:val="0"/>
        </w:rPr>
        <w:t>aasta</w:t>
      </w:r>
      <w:r w:rsidR="00B816FB" w:rsidRPr="000254D4">
        <w:rPr>
          <w:rStyle w:val="Tugev"/>
          <w:rFonts w:ascii="Times New Roman" w:hAnsi="Times New Roman" w:cs="Times New Roman"/>
          <w:b w:val="0"/>
          <w:bCs w:val="0"/>
        </w:rPr>
        <w:t xml:space="preserve">t </w:t>
      </w:r>
      <w:r w:rsidR="00982E40" w:rsidRPr="000254D4">
        <w:rPr>
          <w:rStyle w:val="Tugev"/>
          <w:rFonts w:ascii="Times New Roman" w:hAnsi="Times New Roman" w:cs="Times New Roman"/>
          <w:b w:val="0"/>
          <w:bCs w:val="0"/>
        </w:rPr>
        <w:t>ning esindajatekoja liikmetel</w:t>
      </w:r>
      <w:r w:rsidR="00982E40" w:rsidRPr="000254D4">
        <w:rPr>
          <w:rStyle w:val="Tugev"/>
          <w:rFonts w:ascii="Times New Roman" w:hAnsi="Times New Roman" w:cs="Times New Roman"/>
        </w:rPr>
        <w:t xml:space="preserve"> </w:t>
      </w:r>
      <w:r w:rsidR="00B816FB" w:rsidRPr="000254D4">
        <w:rPr>
          <w:rFonts w:ascii="Times New Roman" w:hAnsi="Times New Roman" w:cs="Times New Roman"/>
        </w:rPr>
        <w:t>1</w:t>
      </w:r>
      <w:r w:rsidR="0054004D">
        <w:rPr>
          <w:rFonts w:ascii="Times New Roman" w:hAnsi="Times New Roman" w:cs="Times New Roman"/>
        </w:rPr>
        <w:t xml:space="preserve"> </w:t>
      </w:r>
      <w:r w:rsidR="00B816FB" w:rsidRPr="000254D4">
        <w:rPr>
          <w:rFonts w:ascii="Times New Roman" w:hAnsi="Times New Roman" w:cs="Times New Roman"/>
        </w:rPr>
        <w:t>aasta</w:t>
      </w:r>
      <w:r w:rsidR="00982E40" w:rsidRPr="000254D4">
        <w:rPr>
          <w:rFonts w:ascii="Times New Roman" w:hAnsi="Times New Roman" w:cs="Times New Roman"/>
        </w:rPr>
        <w:t xml:space="preserve"> tegutseda lobistina endiste kolleegide juures (s.o </w:t>
      </w:r>
      <w:r w:rsidRPr="000254D4">
        <w:rPr>
          <w:rStyle w:val="Tugev"/>
          <w:rFonts w:ascii="Times New Roman" w:hAnsi="Times New Roman" w:cs="Times New Roman"/>
          <w:b w:val="0"/>
          <w:bCs w:val="0"/>
        </w:rPr>
        <w:t>otse</w:t>
      </w:r>
      <w:r w:rsidR="00982E40" w:rsidRPr="000254D4">
        <w:rPr>
          <w:rStyle w:val="Tugev"/>
          <w:rFonts w:ascii="Times New Roman" w:hAnsi="Times New Roman" w:cs="Times New Roman"/>
          <w:b w:val="0"/>
          <w:bCs w:val="0"/>
        </w:rPr>
        <w:t>ne</w:t>
      </w:r>
      <w:r w:rsidRPr="000254D4">
        <w:rPr>
          <w:rStyle w:val="Tugev"/>
          <w:rFonts w:ascii="Times New Roman" w:hAnsi="Times New Roman" w:cs="Times New Roman"/>
          <w:b w:val="0"/>
          <w:bCs w:val="0"/>
        </w:rPr>
        <w:t xml:space="preserve"> lobitöö</w:t>
      </w:r>
      <w:r w:rsidR="00BE3335" w:rsidRPr="000254D4">
        <w:rPr>
          <w:rStyle w:val="Tugev"/>
          <w:rFonts w:ascii="Times New Roman" w:hAnsi="Times New Roman" w:cs="Times New Roman"/>
          <w:b w:val="0"/>
          <w:bCs w:val="0"/>
        </w:rPr>
        <w:t xml:space="preserve"> e.</w:t>
      </w:r>
      <w:r w:rsidR="00BE3335" w:rsidRPr="000254D4">
        <w:rPr>
          <w:rStyle w:val="Tugev"/>
          <w:rFonts w:ascii="Times New Roman" w:hAnsi="Times New Roman" w:cs="Times New Roman"/>
        </w:rPr>
        <w:t xml:space="preserve"> </w:t>
      </w:r>
      <w:r w:rsidRPr="000254D4">
        <w:rPr>
          <w:rFonts w:ascii="Times New Roman" w:hAnsi="Times New Roman" w:cs="Times New Roman"/>
        </w:rPr>
        <w:t>kontaktid endiste kolleegidega, ametlik mõjutamine).</w:t>
      </w:r>
      <w:r w:rsidR="00982E40" w:rsidRPr="000254D4">
        <w:rPr>
          <w:rFonts w:ascii="Times New Roman" w:hAnsi="Times New Roman" w:cs="Times New Roman"/>
        </w:rPr>
        <w:t xml:space="preserve"> </w:t>
      </w:r>
      <w:r w:rsidRPr="000254D4">
        <w:rPr>
          <w:rFonts w:ascii="Times New Roman" w:hAnsi="Times New Roman" w:cs="Times New Roman"/>
        </w:rPr>
        <w:t xml:space="preserve">Paljudel kõrgematel ametnikel on </w:t>
      </w:r>
      <w:r w:rsidRPr="000254D4">
        <w:rPr>
          <w:rStyle w:val="Tugev"/>
          <w:rFonts w:ascii="Times New Roman" w:hAnsi="Times New Roman" w:cs="Times New Roman"/>
          <w:b w:val="0"/>
          <w:bCs w:val="0"/>
        </w:rPr>
        <w:t>1–2-aastased</w:t>
      </w:r>
      <w:r w:rsidRPr="000254D4">
        <w:rPr>
          <w:rFonts w:ascii="Times New Roman" w:hAnsi="Times New Roman" w:cs="Times New Roman"/>
        </w:rPr>
        <w:t xml:space="preserve"> piirangud</w:t>
      </w:r>
      <w:r w:rsidR="00982E40" w:rsidRPr="000254D4">
        <w:rPr>
          <w:rFonts w:ascii="Times New Roman" w:hAnsi="Times New Roman" w:cs="Times New Roman"/>
        </w:rPr>
        <w:t xml:space="preserve"> huvikaitse esindamisel oma endise tööandja juures ning keeld </w:t>
      </w:r>
      <w:r w:rsidRPr="000254D4">
        <w:rPr>
          <w:rFonts w:ascii="Times New Roman" w:hAnsi="Times New Roman" w:cs="Times New Roman"/>
        </w:rPr>
        <w:t>tegeleda konkreetsete asjadega, millega nad ametis olles seotud olid (</w:t>
      </w:r>
      <w:r w:rsidR="0054004D">
        <w:rPr>
          <w:rFonts w:ascii="Times New Roman" w:hAnsi="Times New Roman" w:cs="Times New Roman"/>
        </w:rPr>
        <w:t xml:space="preserve">nn </w:t>
      </w:r>
      <w:r w:rsidRPr="000254D4">
        <w:rPr>
          <w:rFonts w:ascii="Times New Roman" w:hAnsi="Times New Roman" w:cs="Times New Roman"/>
        </w:rPr>
        <w:t>“switching sides” keeld).</w:t>
      </w:r>
      <w:r w:rsidR="00EA0222" w:rsidRPr="000254D4">
        <w:rPr>
          <w:rFonts w:ascii="Times New Roman" w:hAnsi="Times New Roman" w:cs="Times New Roman"/>
        </w:rPr>
        <w:t xml:space="preserve"> </w:t>
      </w:r>
      <w:r w:rsidRPr="000254D4">
        <w:rPr>
          <w:rFonts w:ascii="Times New Roman" w:hAnsi="Times New Roman" w:cs="Times New Roman"/>
        </w:rPr>
        <w:t xml:space="preserve">Mõnedel ametikohtadel on </w:t>
      </w:r>
      <w:r w:rsidRPr="000254D4">
        <w:rPr>
          <w:rStyle w:val="Tugev"/>
          <w:rFonts w:ascii="Times New Roman" w:hAnsi="Times New Roman" w:cs="Times New Roman"/>
          <w:b w:val="0"/>
          <w:bCs w:val="0"/>
        </w:rPr>
        <w:t>eluaegne keeld</w:t>
      </w:r>
      <w:r w:rsidRPr="000254D4">
        <w:rPr>
          <w:rFonts w:ascii="Times New Roman" w:hAnsi="Times New Roman" w:cs="Times New Roman"/>
          <w:b/>
          <w:bCs/>
        </w:rPr>
        <w:t xml:space="preserve"> </w:t>
      </w:r>
      <w:r w:rsidR="00EA0222" w:rsidRPr="000254D4">
        <w:rPr>
          <w:rFonts w:ascii="Times New Roman" w:hAnsi="Times New Roman" w:cs="Times New Roman"/>
        </w:rPr>
        <w:t xml:space="preserve">menetluse osas, mida nad oma teenistuse ajal käsitlesid. Praktika osas tuuakse välja, et </w:t>
      </w:r>
      <w:r w:rsidRPr="000254D4">
        <w:rPr>
          <w:rFonts w:ascii="Times New Roman" w:hAnsi="Times New Roman" w:cs="Times New Roman"/>
        </w:rPr>
        <w:t xml:space="preserve">USA-s väga tugev </w:t>
      </w:r>
      <w:r w:rsidRPr="000254D4">
        <w:rPr>
          <w:rStyle w:val="Tugev"/>
          <w:rFonts w:ascii="Times New Roman" w:hAnsi="Times New Roman" w:cs="Times New Roman"/>
          <w:b w:val="0"/>
          <w:bCs w:val="0"/>
        </w:rPr>
        <w:t>“revolving door” kultuur</w:t>
      </w:r>
      <w:r w:rsidR="00EA0222" w:rsidRPr="000254D4">
        <w:rPr>
          <w:rFonts w:ascii="Times New Roman" w:hAnsi="Times New Roman" w:cs="Times New Roman"/>
        </w:rPr>
        <w:t xml:space="preserve"> ning tegelikult on K</w:t>
      </w:r>
      <w:r w:rsidRPr="000254D4">
        <w:rPr>
          <w:rFonts w:ascii="Times New Roman" w:hAnsi="Times New Roman" w:cs="Times New Roman"/>
        </w:rPr>
        <w:t>ongressi töötaja</w:t>
      </w:r>
      <w:r w:rsidR="00EA0222" w:rsidRPr="000254D4">
        <w:rPr>
          <w:rFonts w:ascii="Times New Roman" w:hAnsi="Times New Roman" w:cs="Times New Roman"/>
        </w:rPr>
        <w:t xml:space="preserve">te ja ametnike liikumine </w:t>
      </w:r>
      <w:r w:rsidRPr="000254D4">
        <w:rPr>
          <w:rFonts w:ascii="Times New Roman" w:hAnsi="Times New Roman" w:cs="Times New Roman"/>
        </w:rPr>
        <w:t>lobifirmade</w:t>
      </w:r>
      <w:r w:rsidR="00EA0222" w:rsidRPr="000254D4">
        <w:rPr>
          <w:rFonts w:ascii="Times New Roman" w:hAnsi="Times New Roman" w:cs="Times New Roman"/>
        </w:rPr>
        <w:t xml:space="preserve"> vahel arvestatav. Kuigi r</w:t>
      </w:r>
      <w:r w:rsidRPr="000254D4">
        <w:rPr>
          <w:rFonts w:ascii="Times New Roman" w:hAnsi="Times New Roman" w:cs="Times New Roman"/>
        </w:rPr>
        <w:t xml:space="preserve">eeglid on detailsemad ja sanktsioonid reaalsemad kui Euroopas, </w:t>
      </w:r>
      <w:r w:rsidR="00EA0222" w:rsidRPr="000254D4">
        <w:rPr>
          <w:rFonts w:ascii="Times New Roman" w:hAnsi="Times New Roman" w:cs="Times New Roman"/>
        </w:rPr>
        <w:t xml:space="preserve">on </w:t>
      </w:r>
      <w:r w:rsidRPr="000254D4">
        <w:rPr>
          <w:rFonts w:ascii="Times New Roman" w:hAnsi="Times New Roman" w:cs="Times New Roman"/>
        </w:rPr>
        <w:t>süsteem nii suur</w:t>
      </w:r>
      <w:r w:rsidRPr="000254D4">
        <w:rPr>
          <w:rFonts w:ascii="Times New Roman" w:hAnsi="Times New Roman" w:cs="Times New Roman"/>
          <w:b/>
          <w:bCs/>
        </w:rPr>
        <w:t xml:space="preserve">, </w:t>
      </w:r>
      <w:r w:rsidRPr="000254D4">
        <w:rPr>
          <w:rFonts w:ascii="Times New Roman" w:hAnsi="Times New Roman" w:cs="Times New Roman"/>
        </w:rPr>
        <w:t xml:space="preserve">et </w:t>
      </w:r>
      <w:r w:rsidRPr="000254D4">
        <w:rPr>
          <w:rStyle w:val="Tugev"/>
          <w:rFonts w:ascii="Times New Roman" w:hAnsi="Times New Roman" w:cs="Times New Roman"/>
          <w:b w:val="0"/>
          <w:bCs w:val="0"/>
        </w:rPr>
        <w:t>järelevalve on killustunud</w:t>
      </w:r>
      <w:r w:rsidRPr="000254D4">
        <w:rPr>
          <w:rFonts w:ascii="Times New Roman" w:hAnsi="Times New Roman" w:cs="Times New Roman"/>
        </w:rPr>
        <w:t xml:space="preserve"> ja “hallid tsoonid” on endiselt olemas.</w:t>
      </w:r>
    </w:p>
    <w:p w14:paraId="0EDD61B5" w14:textId="7376FAFA" w:rsidR="006333DF" w:rsidRPr="000254D4" w:rsidRDefault="006333DF" w:rsidP="000254D4">
      <w:pPr>
        <w:spacing w:before="100" w:beforeAutospacing="1" w:after="100" w:afterAutospacing="1" w:line="276" w:lineRule="auto"/>
        <w:outlineLvl w:val="2"/>
        <w:rPr>
          <w:rFonts w:ascii="Times New Roman" w:eastAsia="Times New Roman" w:hAnsi="Times New Roman" w:cs="Times New Roman"/>
          <w:kern w:val="0"/>
          <w:lang w:eastAsia="et-EE"/>
          <w14:ligatures w14:val="none"/>
        </w:rPr>
      </w:pPr>
      <w:r w:rsidRPr="000254D4">
        <w:rPr>
          <w:rFonts w:ascii="Times New Roman" w:eastAsia="Times New Roman" w:hAnsi="Times New Roman" w:cs="Times New Roman"/>
          <w:kern w:val="0"/>
          <w:lang w:eastAsia="et-EE"/>
          <w14:ligatures w14:val="none"/>
        </w:rPr>
        <w:t>Kanada</w:t>
      </w:r>
      <w:r w:rsidR="00EA0222" w:rsidRPr="000254D4">
        <w:rPr>
          <w:rFonts w:ascii="Times New Roman" w:eastAsia="Times New Roman" w:hAnsi="Times New Roman" w:cs="Times New Roman"/>
          <w:kern w:val="0"/>
          <w:lang w:eastAsia="et-EE"/>
          <w14:ligatures w14:val="none"/>
        </w:rPr>
        <w:t xml:space="preserve">s on </w:t>
      </w:r>
      <w:r w:rsidRPr="000254D4">
        <w:rPr>
          <w:rFonts w:ascii="Times New Roman" w:eastAsia="Times New Roman" w:hAnsi="Times New Roman" w:cs="Times New Roman"/>
          <w:kern w:val="0"/>
          <w:lang w:eastAsia="et-EE"/>
          <w14:ligatures w14:val="none"/>
        </w:rPr>
        <w:t>üks rangemaid “revolving doors” regulatsioone omavaid riike.</w:t>
      </w:r>
      <w:r w:rsidR="00EA0222" w:rsidRPr="000254D4">
        <w:rPr>
          <w:rFonts w:ascii="Times New Roman" w:eastAsia="Times New Roman" w:hAnsi="Times New Roman" w:cs="Times New Roman"/>
          <w:kern w:val="0"/>
          <w:lang w:eastAsia="et-EE"/>
          <w14:ligatures w14:val="none"/>
        </w:rPr>
        <w:t xml:space="preserve"> Endistel ministritel ja kõrgetel ametnikel on kuni </w:t>
      </w:r>
      <w:r w:rsidRPr="000254D4">
        <w:rPr>
          <w:rFonts w:ascii="Times New Roman" w:eastAsia="Times New Roman" w:hAnsi="Times New Roman" w:cs="Times New Roman"/>
          <w:kern w:val="0"/>
          <w:lang w:eastAsia="et-EE"/>
          <w14:ligatures w14:val="none"/>
        </w:rPr>
        <w:t>5</w:t>
      </w:r>
      <w:r w:rsidR="00EA0222" w:rsidRPr="000254D4">
        <w:rPr>
          <w:rFonts w:ascii="Times New Roman" w:eastAsia="Times New Roman" w:hAnsi="Times New Roman" w:cs="Times New Roman"/>
          <w:kern w:val="0"/>
          <w:lang w:eastAsia="et-EE"/>
          <w14:ligatures w14:val="none"/>
        </w:rPr>
        <w:t xml:space="preserve">-aastane järelevalveperiood, mille jooksul nad ei saa </w:t>
      </w:r>
      <w:r w:rsidRPr="000254D4">
        <w:rPr>
          <w:rFonts w:ascii="Times New Roman" w:eastAsia="Times New Roman" w:hAnsi="Times New Roman" w:cs="Times New Roman"/>
          <w:kern w:val="0"/>
          <w:lang w:eastAsia="et-EE"/>
          <w14:ligatures w14:val="none"/>
        </w:rPr>
        <w:t>tegutseda lobistina.</w:t>
      </w:r>
      <w:r w:rsidR="00EA0222" w:rsidRPr="000254D4">
        <w:rPr>
          <w:rFonts w:ascii="Times New Roman" w:eastAsia="Times New Roman" w:hAnsi="Times New Roman" w:cs="Times New Roman"/>
          <w:kern w:val="0"/>
          <w:lang w:eastAsia="et-EE"/>
          <w14:ligatures w14:val="none"/>
        </w:rPr>
        <w:t xml:space="preserve"> Järelevalvet teostavad </w:t>
      </w:r>
      <w:r w:rsidRPr="000254D4">
        <w:rPr>
          <w:rStyle w:val="Tugev"/>
          <w:rFonts w:ascii="Times New Roman" w:hAnsi="Times New Roman" w:cs="Times New Roman"/>
          <w:b w:val="0"/>
          <w:bCs w:val="0"/>
        </w:rPr>
        <w:t>Commissioner of Lobbying</w:t>
      </w:r>
      <w:r w:rsidRPr="000254D4">
        <w:rPr>
          <w:rFonts w:ascii="Times New Roman" w:hAnsi="Times New Roman" w:cs="Times New Roman"/>
        </w:rPr>
        <w:t xml:space="preserve"> ja teised eetika</w:t>
      </w:r>
      <w:r w:rsidR="000254D4" w:rsidRPr="000254D4">
        <w:rPr>
          <w:rFonts w:ascii="Times New Roman" w:hAnsi="Times New Roman" w:cs="Times New Roman"/>
        </w:rPr>
        <w:t xml:space="preserve">küsimustega tegelevad </w:t>
      </w:r>
      <w:r w:rsidRPr="000254D4">
        <w:rPr>
          <w:rFonts w:ascii="Times New Roman" w:hAnsi="Times New Roman" w:cs="Times New Roman"/>
        </w:rPr>
        <w:t>organid.</w:t>
      </w:r>
      <w:r w:rsidR="00EA0222" w:rsidRPr="000254D4">
        <w:rPr>
          <w:rFonts w:ascii="Times New Roman" w:hAnsi="Times New Roman" w:cs="Times New Roman"/>
        </w:rPr>
        <w:t xml:space="preserve"> Seadus </w:t>
      </w:r>
      <w:hyperlink r:id="rId6" w:anchor="h-92317" w:history="1">
        <w:r w:rsidR="00EA0222" w:rsidRPr="000254D4">
          <w:rPr>
            <w:rStyle w:val="Hperlink"/>
            <w:rFonts w:ascii="Times New Roman" w:hAnsi="Times New Roman" w:cs="Times New Roman"/>
          </w:rPr>
          <w:t>Conflict of Interest Act</w:t>
        </w:r>
      </w:hyperlink>
      <w:r w:rsidR="00EA0222" w:rsidRPr="000254D4">
        <w:rPr>
          <w:rFonts w:ascii="Times New Roman" w:hAnsi="Times New Roman" w:cs="Times New Roman"/>
        </w:rPr>
        <w:t xml:space="preserve"> näeb ette nii ministritele kui avalikele teenistujatele keelu 1-2 aasta vältel asuda ametisse üksuse juures, kus saab ära kasutada oma varasema ameti oskusteavet. </w:t>
      </w:r>
      <w:r w:rsidR="000254D4" w:rsidRPr="000254D4">
        <w:rPr>
          <w:rFonts w:ascii="Times New Roman" w:hAnsi="Times New Roman" w:cs="Times New Roman"/>
        </w:rPr>
        <w:t>Kohustust pidestava meetmena tuuakse välja avalik hukkamõist, õigusaktides sanktsioonidena</w:t>
      </w:r>
      <w:r w:rsidR="00673751" w:rsidRPr="000254D4">
        <w:rPr>
          <w:rFonts w:ascii="Times New Roman" w:hAnsi="Times New Roman" w:cs="Times New Roman"/>
        </w:rPr>
        <w:t xml:space="preserve"> varieeruvad </w:t>
      </w:r>
      <w:r w:rsidRPr="000254D4">
        <w:rPr>
          <w:rFonts w:ascii="Times New Roman" w:hAnsi="Times New Roman" w:cs="Times New Roman"/>
        </w:rPr>
        <w:t>trahvid, mõnikord ka kriminaalvastutus</w:t>
      </w:r>
      <w:r w:rsidR="00673751" w:rsidRPr="000254D4">
        <w:rPr>
          <w:rFonts w:ascii="Times New Roman" w:hAnsi="Times New Roman" w:cs="Times New Roman"/>
        </w:rPr>
        <w:t xml:space="preserve">. </w:t>
      </w:r>
    </w:p>
    <w:p w14:paraId="7B2066C3" w14:textId="75EFEB73" w:rsidR="006333DF" w:rsidRPr="00030FF9" w:rsidRDefault="00030FF9" w:rsidP="00030FF9">
      <w:pPr>
        <w:pStyle w:val="Normaallaadveeb"/>
        <w:numPr>
          <w:ilvl w:val="0"/>
          <w:numId w:val="38"/>
        </w:numPr>
        <w:spacing w:line="276" w:lineRule="auto"/>
        <w:rPr>
          <w:b/>
          <w:bCs/>
        </w:rPr>
      </w:pPr>
      <w:r w:rsidRPr="00030FF9">
        <w:rPr>
          <w:b/>
          <w:bCs/>
        </w:rPr>
        <w:lastRenderedPageBreak/>
        <w:t>Halduskoormus</w:t>
      </w:r>
    </w:p>
    <w:p w14:paraId="06BC760E" w14:textId="36BBA32F" w:rsidR="000254D4" w:rsidRDefault="000254D4" w:rsidP="000254D4">
      <w:pPr>
        <w:spacing w:before="100" w:beforeAutospacing="1" w:after="100" w:afterAutospacing="1" w:line="276" w:lineRule="auto"/>
        <w:rPr>
          <w:rFonts w:ascii="Times New Roman" w:eastAsia="Times New Roman" w:hAnsi="Times New Roman" w:cs="Times New Roman"/>
          <w:kern w:val="0"/>
          <w:lang w:eastAsia="et-EE"/>
          <w14:ligatures w14:val="none"/>
        </w:rPr>
      </w:pPr>
      <w:r w:rsidRPr="000254D4">
        <w:rPr>
          <w:rFonts w:ascii="Times New Roman" w:eastAsia="Times New Roman" w:hAnsi="Times New Roman" w:cs="Times New Roman"/>
          <w:kern w:val="0"/>
          <w:lang w:eastAsia="et-EE"/>
          <w14:ligatures w14:val="none"/>
        </w:rPr>
        <w:t xml:space="preserve">Muudatuse jõustumine toob kaasa halduskoormust spetsiifilise oskusteabe ja otsustuspädevusega ametiisikute kaardistamisel. </w:t>
      </w:r>
    </w:p>
    <w:p w14:paraId="7EF13665" w14:textId="7167AF9E" w:rsidR="00030FF9" w:rsidRPr="00030FF9" w:rsidRDefault="00030FF9" w:rsidP="00030FF9">
      <w:pPr>
        <w:pStyle w:val="Loendilik"/>
        <w:numPr>
          <w:ilvl w:val="0"/>
          <w:numId w:val="38"/>
        </w:numPr>
        <w:spacing w:before="100" w:beforeAutospacing="1" w:after="100" w:afterAutospacing="1" w:line="276" w:lineRule="auto"/>
        <w:rPr>
          <w:rFonts w:ascii="Times New Roman" w:eastAsia="Times New Roman" w:hAnsi="Times New Roman" w:cs="Times New Roman"/>
          <w:b/>
          <w:bCs/>
          <w:kern w:val="0"/>
          <w:lang w:eastAsia="et-EE"/>
          <w14:ligatures w14:val="none"/>
        </w:rPr>
      </w:pPr>
      <w:r w:rsidRPr="00030FF9">
        <w:rPr>
          <w:rFonts w:ascii="Times New Roman" w:eastAsia="Times New Roman" w:hAnsi="Times New Roman" w:cs="Times New Roman"/>
          <w:b/>
          <w:bCs/>
          <w:kern w:val="0"/>
          <w:lang w:eastAsia="et-EE"/>
          <w14:ligatures w14:val="none"/>
        </w:rPr>
        <w:t>Mõjud</w:t>
      </w:r>
    </w:p>
    <w:p w14:paraId="20261CB4" w14:textId="6AE50B8B" w:rsidR="00D0096C" w:rsidRPr="000254D4" w:rsidRDefault="000254D4" w:rsidP="000254D4">
      <w:pPr>
        <w:pStyle w:val="Normaallaadveeb"/>
        <w:spacing w:line="276" w:lineRule="auto"/>
      </w:pPr>
      <w:r w:rsidRPr="000254D4">
        <w:t xml:space="preserve">Personalipoliitika ja otsustusprotsessid muutuvad läbipaistvamaks, isikute siirdumisel erasektorist avalikku sektorisse ja vastupidi on vähem reputatsiooni ohustavat kõlapinda. </w:t>
      </w:r>
    </w:p>
    <w:p w14:paraId="62CE9311" w14:textId="77777777" w:rsidR="00030FF9" w:rsidRDefault="00DB4071" w:rsidP="00030FF9">
      <w:pPr>
        <w:pStyle w:val="Normaallaadveeb"/>
        <w:numPr>
          <w:ilvl w:val="0"/>
          <w:numId w:val="38"/>
        </w:numPr>
        <w:spacing w:line="276" w:lineRule="auto"/>
      </w:pPr>
      <w:r w:rsidRPr="00030FF9">
        <w:rPr>
          <w:b/>
          <w:bCs/>
        </w:rPr>
        <w:t>Mõjutatud sihtrühm</w:t>
      </w:r>
      <w:r w:rsidR="000254D4" w:rsidRPr="000254D4">
        <w:t xml:space="preserve">. </w:t>
      </w:r>
    </w:p>
    <w:p w14:paraId="298479BA" w14:textId="3B23526F" w:rsidR="00564596" w:rsidRDefault="000254D4" w:rsidP="00030FF9">
      <w:pPr>
        <w:pStyle w:val="Normaallaadveeb"/>
        <w:spacing w:line="276" w:lineRule="auto"/>
      </w:pPr>
      <w:r w:rsidRPr="000254D4">
        <w:t xml:space="preserve">Ametisse nimetamise õigusega ametiisikud, spetsiifilise oskusteabe ja otsustuspädevusega ametiisikud. </w:t>
      </w:r>
    </w:p>
    <w:p w14:paraId="5B66F3DC" w14:textId="750FB02B" w:rsidR="00564596" w:rsidRPr="00564596" w:rsidRDefault="00564596" w:rsidP="00564596">
      <w:pPr>
        <w:pStyle w:val="Normaallaadveeb"/>
        <w:numPr>
          <w:ilvl w:val="0"/>
          <w:numId w:val="38"/>
        </w:numPr>
        <w:spacing w:line="276" w:lineRule="auto"/>
        <w:rPr>
          <w:b/>
          <w:bCs/>
        </w:rPr>
      </w:pPr>
      <w:r w:rsidRPr="00564596">
        <w:rPr>
          <w:b/>
          <w:bCs/>
        </w:rPr>
        <w:t>Seadus</w:t>
      </w:r>
      <w:r>
        <w:rPr>
          <w:b/>
          <w:bCs/>
        </w:rPr>
        <w:t>e</w:t>
      </w:r>
      <w:r w:rsidRPr="00564596">
        <w:rPr>
          <w:b/>
          <w:bCs/>
        </w:rPr>
        <w:t xml:space="preserve"> jõustumine </w:t>
      </w:r>
    </w:p>
    <w:p w14:paraId="63FDAE8F" w14:textId="455F5369" w:rsidR="00564596" w:rsidRDefault="00564596" w:rsidP="00564596">
      <w:pPr>
        <w:pStyle w:val="Normaallaadveeb"/>
        <w:spacing w:line="276" w:lineRule="auto"/>
      </w:pPr>
      <w:r>
        <w:t xml:space="preserve">Seadus jõustub 1. märtsil 2027, et anda asutustele piisavalt aega üleminekuks. </w:t>
      </w:r>
    </w:p>
    <w:p w14:paraId="65550330" w14:textId="77777777" w:rsidR="002B78E6" w:rsidRDefault="002B78E6" w:rsidP="00B76A86">
      <w:pPr>
        <w:pStyle w:val="Normaallaadveeb"/>
        <w:spacing w:line="276" w:lineRule="auto"/>
      </w:pPr>
      <w:r>
        <w:t>_______________________________________________</w:t>
      </w:r>
    </w:p>
    <w:p w14:paraId="45906A18" w14:textId="236A0D67" w:rsidR="00564596" w:rsidRDefault="00564596" w:rsidP="00B76A86">
      <w:pPr>
        <w:pStyle w:val="Normaallaadveeb"/>
        <w:spacing w:line="276" w:lineRule="auto"/>
      </w:pPr>
      <w:r>
        <w:t xml:space="preserve">Algatab korruptsioonivastane erikomisjon  </w:t>
      </w:r>
      <w:r w:rsidR="00B76A86">
        <w:t>18</w:t>
      </w:r>
      <w:r>
        <w:t xml:space="preserve">. juunil 2026 </w:t>
      </w:r>
    </w:p>
    <w:p w14:paraId="296BF4F6" w14:textId="77777777" w:rsidR="00B76A86" w:rsidRDefault="00B76A86" w:rsidP="00B76A86">
      <w:pPr>
        <w:pStyle w:val="Normaallaadveeb"/>
        <w:spacing w:before="0" w:beforeAutospacing="0" w:after="0" w:afterAutospacing="0"/>
      </w:pPr>
    </w:p>
    <w:p w14:paraId="5055AAAC" w14:textId="7DDB98F8" w:rsidR="00B76A86" w:rsidRDefault="00B76A86" w:rsidP="00B76A86">
      <w:pPr>
        <w:pStyle w:val="Normaallaadveeb"/>
        <w:spacing w:before="0" w:beforeAutospacing="0" w:after="0" w:afterAutospacing="0"/>
      </w:pPr>
      <w:r>
        <w:t>(allkirjastatud digitaalselt)</w:t>
      </w:r>
    </w:p>
    <w:p w14:paraId="44D70A76" w14:textId="7340AE4E" w:rsidR="00B76A86" w:rsidRDefault="00B76A86" w:rsidP="00B76A86">
      <w:pPr>
        <w:pStyle w:val="Normaallaadveeb"/>
        <w:spacing w:before="0" w:beforeAutospacing="0" w:after="0" w:afterAutospacing="0"/>
      </w:pPr>
      <w:r>
        <w:t>Anastassia Kovalenko-Kõlvart</w:t>
      </w:r>
    </w:p>
    <w:p w14:paraId="2BA0A317" w14:textId="27CBA17B" w:rsidR="00B76A86" w:rsidRDefault="00B76A86" w:rsidP="00B76A86">
      <w:pPr>
        <w:pStyle w:val="Normaallaadveeb"/>
        <w:spacing w:before="0" w:beforeAutospacing="0" w:after="0" w:afterAutospacing="0"/>
      </w:pPr>
      <w:r>
        <w:t>Riigikogu korruptsioonivastase erikomisjoni esimees</w:t>
      </w:r>
    </w:p>
    <w:sectPr w:rsidR="00B76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845"/>
    <w:multiLevelType w:val="multilevel"/>
    <w:tmpl w:val="F7CC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B6F0A"/>
    <w:multiLevelType w:val="multilevel"/>
    <w:tmpl w:val="4896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2A3D"/>
    <w:multiLevelType w:val="multilevel"/>
    <w:tmpl w:val="450C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A113D"/>
    <w:multiLevelType w:val="multilevel"/>
    <w:tmpl w:val="1D4A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86DC1"/>
    <w:multiLevelType w:val="hybridMultilevel"/>
    <w:tmpl w:val="A2701D5C"/>
    <w:lvl w:ilvl="0" w:tplc="B7CC8F0A">
      <w:start w:val="3"/>
      <w:numFmt w:val="decimal"/>
      <w:lvlText w:val="%1."/>
      <w:lvlJc w:val="left"/>
      <w:pPr>
        <w:ind w:left="1080" w:hanging="360"/>
      </w:pPr>
      <w:rPr>
        <w:rFonts w:hint="default"/>
        <w:b/>
        <w:bCs/>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170B2844"/>
    <w:multiLevelType w:val="multilevel"/>
    <w:tmpl w:val="D78CD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12438"/>
    <w:multiLevelType w:val="multilevel"/>
    <w:tmpl w:val="8516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84DBF"/>
    <w:multiLevelType w:val="multilevel"/>
    <w:tmpl w:val="A23EB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948C1"/>
    <w:multiLevelType w:val="multilevel"/>
    <w:tmpl w:val="B72E1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3698D"/>
    <w:multiLevelType w:val="multilevel"/>
    <w:tmpl w:val="170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57B77"/>
    <w:multiLevelType w:val="multilevel"/>
    <w:tmpl w:val="8C7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C4AC7"/>
    <w:multiLevelType w:val="multilevel"/>
    <w:tmpl w:val="ECFC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32F0A"/>
    <w:multiLevelType w:val="multilevel"/>
    <w:tmpl w:val="8C4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AF6241"/>
    <w:multiLevelType w:val="multilevel"/>
    <w:tmpl w:val="2C48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D4BF5"/>
    <w:multiLevelType w:val="multilevel"/>
    <w:tmpl w:val="74C0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96EFD"/>
    <w:multiLevelType w:val="multilevel"/>
    <w:tmpl w:val="562C5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C03C8"/>
    <w:multiLevelType w:val="multilevel"/>
    <w:tmpl w:val="5FBC1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476B3"/>
    <w:multiLevelType w:val="multilevel"/>
    <w:tmpl w:val="E5E6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C1999"/>
    <w:multiLevelType w:val="multilevel"/>
    <w:tmpl w:val="7EB2E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C70AD9"/>
    <w:multiLevelType w:val="multilevel"/>
    <w:tmpl w:val="AE7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C2C26"/>
    <w:multiLevelType w:val="multilevel"/>
    <w:tmpl w:val="E14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DF5D21"/>
    <w:multiLevelType w:val="multilevel"/>
    <w:tmpl w:val="E95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61A24"/>
    <w:multiLevelType w:val="multilevel"/>
    <w:tmpl w:val="0B6A3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E2030D"/>
    <w:multiLevelType w:val="multilevel"/>
    <w:tmpl w:val="6C34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CC1"/>
    <w:multiLevelType w:val="multilevel"/>
    <w:tmpl w:val="E1EA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D2FAD"/>
    <w:multiLevelType w:val="multilevel"/>
    <w:tmpl w:val="58D8F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0636F"/>
    <w:multiLevelType w:val="multilevel"/>
    <w:tmpl w:val="A730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721AD"/>
    <w:multiLevelType w:val="multilevel"/>
    <w:tmpl w:val="351A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77410"/>
    <w:multiLevelType w:val="multilevel"/>
    <w:tmpl w:val="CC2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E0D00"/>
    <w:multiLevelType w:val="multilevel"/>
    <w:tmpl w:val="F9001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557AED"/>
    <w:multiLevelType w:val="multilevel"/>
    <w:tmpl w:val="9B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F44049"/>
    <w:multiLevelType w:val="multilevel"/>
    <w:tmpl w:val="7A00F7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1D44086"/>
    <w:multiLevelType w:val="multilevel"/>
    <w:tmpl w:val="1DF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64AD6"/>
    <w:multiLevelType w:val="multilevel"/>
    <w:tmpl w:val="925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54095"/>
    <w:multiLevelType w:val="multilevel"/>
    <w:tmpl w:val="C5C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05D58"/>
    <w:multiLevelType w:val="multilevel"/>
    <w:tmpl w:val="85DE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D35BE1"/>
    <w:multiLevelType w:val="multilevel"/>
    <w:tmpl w:val="425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747FB"/>
    <w:multiLevelType w:val="multilevel"/>
    <w:tmpl w:val="64823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531369">
    <w:abstractNumId w:val="30"/>
  </w:num>
  <w:num w:numId="2" w16cid:durableId="254558925">
    <w:abstractNumId w:val="20"/>
  </w:num>
  <w:num w:numId="3" w16cid:durableId="11810521">
    <w:abstractNumId w:val="37"/>
  </w:num>
  <w:num w:numId="4" w16cid:durableId="1205094501">
    <w:abstractNumId w:val="28"/>
  </w:num>
  <w:num w:numId="5" w16cid:durableId="1486969663">
    <w:abstractNumId w:val="19"/>
  </w:num>
  <w:num w:numId="6" w16cid:durableId="2058040160">
    <w:abstractNumId w:val="15"/>
  </w:num>
  <w:num w:numId="7" w16cid:durableId="282158608">
    <w:abstractNumId w:val="32"/>
  </w:num>
  <w:num w:numId="8" w16cid:durableId="2067994892">
    <w:abstractNumId w:val="21"/>
  </w:num>
  <w:num w:numId="9" w16cid:durableId="1004940229">
    <w:abstractNumId w:val="11"/>
  </w:num>
  <w:num w:numId="10" w16cid:durableId="1023826684">
    <w:abstractNumId w:val="29"/>
  </w:num>
  <w:num w:numId="11" w16cid:durableId="1096100902">
    <w:abstractNumId w:val="25"/>
  </w:num>
  <w:num w:numId="12" w16cid:durableId="169377565">
    <w:abstractNumId w:val="6"/>
  </w:num>
  <w:num w:numId="13" w16cid:durableId="183133539">
    <w:abstractNumId w:val="18"/>
  </w:num>
  <w:num w:numId="14" w16cid:durableId="1228691380">
    <w:abstractNumId w:val="7"/>
  </w:num>
  <w:num w:numId="15" w16cid:durableId="1009527469">
    <w:abstractNumId w:val="26"/>
  </w:num>
  <w:num w:numId="16" w16cid:durableId="1775130760">
    <w:abstractNumId w:val="12"/>
  </w:num>
  <w:num w:numId="17" w16cid:durableId="524565046">
    <w:abstractNumId w:val="13"/>
  </w:num>
  <w:num w:numId="18" w16cid:durableId="638730454">
    <w:abstractNumId w:val="16"/>
  </w:num>
  <w:num w:numId="19" w16cid:durableId="1238907289">
    <w:abstractNumId w:val="1"/>
  </w:num>
  <w:num w:numId="20" w16cid:durableId="1359696730">
    <w:abstractNumId w:val="27"/>
  </w:num>
  <w:num w:numId="21" w16cid:durableId="664824299">
    <w:abstractNumId w:val="34"/>
  </w:num>
  <w:num w:numId="22" w16cid:durableId="641934456">
    <w:abstractNumId w:val="10"/>
  </w:num>
  <w:num w:numId="23" w16cid:durableId="444547081">
    <w:abstractNumId w:val="14"/>
  </w:num>
  <w:num w:numId="24" w16cid:durableId="1359351436">
    <w:abstractNumId w:val="24"/>
  </w:num>
  <w:num w:numId="25" w16cid:durableId="881015951">
    <w:abstractNumId w:val="8"/>
  </w:num>
  <w:num w:numId="26" w16cid:durableId="1007368041">
    <w:abstractNumId w:val="36"/>
  </w:num>
  <w:num w:numId="27" w16cid:durableId="1121845731">
    <w:abstractNumId w:val="5"/>
  </w:num>
  <w:num w:numId="28" w16cid:durableId="2050719006">
    <w:abstractNumId w:val="3"/>
  </w:num>
  <w:num w:numId="29" w16cid:durableId="1974362825">
    <w:abstractNumId w:val="0"/>
  </w:num>
  <w:num w:numId="30" w16cid:durableId="484855321">
    <w:abstractNumId w:val="35"/>
  </w:num>
  <w:num w:numId="31" w16cid:durableId="126704221">
    <w:abstractNumId w:val="23"/>
  </w:num>
  <w:num w:numId="32" w16cid:durableId="1889147204">
    <w:abstractNumId w:val="17"/>
  </w:num>
  <w:num w:numId="33" w16cid:durableId="108937740">
    <w:abstractNumId w:val="2"/>
  </w:num>
  <w:num w:numId="34" w16cid:durableId="991063752">
    <w:abstractNumId w:val="9"/>
  </w:num>
  <w:num w:numId="35" w16cid:durableId="2044595483">
    <w:abstractNumId w:val="22"/>
  </w:num>
  <w:num w:numId="36" w16cid:durableId="879905203">
    <w:abstractNumId w:val="33"/>
  </w:num>
  <w:num w:numId="37" w16cid:durableId="1032999705">
    <w:abstractNumId w:val="31"/>
  </w:num>
  <w:num w:numId="38" w16cid:durableId="2039694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6C"/>
    <w:rsid w:val="00011E64"/>
    <w:rsid w:val="00020833"/>
    <w:rsid w:val="000254D4"/>
    <w:rsid w:val="00030FF9"/>
    <w:rsid w:val="00035FF1"/>
    <w:rsid w:val="00055492"/>
    <w:rsid w:val="000621C1"/>
    <w:rsid w:val="000E5442"/>
    <w:rsid w:val="00184399"/>
    <w:rsid w:val="001A44CF"/>
    <w:rsid w:val="001D0A18"/>
    <w:rsid w:val="00224A93"/>
    <w:rsid w:val="002855B6"/>
    <w:rsid w:val="002B78E6"/>
    <w:rsid w:val="002F31CB"/>
    <w:rsid w:val="00363E5B"/>
    <w:rsid w:val="003922EF"/>
    <w:rsid w:val="003E1D23"/>
    <w:rsid w:val="003E497E"/>
    <w:rsid w:val="00435067"/>
    <w:rsid w:val="004B3BC6"/>
    <w:rsid w:val="004F6815"/>
    <w:rsid w:val="005153A4"/>
    <w:rsid w:val="00521C57"/>
    <w:rsid w:val="0054004D"/>
    <w:rsid w:val="00564596"/>
    <w:rsid w:val="005921BA"/>
    <w:rsid w:val="005A6138"/>
    <w:rsid w:val="005F51D7"/>
    <w:rsid w:val="0060372C"/>
    <w:rsid w:val="006333DF"/>
    <w:rsid w:val="00673751"/>
    <w:rsid w:val="006C267C"/>
    <w:rsid w:val="00706C0D"/>
    <w:rsid w:val="00712926"/>
    <w:rsid w:val="00716940"/>
    <w:rsid w:val="00746219"/>
    <w:rsid w:val="00785D72"/>
    <w:rsid w:val="00793671"/>
    <w:rsid w:val="007D6487"/>
    <w:rsid w:val="007F19D9"/>
    <w:rsid w:val="008C3867"/>
    <w:rsid w:val="00970221"/>
    <w:rsid w:val="00982E40"/>
    <w:rsid w:val="00996FB5"/>
    <w:rsid w:val="009F5C03"/>
    <w:rsid w:val="00A027B4"/>
    <w:rsid w:val="00A12420"/>
    <w:rsid w:val="00A91885"/>
    <w:rsid w:val="00AB06ED"/>
    <w:rsid w:val="00AB0F93"/>
    <w:rsid w:val="00AC7457"/>
    <w:rsid w:val="00AD56EC"/>
    <w:rsid w:val="00AF61BA"/>
    <w:rsid w:val="00B76A86"/>
    <w:rsid w:val="00B816FB"/>
    <w:rsid w:val="00B954B7"/>
    <w:rsid w:val="00BE3335"/>
    <w:rsid w:val="00C675C9"/>
    <w:rsid w:val="00C82172"/>
    <w:rsid w:val="00CD75B7"/>
    <w:rsid w:val="00CE0186"/>
    <w:rsid w:val="00D0096C"/>
    <w:rsid w:val="00DB4071"/>
    <w:rsid w:val="00DB6794"/>
    <w:rsid w:val="00E6482F"/>
    <w:rsid w:val="00EA0222"/>
    <w:rsid w:val="00EA4F56"/>
    <w:rsid w:val="00F000A3"/>
    <w:rsid w:val="00F4495A"/>
    <w:rsid w:val="00F74C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C698"/>
  <w15:chartTrackingRefBased/>
  <w15:docId w15:val="{F3588B78-D275-44FF-8D57-7F5BA5E8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00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00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0096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0096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0096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009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009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009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009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0096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0096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0096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0096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0096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009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009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009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009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00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009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009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009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0096C"/>
    <w:pPr>
      <w:spacing w:before="160"/>
      <w:jc w:val="center"/>
    </w:pPr>
    <w:rPr>
      <w:i/>
      <w:iCs/>
      <w:color w:val="404040" w:themeColor="text1" w:themeTint="BF"/>
    </w:rPr>
  </w:style>
  <w:style w:type="character" w:customStyle="1" w:styleId="TsitaatMrk">
    <w:name w:val="Tsitaat Märk"/>
    <w:basedOn w:val="Liguvaikefont"/>
    <w:link w:val="Tsitaat"/>
    <w:uiPriority w:val="29"/>
    <w:rsid w:val="00D0096C"/>
    <w:rPr>
      <w:i/>
      <w:iCs/>
      <w:color w:val="404040" w:themeColor="text1" w:themeTint="BF"/>
    </w:rPr>
  </w:style>
  <w:style w:type="paragraph" w:styleId="Loendilik">
    <w:name w:val="List Paragraph"/>
    <w:basedOn w:val="Normaallaad"/>
    <w:uiPriority w:val="34"/>
    <w:qFormat/>
    <w:rsid w:val="00D0096C"/>
    <w:pPr>
      <w:ind w:left="720"/>
      <w:contextualSpacing/>
    </w:pPr>
  </w:style>
  <w:style w:type="character" w:styleId="Selgeltmrgatavrhutus">
    <w:name w:val="Intense Emphasis"/>
    <w:basedOn w:val="Liguvaikefont"/>
    <w:uiPriority w:val="21"/>
    <w:qFormat/>
    <w:rsid w:val="00D0096C"/>
    <w:rPr>
      <w:i/>
      <w:iCs/>
      <w:color w:val="0F4761" w:themeColor="accent1" w:themeShade="BF"/>
    </w:rPr>
  </w:style>
  <w:style w:type="paragraph" w:styleId="Selgeltmrgatavtsitaat">
    <w:name w:val="Intense Quote"/>
    <w:basedOn w:val="Normaallaad"/>
    <w:next w:val="Normaallaad"/>
    <w:link w:val="SelgeltmrgatavtsitaatMrk"/>
    <w:uiPriority w:val="30"/>
    <w:qFormat/>
    <w:rsid w:val="00D00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0096C"/>
    <w:rPr>
      <w:i/>
      <w:iCs/>
      <w:color w:val="0F4761" w:themeColor="accent1" w:themeShade="BF"/>
    </w:rPr>
  </w:style>
  <w:style w:type="character" w:styleId="Selgeltmrgatavviide">
    <w:name w:val="Intense Reference"/>
    <w:basedOn w:val="Liguvaikefont"/>
    <w:uiPriority w:val="32"/>
    <w:qFormat/>
    <w:rsid w:val="00D0096C"/>
    <w:rPr>
      <w:b/>
      <w:bCs/>
      <w:smallCaps/>
      <w:color w:val="0F4761" w:themeColor="accent1" w:themeShade="BF"/>
      <w:spacing w:val="5"/>
    </w:rPr>
  </w:style>
  <w:style w:type="character" w:styleId="Tugev">
    <w:name w:val="Strong"/>
    <w:basedOn w:val="Liguvaikefont"/>
    <w:uiPriority w:val="22"/>
    <w:qFormat/>
    <w:rsid w:val="00D0096C"/>
    <w:rPr>
      <w:b/>
      <w:bCs/>
    </w:rPr>
  </w:style>
  <w:style w:type="paragraph" w:styleId="Normaallaadveeb">
    <w:name w:val="Normal (Web)"/>
    <w:basedOn w:val="Normaallaad"/>
    <w:uiPriority w:val="99"/>
    <w:unhideWhenUsed/>
    <w:rsid w:val="00D0096C"/>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perlink">
    <w:name w:val="Hyperlink"/>
    <w:basedOn w:val="Liguvaikefont"/>
    <w:uiPriority w:val="99"/>
    <w:semiHidden/>
    <w:unhideWhenUsed/>
    <w:rsid w:val="00EA02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s.justice.gc.ca/eng/acts/C-36.65/page-3.html" TargetMode="External"/><Relationship Id="rId5" Type="http://schemas.openxmlformats.org/officeDocument/2006/relationships/hyperlink" Target="https://www.ombudsman.europa.eu/en/case/en/69230"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11439</Characters>
  <Application>Microsoft Office Word</Application>
  <DocSecurity>0</DocSecurity>
  <Lines>95</Lines>
  <Paragraphs>26</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Kärtner</dc:creator>
  <cp:keywords/>
  <dc:description/>
  <cp:lastModifiedBy>Raina Liiv</cp:lastModifiedBy>
  <cp:revision>2</cp:revision>
  <cp:lastPrinted>2026-06-15T09:21:00Z</cp:lastPrinted>
  <dcterms:created xsi:type="dcterms:W3CDTF">2026-06-18T08:04:00Z</dcterms:created>
  <dcterms:modified xsi:type="dcterms:W3CDTF">2026-06-18T08:04:00Z</dcterms:modified>
</cp:coreProperties>
</file>