
<file path=[Content_Types].xml><?xml version="1.0" encoding="utf-8"?>
<Types xmlns="http://schemas.openxmlformats.org/package/2006/content-types">
  <Default Extension="rels" ContentType="application/vnd.openxmlformats-package.relationships+xml"/>
  <Default Extension="jpeg" ContentType="image/jpeg"/>
  <Override PartName="/docProps/core.xml" ContentType="application/vnd.openxmlformats-package.core-propertie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officeDocument" Target="word/document.xml" /></Relationships>
</file>

<file path=word/document.xml><?xml version="1.0" encoding="utf-8"?>
<w:document xmlns:r="http://schemas.openxmlformats.org/officeDocument/2006/relationships" xmlns:w="http://schemas.openxmlformats.org/wordprocessingml/2006/main">
  <w:body>
    <w:tbl>
      <w:tblPr>
        <w:tblStyle w:val="Kontuurtabel"/>
        <w:tblW w:w="9356" w:type="dxa"/>
        <w:tblInd w:w="108" w:type="dxa"/>
        <w:tblBorders>
          <w:top w:color="FFFFFF" w:themeColor="light1" w:frame="false" w:shadow="false" w:sz="4" w:space="0" w:val="single"/>
          <w:left w:color="FFFFFF" w:themeColor="light1" w:frame="false" w:shadow="false" w:sz="4" w:space="0" w:val="single"/>
          <w:bottom w:color="FFFFFF" w:themeColor="light1" w:frame="false" w:shadow="false" w:sz="4" w:space="0" w:val="single"/>
          <w:right w:color="FFFFFF" w:themeColor="light1" w:frame="false" w:shadow="false" w:sz="4" w:space="0" w:val="single"/>
          <w:insideH w:color="FFFFFF" w:themeColor="light1" w:frame="false" w:shadow="false" w:sz="4" w:space="0" w:val="single"/>
          <w:insideV w:color="FFFFFF" w:themeColor="light1" w:frame="false" w:shadow="false" w:sz="4" w:space="0" w:val="single"/>
        </w:tblBorders>
        <w:tblLook w:val="04A0"/>
      </w:tblPr>
      <w:tr>
        <w:trPr>
          <w:trHeight w:val="735" w:hRule="atLeast"/>
        </w:trPr>
        <w:tc>
          <w:tcPr>
            <w:tcW w:w="1985" w:type="dxa"/>
            <w:vMerge w:val="restart"/>
          </w:tcPr>
          <w:p>
            <w:pPr>
              <w:pStyle w:val="Pis"/>
              <w:tabs>
                <w:tab w:pos="4536" w:val="clear" w:leader="none"/>
                <w:tab w:pos="9072" w:val="clear" w:leader="none"/>
              </w:tabs>
              <w:jc w:val="center"/>
              <w:rPr>
                <w:sz w:val="32"/>
              </w:rPr>
            </w:pPr>
            <w:r>
              <w:drawing>
                <wp:anchor xmlns:wp="http://schemas.openxmlformats.org/drawingml/2006/wordprocessingDrawing" distT="0" distB="0" distL="114300" distR="114300" simplePos="false" relativeHeight="251662336" behindDoc="false" locked="false" layoutInCell="true" allowOverlap="true">
                  <wp:simplePos x="0" y="0"/>
                  <wp:positionH relativeFrom="column">
                    <wp:posOffset>-85725</wp:posOffset>
                  </wp:positionH>
                  <wp:positionV relativeFrom="paragraph">
                    <wp:posOffset>-123825</wp:posOffset>
                  </wp:positionV>
                  <wp:extent cy="1047750" cx="885825"/>
                  <wp:effectExtent l="0" r="0" t="0" b="0"/>
                  <wp:wrapNone/>
                  <wp:docPr id="0" name="Pilt 3" descr="" title=""/>
                  <a:graphic xmlns:a="http://schemas.openxmlformats.org/drawingml/2006/main">
                    <a:graphicData uri="http://schemas.openxmlformats.org/drawingml/2006/picture">
                      <pic:pic xmlns:pic="http://schemas.openxmlformats.org/drawingml/2006/picture">
                        <pic:nvPicPr>
                          <pic:cNvPr id="0" name="Pilt 3" descr="" title=""/>
                          <pic:cNvPicPr>
                            <a:picLocks noChangeAspect="1"/>
                          </pic:cNvPicPr>
                        </pic:nvPicPr>
                        <pic:blipFill>
                          <a:blip xmlns:r="http://schemas.openxmlformats.org/officeDocument/2006/relationships" r:embed="rId7"/>
                          <a:stretch>
                            <a:fillRect/>
                          </a:stretch>
                        </pic:blipFill>
                        <pic:spPr>
                          <a:xfrm>
                            <a:off x="0" y="0"/>
                            <a:ext cy="1047750" cx="885825"/>
                          </a:xfrm>
                          <a:prstGeom prst="rect"/>
                          <a:noFill/>
                        </pic:spPr>
                      </pic:pic>
                    </a:graphicData>
                  </a:graphic>
                </wp:anchor>
              </w:drawing>
            </w:r>
          </w:p>
        </w:tc>
        <w:tc>
          <w:tcPr>
            <w:tcW w:w="3969" w:type="dxa"/>
            <w:vAlign w:val="bottom"/>
          </w:tcPr>
          <w:p>
            <w:pPr>
              <w:pStyle w:val="Pis"/>
              <w:tabs>
                <w:tab w:pos="4536" w:val="clear" w:leader="none"/>
                <w:tab w:pos="9072" w:val="clear" w:leader="none"/>
              </w:tabs>
              <w:ind w:right="-108"/>
              <w:jc w:val="right"/>
              <w:rPr>
                <w:sz w:val="60"/>
              </w:rPr>
            </w:pPr>
          </w:p>
        </w:tc>
        <w:tc>
          <w:tcPr>
            <w:tcW w:w="3402" w:type="dxa"/>
            <w:vMerge w:val="restart"/>
          </w:tcPr>
          <w:p>
            <w:pPr>
              <w:pStyle w:val="Pis"/>
              <w:tabs>
                <w:tab w:pos="4536" w:val="clear" w:leader="none"/>
                <w:tab w:pos="9072" w:val="clear" w:leader="none"/>
              </w:tabs>
              <w:ind w:left="-108" w:right="-108"/>
              <w:jc w:val="right"/>
              <w:rPr/>
            </w:pPr>
          </w:p>
        </w:tc>
      </w:tr>
      <w:tr>
        <w:trPr>
          <w:trHeight w:val="420" w:hRule="atLeast"/>
        </w:trPr>
        <w:tc>
          <w:tcPr>
            <w:tcW w:w="1985" w:type="dxa"/>
            <w:vMerge w:val="continue"/>
          </w:tcPr>
          <w:p>
            <w:pPr>
              <w:rPr/>
            </w:pPr>
          </w:p>
        </w:tc>
        <w:tc>
          <w:tcPr>
            <w:tcW w:w="3969" w:type="dxa"/>
            <w:tcBorders>
              <w:bottom w:color="FFFFFF" w:themeColor="light1" w:frame="false" w:shadow="false" w:sz="4" w:space="0" w:val="single"/>
            </w:tcBorders>
            <w:vAlign w:val="bottom"/>
          </w:tcPr>
          <w:p>
            <w:pPr>
              <w:pStyle w:val="Pis"/>
              <w:ind w:left="-108"/>
              <w:rPr/>
            </w:pPr>
            <w:r>
              <w:rPr>
                <w:rFonts w:ascii="Arial" w:hAnsi="Arial" w:cs="Arial"/>
                <w:sz w:val="32"/>
              </w:rPr>
              <w:t>VÕRU VALLAVALITSUS</w:t>
            </w:r>
          </w:p>
        </w:tc>
        <w:tc>
          <w:tcPr>
            <w:tcW w:w="3402" w:type="dxa"/>
            <w:vMerge w:val="continue"/>
          </w:tcPr>
          <w:p>
            <w:pPr>
              <w:rPr/>
            </w:pPr>
          </w:p>
        </w:tc>
      </w:tr>
      <w:tr>
        <w:trPr/>
        <w:tc>
          <w:tcPr>
            <w:tcW w:w="1985" w:type="dxa"/>
            <w:vMerge w:val="continue"/>
          </w:tcPr>
          <w:p>
            <w:pPr>
              <w:rPr/>
            </w:pPr>
          </w:p>
        </w:tc>
        <w:tc>
          <w:tcPr>
            <w:tcW w:w="3969" w:type="dxa"/>
            <w:tcBorders>
              <w:bottom w:color="auto" w:frame="false" w:shadow="false" w:sz="4" w:space="0" w:val="single"/>
            </w:tcBorders>
            <w:vAlign w:val="bottom"/>
          </w:tcPr>
          <w:p>
            <w:pPr>
              <w:pStyle w:val="Pis"/>
              <w:tabs>
                <w:tab w:pos="4536" w:val="clear" w:leader="none"/>
                <w:tab w:pos="9072" w:val="clear" w:leader="none"/>
              </w:tabs>
              <w:rPr/>
            </w:pPr>
          </w:p>
        </w:tc>
        <w:tc>
          <w:tcPr>
            <w:tcW w:w="3402" w:type="dxa"/>
            <w:tcBorders>
              <w:bottom w:color="auto" w:frame="false" w:shadow="false" w:sz="4" w:space="0" w:val="single"/>
            </w:tcBorders>
          </w:tcPr>
          <w:p>
            <w:pPr>
              <w:ind w:left="-108" w:right="-108"/>
              <w:jc w:val="right"/>
              <w:rPr>
                <w:sz w:val="20"/>
              </w:rPr>
            </w:pPr>
          </w:p>
        </w:tc>
      </w:tr>
    </w:tbl>
    <w:p>
      <w:pPr>
        <w:rPr>
          <w:color w:val="FFFFFF" w:themeColor="light1"/>
        </w:rPr>
      </w:pPr>
    </w:p>
    <w:p>
      <w:pPr>
        <w:tabs>
          <w:tab w:pos="5529" w:val="left" w:leader="none"/>
        </w:tabs>
        <w:rPr/>
      </w:pPr>
      <w:r>
        <w:rPr/>
        <w:t>Regionaal- ja Põllumajandusministeerium</w:t>
      </w:r>
    </w:p>
    <w:p>
      <w:pPr>
        <w:tabs>
          <w:tab w:pos="5954" w:val="left" w:leader="none"/>
        </w:tabs>
        <w:rPr/>
      </w:pPr>
      <w:r>
        <w:rPr/>
        <w:t>Transpordiamet</w:t>
      </w:r>
    </w:p>
    <w:p>
      <w:pPr>
        <w:tabs>
          <w:tab w:pos="5954" w:val="left" w:leader="none"/>
        </w:tabs>
        <w:rPr/>
      </w:pPr>
      <w:r>
        <w:rPr/>
        <w:t>Päästeameti Lõuna päästekeskus</w:t>
      </w:r>
    </w:p>
    <w:p>
      <w:pPr>
        <w:tabs>
          <w:tab w:pos="5954" w:val="left" w:leader="none"/>
        </w:tabs>
        <w:rPr/>
      </w:pPr>
      <w:r>
        <w:rPr/>
        <w:t>Maa-amet</w:t>
      </w:r>
    </w:p>
    <w:p>
      <w:pPr>
        <w:tabs>
          <w:tab w:pos="5954" w:val="left" w:leader="none"/>
        </w:tabs>
        <w:rPr/>
      </w:pPr>
      <w:r>
        <w:rPr/>
        <w:tab/>
        <w:t xml:space="preserve">Meie </w:t>
      </w:r>
      <w:r>
        <w:rPr/>
        <w:t>05.12.2024 nr 7-4/4802</w:t>
      </w:r>
    </w:p>
    <w:p>
      <w:pPr>
        <w:tabs>
          <w:tab w:pos="1591" w:val="left" w:leader="none"/>
        </w:tabs>
        <w:rPr/>
      </w:pPr>
    </w:p>
    <w:p>
      <w:pPr>
        <w:rPr/>
      </w:pPr>
    </w:p>
    <w:p>
      <w:pPr>
        <w:ind w:right="4677"/>
        <w:rPr/>
      </w:pPr>
      <w:r>
        <w:rPr/>
        <w:t>Vastseliina tööstusala detailplaneeringu kehtetuks tunnistamine</w:t>
      </w:r>
    </w:p>
    <w:p>
      <w:pPr>
        <w:rPr/>
      </w:pPr>
    </w:p>
    <w:p>
      <w:pPr>
        <w:rPr/>
      </w:pPr>
    </w:p>
    <w:p>
      <w:pPr>
        <w:spacing w:after="150"/>
        <w:jc w:val="both"/>
        <w:rPr/>
      </w:pPr>
      <w:r>
        <w:rPr>
          <w:color w:val="333333"/>
          <w:shd w:fill="FFFFFF" w:color="auto" w:val="clear"/>
        </w:rPr>
        <w:t xml:space="preserve">Tuginedes planeerimisseaduse § 40 lg 5 anname teada, et Võru Vallavolikogu </w:t>
      </w:r>
      <w:r>
        <w:rPr>
          <w:color w:val="333333"/>
          <w:shd w:fill="FFFFFF" w:color="auto" w:val="clear"/>
        </w:rPr>
        <w:t xml:space="preserve">tunnistas 20.11.2024 otsusega nr 181 (kättesaadav: </w:t>
      </w:r>
      <w:r>
        <w:fldChar w:fldCharType="begin" w:fldLock="false" w:dirty="false"/>
      </w:r>
      <w:r>
        <w:rPr/>
        <w:instrText xml:space="preserve"> HYPERLINK "https://atp.amphora.ee/voruvv2017/index.aspx?itm=712293" </w:instrText>
      </w:r>
      <w:r>
        <w:fldChar w:fldCharType="separate"/>
      </w:r>
      <w:r>
        <w:rPr>
          <w:rStyle w:val="Hperlink"/>
          <w:shd w:fill="FFFFFF" w:color="auto" w:val="clear"/>
        </w:rPr>
        <w:t>https://atp.amphora.ee/voruvv2017/index.aspx?itm=712293</w:t>
      </w:r>
      <w:r>
        <w:fldChar w:fldCharType="end"/>
      </w:r>
      <w:r>
        <w:rPr>
          <w:color w:val="333333"/>
          <w:shd w:fill="FFFFFF" w:color="auto" w:val="clear"/>
        </w:rPr>
        <w:t xml:space="preserve"> </w:t>
      </w:r>
      <w:r>
        <w:rPr>
          <w:color w:val="333333"/>
          <w:shd w:fill="FFFFFF" w:color="auto" w:val="clear"/>
        </w:rPr>
        <w:t>) Vastseliina tööstusala detailplaneeringu.</w:t>
      </w:r>
    </w:p>
    <w:p>
      <w:pPr>
        <w:spacing w:after="150"/>
        <w:jc w:val="both"/>
        <w:rPr/>
      </w:pPr>
      <w:r>
        <w:rPr>
          <w:color w:val="333333"/>
          <w:shd w:fill="FFFFFF" w:color="auto" w:val="clear"/>
        </w:rPr>
        <w:t>Piusaveere tn 1-6, Piusaveere tn 8, Piusaveere tn 10, Piusaveere tn 12, Piusaveere tn 14, Piusaveere tänav, Piusaveere mahuti ja Piusaveere alajaam kinnisasjade omanik esitas Võru vallavalitsusele taotluse Vastseliina tööstusala detailplaneeringu kehtetuks tunnistamiseks ettevõttele kuuluvate maaüksuste osas. Võru Vallavolikogu tunnistas detailplaneeringu 20.11.2024 otsusega nr 181 kogu ulatuses kehtetuks.</w:t>
      </w:r>
    </w:p>
    <w:p>
      <w:pPr>
        <w:spacing w:after="150"/>
        <w:jc w:val="both"/>
        <w:rPr/>
      </w:pPr>
      <w:r>
        <w:rPr>
          <w:color w:val="333333"/>
          <w:shd w:fill="FFFFFF" w:color="auto" w:val="clear"/>
        </w:rPr>
        <w:t>Taotlejale kuuluvad maaüksused moodustasid valdava osa planeeringualast. Sinna oli kavandatud 0,6–1,7 ha suurused ehitusõigusega tootmis- ja ärimaa krundid, mille suurim lubatud täisehitusprotsent jäi vahemikku 30-40%. Detailplaneeringu lahendus koostati 10 aastata tagasi eeldusel, et ala kasutus jagatakse mitme tootmisettevõtte vahel. Seega oli igale maaüksusele määratud eraldi ehitusõigus, sh seatud piirangud kavandatavate hoonete suurimale ehitusealusele pinnale, kõrgusele ja suletud brutopinnale. Kuna m</w:t>
      </w:r>
      <w:r>
        <w:rPr>
          <w:color w:val="333333"/>
          <w:shd w:fill="FFFFFF" w:color="auto" w:val="clear"/>
        </w:rPr>
        <w:t>aaüksused on nüüdseks ühe ettevõtte omandis, siis ei olnudplaneeringus seatud tingimused enam aja- ja asjakohased.</w:t>
      </w:r>
    </w:p>
    <w:p>
      <w:pPr>
        <w:spacing w:after="150"/>
        <w:jc w:val="both"/>
        <w:rPr/>
      </w:pPr>
      <w:r>
        <w:rPr>
          <w:color w:val="333333"/>
          <w:shd w:fill="FFFFFF" w:color="auto" w:val="clear"/>
        </w:rPr>
        <w:t>Kehtiva Võru valla üldplaneeringu järgi asub valdav osa detailplaneeringu alast tootmise maa-ala juhtotstarbega alal. Alale võib ehitada tootmis- ja tööstushooneid (sh energiatootmishooneid ja rajatisi), laohooneid ning - rajatisi ja logistika- ning transpordikeskust. Lisaks on üldplaneeringu seletuskirjas seatud tingimused, et 15% maaüksusest tuleb tagada haljastatavana, suurim lubatud täisehitusprotsent on 60%. Seega ei ole ka detailplaneeringu kehtetuks tunnistamise järgselt võimalik realiseerida detailp</w:t>
      </w:r>
      <w:r>
        <w:rPr>
          <w:color w:val="333333"/>
          <w:shd w:fill="FFFFFF" w:color="auto" w:val="clear"/>
        </w:rPr>
        <w:t>laneeringuga kavandatust väga oluliselt erinevat ning negatiivseid muutusi kaasa toovat ehitussoovi. Detailplaneeringu kehtetuks tunnistamisega ei kaasne olulisi negatiivseid mõjusid piirnevatele kinnisasjadele, vastuvõetud üldplaneeringus sätestatu tagab miljöö kaitse, välistab olemasolevatest hoonetest suuremate hoonete ehitamise, hoonestusala suurenemise.</w:t>
      </w:r>
    </w:p>
    <w:p>
      <w:pPr>
        <w:spacing w:after="150"/>
        <w:jc w:val="both"/>
        <w:rPr/>
      </w:pPr>
      <w:r>
        <w:rPr>
          <w:color w:val="333333"/>
          <w:shd w:fill="FFFFFF" w:color="auto" w:val="clear"/>
        </w:rPr>
        <w:t>Ligipääs tootmisalale on detailplaneeringu kohaselt kavandatud Tallinn-Tartu-Võru-Luhamaa maanteelt. Selleks kavandati uus teelõik tootmisala Pätisilla tee ja Rõuge-Vastseliina tee kaudu Tallinn-Tartu-Võru-Luhamaa maanteega ühendamiseks. Uus teelõik on välja ehitamata, kuid selle alune maa on munitsipaalomandis ning selle asukoht on kehtivas Võru valla üldplaneeringus määratud liiklusmaa juhtotstarbega alaks.</w:t>
      </w:r>
    </w:p>
    <w:p>
      <w:pPr>
        <w:spacing w:after="150"/>
        <w:jc w:val="both"/>
        <w:rPr/>
      </w:pPr>
      <w:r>
        <w:rPr>
          <w:color w:val="333333"/>
          <w:shd w:fill="FFFFFF" w:color="auto" w:val="clear"/>
        </w:rPr>
        <w:t xml:space="preserve">Seega otsustas Võru Vallavolikogu, et käesoleval juhul ei ole otstarbekas </w:t>
      </w:r>
      <w:r>
        <w:rPr>
          <w:color w:val="333333"/>
          <w:shd w:fill="FFFFFF" w:color="auto" w:val="clear"/>
        </w:rPr>
        <w:t xml:space="preserve">detailplaneeringut osaliselt kehtima jätta vaid tunnistada see tervikuna kehtetuks. Detailplaneeringu kehtetuks </w:t>
      </w:r>
      <w:r>
        <w:rPr>
          <w:color w:val="333333"/>
          <w:shd w:fill="FFFFFF" w:color="auto" w:val="clear"/>
        </w:rPr>
        <w:t>tunnistamine ei too puudutatud isikutele kaasa negatiivseid mõjutusi ega nende olukorra halvenemist. Samuti puudub avalik huvi, mis välistaks detailplaneeringu kehtetuks tunnistamise. Edasisel projekteerimisel ja ehitamisel tuleb järgida planeerimisseadust ning aluseks võtta ehitusseadustik, kõikide toimingute aluseks on alati ka kehtiv üldplaneering.</w:t>
      </w:r>
    </w:p>
    <w:p>
      <w:pPr>
        <w:rPr/>
      </w:pPr>
    </w:p>
    <w:p>
      <w:pPr>
        <w:rPr/>
      </w:pPr>
    </w:p>
    <w:p>
      <w:pPr>
        <w:rPr/>
      </w:pPr>
      <w:r>
        <w:rPr/>
        <w:t>Lugupidamisega</w:t>
      </w:r>
    </w:p>
    <w:p>
      <w:pPr>
        <w:tabs>
          <w:tab w:pos="3540" w:val="left" w:leader="none"/>
        </w:tabs>
        <w:rPr/>
      </w:pPr>
    </w:p>
    <w:p>
      <w:pPr>
        <w:rPr/>
      </w:pPr>
    </w:p>
    <w:p>
      <w:pPr>
        <w:rPr/>
      </w:pPr>
      <w:r>
        <w:rPr/>
        <w:t>(allkirjastatud digitaalselt)</w:t>
      </w:r>
    </w:p>
    <w:p>
      <w:pPr>
        <w:rPr/>
      </w:pPr>
      <w:r>
        <w:rPr/>
        <w:t>Triinu Jürisaar</w:t>
      </w:r>
    </w:p>
    <w:p>
      <w:pPr>
        <w:rPr/>
      </w:pPr>
      <w:r>
        <w:rPr/>
        <w:t>planeeringuspetsialist</w:t>
      </w:r>
    </w:p>
    <w:p>
      <w:pPr>
        <w:rPr/>
      </w:pPr>
    </w:p>
    <w:p>
      <w:pPr>
        <w:rPr/>
      </w:pPr>
    </w:p>
    <w:p>
      <w:pPr>
        <w:rPr/>
      </w:pPr>
    </w:p>
    <w:p>
      <w:pPr>
        <w:rPr/>
      </w:pPr>
    </w:p>
    <w:p>
      <w:pPr>
        <w:rPr/>
      </w:pPr>
    </w:p>
    <w:p>
      <w:pPr>
        <w:rPr/>
      </w:pPr>
      <w:r>
        <w:rPr/>
        <w:t xml:space="preserve">5696 5750 triinu.jurisaar@voruvald.ee </w:t>
      </w:r>
    </w:p>
    <w:p>
      <w:pPr>
        <w:tabs>
          <w:tab w:pos="5954" w:val="left" w:leader="none"/>
        </w:tabs>
        <w:rPr/>
      </w:pPr>
    </w:p>
    <w:sectPr>
      <w:pgSz w:h="16840" w:w="11907" w:orient="portrait"/>
      <w:pgMar w:top="680" w:right="851" w:bottom="680" w:left="1701" w:header="567" w:footer="567" w:gutter="0"/>
      <w:titlePg w:val="true"/>
      <w:footerReference r:id="rId2" w:type="default"/>
      <w:footerReference r:id="rId3" w:type="first"/>
    </w:sectPr>
  </w:body>
</w:document>
</file>

<file path=word/footer1.xml><?xml version="1.0" encoding="utf-8"?>
<w:ftr xmlns:w="http://schemas.openxmlformats.org/wordprocessingml/2006/main">
  <w:p>
    <w:pPr>
      <w:pStyle w:val="Jalus"/>
      <w:jc w:val="center"/>
      <w:rPr/>
    </w:pPr>
    <w:r>
      <w:fldChar w:fldCharType="begin" w:fldLock="false" w:dirty="false"/>
    </w:r>
    <w:r>
      <w:rPr/>
      <w:instrText>PAGE   \* MERGEFORMAT</w:instrText>
    </w:r>
    <w:r>
      <w:fldChar w:fldCharType="separate"/>
    </w:r>
    <w:r>
      <w:rPr/>
      <w:t>2</w:t>
    </w:r>
    <w:r>
      <w:fldChar w:fldCharType="end"/>
    </w:r>
  </w:p>
</w:ftr>
</file>

<file path=word/footer2.xml><?xml version="1.0" encoding="utf-8"?>
<w:ftr xmlns:w="http://schemas.openxmlformats.org/wordprocessingml/2006/main">
  <w:tbl>
    <w:tblPr>
      <w:tblStyle w:val="Kontuurtabel"/>
      <w:tblW w:w="9356" w:type="dxa"/>
      <w:jc w:val="center"/>
      <w:tblLook w:val="04A0"/>
    </w:tblPr>
    <w:tr>
      <w:trPr>
        <w:jc w:val="center"/>
      </w:trPr>
      <w:tc>
        <w:tcPr>
          <w:tcW w:w="9356" w:type="dxa"/>
          <w:tcBorders>
            <w:top w:color="auto" w:frame="false" w:shadow="false" w:sz="4" w:space="0" w:val="single"/>
            <w:left w:color="000000" w:frame="false" w:shadow="false" w:sz="0" w:space="0" w:val="nil"/>
            <w:bottom w:color="000000" w:frame="false" w:shadow="false" w:sz="0" w:space="0" w:val="nil"/>
            <w:right w:color="000000" w:frame="false" w:shadow="false" w:sz="0" w:space="0" w:val="nil"/>
          </w:tcBorders>
        </w:tcPr>
        <w:p>
          <w:pPr>
            <w:tabs>
              <w:tab w:pos="2977" w:val="left" w:leader="none"/>
              <w:tab w:pos="6663" w:val="left" w:leader="none"/>
            </w:tabs>
            <w:ind w:right="-144"/>
            <w:rPr>
              <w:rFonts w:ascii="Arial" w:hAnsi="Arial" w:cs="Arial"/>
              <w:sz w:val="2"/>
            </w:rPr>
          </w:pPr>
        </w:p>
      </w:tc>
    </w:tr>
  </w:tbl>
  <w:p>
    <w:pPr>
      <w:tabs>
        <w:tab w:pos="2977" w:val="left" w:leader="none"/>
        <w:tab w:pos="6663" w:val="left" w:leader="none"/>
      </w:tabs>
      <w:ind w:right="-144"/>
      <w:rPr>
        <w:rFonts w:ascii="Arial" w:hAnsi="Arial" w:cs="Arial"/>
        <w:sz w:val="20"/>
      </w:rPr>
    </w:pPr>
    <w:r>
      <w:rPr>
        <w:rFonts w:ascii="Arial" w:hAnsi="Arial" w:cs="Arial"/>
        <w:sz w:val="20"/>
      </w:rPr>
      <w:t>Registrikood 77000393</w:t>
    </w:r>
    <w:r>
      <w:rPr>
        <w:rFonts w:ascii="Arial" w:hAnsi="Arial" w:cs="Arial"/>
        <w:sz w:val="20"/>
      </w:rPr>
      <w:tab/>
      <w:t>telefon 785 1242, 782 1365</w:t>
    </w:r>
    <w:r>
      <w:rPr>
        <w:rFonts w:ascii="Arial" w:hAnsi="Arial" w:cs="Arial"/>
        <w:sz w:val="20"/>
      </w:rPr>
      <w:tab/>
      <w:t xml:space="preserve">  a/a EE931010402007075008</w:t>
    </w:r>
  </w:p>
  <w:p>
    <w:pPr>
      <w:tabs>
        <w:tab w:pos="2977" w:val="left" w:leader="none"/>
        <w:tab w:pos="8080" w:val="left" w:leader="none"/>
      </w:tabs>
      <w:rPr>
        <w:rFonts w:ascii="Arial" w:hAnsi="Arial" w:cs="Arial"/>
        <w:sz w:val="20"/>
      </w:rPr>
    </w:pPr>
    <w:r>
      <w:rPr>
        <w:rFonts w:ascii="Arial" w:hAnsi="Arial" w:cs="Arial"/>
        <w:sz w:val="20"/>
      </w:rPr>
      <w:t>Võrumõisa tee 4a</w:t>
    </w:r>
    <w:r>
      <w:rPr>
        <w:rFonts w:ascii="Arial" w:hAnsi="Arial" w:cs="Arial"/>
        <w:sz w:val="20"/>
      </w:rPr>
      <w:tab/>
      <w:t>e-post</w:t>
    </w:r>
    <w:r>
      <w:rPr>
        <w:rFonts w:ascii="Arial" w:hAnsi="Arial" w:cs="Arial"/>
        <w:sz w:val="20"/>
      </w:rPr>
      <w:t xml:space="preserve"> vald@voruvald.ee</w:t>
    </w:r>
    <w:r>
      <w:rPr>
        <w:rFonts w:ascii="Arial" w:hAnsi="Arial" w:cs="Arial"/>
        <w:sz w:val="20"/>
      </w:rPr>
      <w:tab/>
      <w:t>AS SEB Pank</w:t>
    </w:r>
  </w:p>
  <w:p>
    <w:pPr>
      <w:tabs>
        <w:tab w:pos="2977" w:val="left" w:leader="none"/>
        <w:tab w:pos="3780" w:val="left" w:leader="none"/>
      </w:tabs>
      <w:rPr>
        <w:rFonts w:ascii="Arial" w:hAnsi="Arial" w:cs="Arial"/>
        <w:sz w:val="20"/>
      </w:rPr>
    </w:pPr>
    <w:r>
      <w:rPr>
        <w:rFonts w:ascii="Arial" w:hAnsi="Arial" w:cs="Arial"/>
        <w:sz w:val="20"/>
      </w:rPr>
      <w:t>65605 VÕRU</w:t>
    </w:r>
  </w:p>
</w:ftr>
</file>

<file path=word/numbering.xml><?xml version="1.0" encoding="utf-8"?>
<w:numbering xmlns:w="http://schemas.openxmlformats.org/wordprocessingml/2006/main">
  <w:abstractNum w:abstractNumId="0">
    <w:multiLevelType w:val="hybridMultilevel"/>
    <w:lvl w:ilvl="0">
      <w:start w:val="1"/>
      <w:numFmt w:val="custom"/>
      <w:isLgl w:val="false"/>
      <w:lvlText w:val="%1."/>
      <w:pPr>
        <w:ind w:hanging="705" w:left="1065"/>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1">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2">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3">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4">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5">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6">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7">
    <w:multiLevelType w:val="multilevel"/>
    <w:lvl w:ilvl="0">
      <w:start w:val="1"/>
      <w:numFmt w:val="custom"/>
      <w:isLgl w:val="false"/>
      <w:lvlText w:val="%1."/>
      <w:pPr>
        <w:ind w:hanging="360" w:left="720"/>
      </w:pPr>
      <w:rPr/>
    </w:lvl>
    <w:lvl w:ilvl="1">
      <w:start w:val="1"/>
      <w:numFmt w:val="custom"/>
      <w:isLgl w:val="true"/>
      <w:lvlText w:val="%1.%2."/>
      <w:pPr>
        <w:ind w:hanging="420" w:left="846"/>
      </w:pPr>
      <w:rPr/>
    </w:lvl>
    <w:lvl w:ilvl="2">
      <w:start w:val="1"/>
      <w:numFmt w:val="custom"/>
      <w:isLgl w:val="true"/>
      <w:lvlText w:val="%1.%2.%3."/>
      <w:pPr>
        <w:ind w:hanging="720" w:left="1212"/>
      </w:pPr>
      <w:rPr/>
    </w:lvl>
    <w:lvl w:ilvl="3">
      <w:start w:val="1"/>
      <w:numFmt w:val="custom"/>
      <w:isLgl w:val="true"/>
      <w:lvlText w:val="%1.%2.%3.%4."/>
      <w:pPr>
        <w:ind w:hanging="720" w:left="1278"/>
      </w:pPr>
      <w:rPr/>
    </w:lvl>
    <w:lvl w:ilvl="4">
      <w:start w:val="1"/>
      <w:numFmt w:val="custom"/>
      <w:isLgl w:val="true"/>
      <w:lvlText w:val="%1.%2.%3.%4.%5."/>
      <w:pPr>
        <w:ind w:hanging="1080" w:left="1704"/>
      </w:pPr>
      <w:rPr/>
    </w:lvl>
    <w:lvl w:ilvl="5">
      <w:start w:val="1"/>
      <w:numFmt w:val="custom"/>
      <w:isLgl w:val="true"/>
      <w:lvlText w:val="%1.%2.%3.%4.%5.%6."/>
      <w:pPr>
        <w:ind w:hanging="1080" w:left="1770"/>
      </w:pPr>
      <w:rPr/>
    </w:lvl>
    <w:lvl w:ilvl="6">
      <w:start w:val="1"/>
      <w:numFmt w:val="custom"/>
      <w:isLgl w:val="true"/>
      <w:lvlText w:val="%1.%2.%3.%4.%5.%6.%7."/>
      <w:pPr>
        <w:ind w:hanging="1440" w:left="2196"/>
      </w:pPr>
      <w:rPr/>
    </w:lvl>
    <w:lvl w:ilvl="7">
      <w:start w:val="1"/>
      <w:numFmt w:val="custom"/>
      <w:isLgl w:val="true"/>
      <w:lvlText w:val="%1.%2.%3.%4.%5.%6.%7.%8."/>
      <w:pPr>
        <w:ind w:hanging="1440" w:left="2262"/>
      </w:pPr>
      <w:rPr/>
    </w:lvl>
    <w:lvl w:ilvl="8">
      <w:start w:val="1"/>
      <w:numFmt w:val="custom"/>
      <w:isLgl w:val="true"/>
      <w:lvlText w:val="%1.%2.%3.%4.%5.%6.%7.%8.%9."/>
      <w:pPr>
        <w:ind w:hanging="1800" w:left="2688"/>
      </w:pPr>
      <w:rPr/>
    </w:lvl>
  </w:abstractNum>
  <w:abstractNum w:abstractNumId="8">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9">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10">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w="http://schemas.openxmlformats.org/wordprocessingml/2006/main">
  <w:defaultTabStop w:val="708"/>
  <w:compat>
    <w:compatSetting w:name="compatibilityMode" w:uri="http://schemas.microsoft.com/office/word" w:val="15"/>
  </w:compat>
  <w:docVars>
    <w:docVar w:name="CREATEDATE" w:val="05.12.2024"/>
    <w:docVar w:name="CURDATE" w:val="05.12.2024"/>
    <w:docVar w:name="CURDATETIME" w:val="05.12.2024 15:38"/>
    <w:docVar w:name="CURTIME" w:val="15:38"/>
    <w:docVar w:name="CURUSER" w:val="Triinu Jürisaar"/>
    <w:docVar w:name="CURUSEREMAIL" w:val="triinu.jurisaar@voruvald.ee"/>
    <w:docVar w:name="CURUSERORG" w:val="Võru Vallavalitsus"/>
    <w:docVar w:name="CURUSERPHONE" w:val="5696 5750"/>
    <w:docVar w:name="EditorContent" w:val="&lt;p style=&quot;font-size: 16px; line-height: inherit; margin: 0px 0px 10px; padding: 0px; color: #333333; font-family: 'Open Sans', sans-serif; background-color: #ffffff; text-align: justify;&quot;&gt;Tuginedes planeerimisseaduse &amp;sect; 40 lg 5 anname teada, et V&amp;otilde;ru Vallavolikogu tunnistas 20.11.2024 otsusega nr 181 (k&amp;auml;ttesaadav: https://atp.amphora.ee/voruvv2017/index.aspx?itm=712293) Vastseliina t&amp;ouml;&amp;ouml;stusala detailplaneeringu.&lt;/p&gt;&#13;&#10;&lt;p style=&quot;font-size: 16px; line-height: inherit; margin: 0px 0px 10px; padding: 0px; color: #333333; font-family: 'Open Sans', sans-serif; background-color: #ffffff; text-align: justify;&quot;&gt;Piusaveere tn 1-6, Piusaveere tn 8, Piusaveere tn 10, Piusaveere tn 12, Piusaveere tn 14, Piusaveere t&amp;auml;nav, Piusaveere mahuti ja Piusaveere alajaam kinnisasjade omanik esitas V&amp;otilde;ru vallavalitsusele taotluse Vastseliina t&amp;ouml;&amp;ouml;stusala detailplaneeringu kehtetuks tunnistamiseks ettev&amp;otilde;ttele kuuluvate maa&amp;uuml;ksuste osas. V&amp;otilde;ru Vallavolikogu tunnistas detailplaneeringu&amp;nbsp;20.11.2024 otsusega nr 181&amp;nbsp;kogu ulatuses kehtetuks.&lt;/p&gt;&#13;&#10;&lt;p style=&quot;font-size: 16px; line-height: inherit; margin: 0px 0px 10px; padding: 0px; color: #333333; font-family: 'Open Sans', sans-serif; background-color: #ffffff; text-align: justify;&quot;&gt;Taotlejale kuuluvad maa&amp;uuml;ksused moodustasid valdava osa planeeringualast. Sinna oli kavandatud 0,6&amp;ndash;1,7 ha suurused ehitus&amp;otilde;igusega tootmis- ja &amp;auml;rimaa krundid, mille suurim lubatud t&amp;auml;isehitusprotsent j&amp;auml;i vahemikku 30-40%. Detailplaneeringu lahendus koostati 10 aastata tagasi eeldusel, et ala kasutus jagatakse mitme tootmisettev&amp;otilde;tte vahel. Seega oli igale maa&amp;uuml;ksusele m&amp;auml;&amp;auml;ratud eraldi ehitus&amp;otilde;igus, sh seatud piirangud kavandatavate hoonete suurimale ehitusealusele pinnale, k&amp;otilde;rgusele ja suletud brutopinnale. Kuna maa&amp;uuml;ksused on n&amp;uuml;&amp;uuml;dseks &amp;uuml;he ettev&amp;otilde;tte omandis, siis ei olnudplaneeringus seatud tingimused enam aja- ja asjakohased.&lt;/p&gt;&#13;&#10;&lt;p style=&quot;font-size: 16px; line-height: inherit; margin: 0px 0px 10px; padding: 0px; color: #333333; font-family: 'Open Sans', sans-serif; background-color: #ffffff; text-align: justify;&quot;&gt;Kehtiva V&amp;otilde;ru valla &amp;uuml;ldplaneeringu j&amp;auml;rgi asub valdav osa detailplaneeringu alast tootmise maa-ala juhtotstarbega alal. Alale v&amp;otilde;ib ehitada tootmis- ja t&amp;ouml;&amp;ouml;stushooneid (sh energiatootmishooneid ja rajatisi), laohooneid ning - rajatisi ja logistika- ning transpordikeskust. Lisaks on &amp;uuml;ldplaneeringu seletuskirjas seatud tingimused, et 15% maa&amp;uuml;ksusest tuleb tagada haljastatavana, suurim lubatud t&amp;auml;isehitusprotsent on 60%. Seega ei ole ka detailplaneeringu kehtetuks tunnistamise j&amp;auml;rgselt v&amp;otilde;imalik realiseerida detailplaneeringuga kavandatust v&amp;auml;ga oluliselt erinevat ning negatiivseid muutusi kaasa toovat ehitussoovi. Detailplaneeringu kehtetuks tunnistamisega ei kaasne olulisi negatiivseid m&amp;otilde;jusid piirnevatele kinnisasjadele, vastuv&amp;otilde;etud &amp;uuml;ldplaneeringus s&amp;auml;testatu tagab milj&amp;ouml;&amp;ouml; kaitse, v&amp;auml;listab olemasolevatest hoonetest suuremate hoonete ehitamise, hoonestusala suurenemise.&lt;/p&gt;&#13;&#10;&lt;p style=&quot;font-size: 16px; line-height: inherit; margin: 0px 0px 10px; padding: 0px; color: #333333; font-family: 'Open Sans', sans-serif; background-color: #ffffff; text-align: justify;&quot;&gt;Ligip&amp;auml;&amp;auml;s tootmisalale on detailplaneeringu kohaselt kavandatud Tallinn-Tartu-V&amp;otilde;ru-Luhamaa maanteelt. Selleks kavandati uus teel&amp;otilde;ik tootmisala P&amp;auml;tisilla tee ja R&amp;otilde;uge-Vastseliina tee kaudu Tallinn-Tartu-V&amp;otilde;ru-Luhamaa maanteega &amp;uuml;hendamiseks. Uus teel&amp;otilde;ik on v&amp;auml;lja ehitamata, kuid selle alune maa on munitsipaalomandis ning selle asukoht on kehtivas V&amp;otilde;ru valla &amp;uuml;ldplaneeringus m&amp;auml;&amp;auml;ratud liiklusmaa juhtotstarbega alaks.&lt;/p&gt;&#13;&#10;&lt;p style=&quot;font-size: 16px; line-height: inherit; margin: 0px 0px 10px; padding: 0px; color: #333333; font-family: 'Open Sans', sans-serif; background-color: #ffffff; text-align: justify;&quot;&gt;Seega otsustas V&amp;otilde;ru Vallavolikogu, et k&amp;auml;esoleval juhul ei ole otstarbekas detailplaneeringut osaliselt kehtima j&amp;auml;tta vaid tunnistada see tervikuna kehtetuks. Detailplaneeringu kehtetuks tunnistamine ei too puudutatud isikutele kaasa negatiivseid m&amp;otilde;jutusi ega nende olukorra halvenemist. Samuti puudub avalik huvi, mis v&amp;auml;listaks detailplaneeringu kehtetuks tunnistamise. Edasisel projekteerimisel ja ehitamisel tuleb j&amp;auml;rgida planeerimisseadust ning aluseks v&amp;otilde;tta ehitusseadustik, k&amp;otilde;ikide toimingute aluseks on alati ka kehtiv &amp;uuml;ldplaneering.&lt;/p&gt;"/>
    <w:docVar w:name="KUUPAEV" w:val="05.12.2024"/>
    <w:docVar w:name="PEALKIRI" w:val="Vastseliina tööstusala detailplaneeringu kehtetuks tunnistamine"/>
    <w:docVar w:name="VIIT" w:val="7-4/4802"/>
    <w:docVar w:name="VVKUUPAEV" w:val=" "/>
  </w:docVars>
</w:settings>
</file>

<file path=word/styles.xml><?xml version="1.0" encoding="utf-8"?>
<w:styles xmlns:w="http://schemas.openxmlformats.org/wordprocessingml/2006/main">
  <w:docDefaults>
    <w:rPrDefault>
      <w:rPr>
        <w:rFonts w:ascii="Times New Roman" w:hAnsi="Times New Roman" w:cs="Times New Roman"/>
      </w:rPr>
    </w:rPrDefault>
    <w:pPrDefault>
      <w:pPr/>
    </w:pPrDefault>
  </w:docDefaults>
  <w:style w:styleId="Normal" w:type="paragraph" w:default="true" w:customStyle="false">
    <w:name w:val="Normal"/>
    <w:uiPriority w:val="0"/>
    <w:qFormat w:val="true"/>
    <w:pPr/>
    <w:rPr/>
  </w:style>
  <w:style w:styleId="TableNormal" w:type="table" w:default="false" w:customStyle="true">
    <w:name w:val="Table Normal"/>
    <w:uiPriority w:val="59"/>
    <w:pPr/>
    <w:rPr/>
    <w:tblPr>
      <w:tblCellMar>
        <w:top w:w="0" w:type="dxa"/>
        <w:left w:w="108" w:type="dxa"/>
        <w:bottom w:w="0" w:type="dxa"/>
        <w:right w:w="108" w:type="dxa"/>
      </w:tblCellMar>
    </w:tblPr>
    <w:trPr/>
    <w:tcPr/>
  </w:style>
  <w:style w:styleId="Normaallaad" w:type="paragraph" w:default="true" w:customStyle="false">
    <w:name w:val="Normal"/>
    <w:qFormat w:val="true"/>
    <w:pPr/>
    <w:rPr>
      <w:sz w:val="24"/>
    </w:rPr>
  </w:style>
  <w:style w:styleId="Liguvaikefont" w:type="character" w:default="true" w:customStyle="false">
    <w:name w:val="Default Paragraph Font"/>
    <w:uiPriority w:val="1"/>
    <w:pPr/>
    <w:rPr/>
  </w:style>
  <w:style w:styleId="Normaaltabel" w:type="table" w:default="true" w:customStyle="false">
    <w:name w:val="Normal Table"/>
    <w:uiPriority w:val="99"/>
    <w:pPr/>
    <w:rPr/>
    <w:tblPr>
      <w:tblInd w:w="0" w:type="dxa"/>
      <w:tblCellMar>
        <w:top w:w="0" w:type="dxa"/>
        <w:left w:w="108" w:type="dxa"/>
        <w:bottom w:w="0" w:type="dxa"/>
        <w:right w:w="108" w:type="dxa"/>
      </w:tblCellMar>
    </w:tblPr>
    <w:trPr/>
    <w:tcPr/>
  </w:style>
  <w:style w:styleId="Loendita" w:type="numbering" w:default="true" w:customStyle="false">
    <w:name w:val="No List"/>
    <w:uiPriority w:val="99"/>
    <w:pPr/>
    <w:rPr/>
  </w:style>
  <w:style w:styleId="Jutumullitekst" w:type="paragraph" w:default="false" w:customStyle="false">
    <w:name w:val="Balloon Text"/>
    <w:basedOn w:val="Normaallaad"/>
    <w:link w:val="JutumullitekstMrk"/>
    <w:uiPriority w:val="99"/>
    <w:pPr/>
    <w:rPr>
      <w:rFonts w:ascii="Tahoma" w:hAnsi="Tahoma" w:cs="Tahoma"/>
      <w:sz w:val="16"/>
    </w:rPr>
  </w:style>
  <w:style w:styleId="JutumullitekstMrk" w:type="character" w:default="false" w:customStyle="true">
    <w:name w:val="Jutumullitekst Märk"/>
    <w:basedOn w:val="Liguvaikefont"/>
    <w:link w:val="Jutumullitekst"/>
    <w:uiPriority w:val="99"/>
    <w:pPr/>
    <w:rPr>
      <w:rFonts w:ascii="Tahoma" w:hAnsi="Tahoma" w:cs="Tahoma"/>
      <w:sz w:val="16"/>
    </w:rPr>
  </w:style>
  <w:style w:styleId="Pis" w:type="paragraph" w:default="false" w:customStyle="false">
    <w:name w:val="header"/>
    <w:basedOn w:val="Normaallaad"/>
    <w:link w:val="PisMrk"/>
    <w:uiPriority w:val="99"/>
    <w:pPr>
      <w:tabs>
        <w:tab w:pos="4536" w:val="center" w:leader="none"/>
        <w:tab w:pos="9072" w:val="right" w:leader="none"/>
      </w:tabs>
    </w:pPr>
    <w:rPr/>
  </w:style>
  <w:style w:styleId="PisMrk" w:type="character" w:default="false" w:customStyle="true">
    <w:name w:val="Päis Märk"/>
    <w:basedOn w:val="Liguvaikefont"/>
    <w:link w:val="Pis"/>
    <w:uiPriority w:val="99"/>
    <w:pPr/>
    <w:rPr>
      <w:sz w:val="24"/>
    </w:rPr>
  </w:style>
  <w:style w:styleId="Jalus" w:type="paragraph" w:default="false" w:customStyle="false">
    <w:name w:val="footer"/>
    <w:basedOn w:val="Normaallaad"/>
    <w:link w:val="JalusMrk"/>
    <w:uiPriority w:val="99"/>
    <w:pPr>
      <w:tabs>
        <w:tab w:pos="4536" w:val="center" w:leader="none"/>
        <w:tab w:pos="9072" w:val="right" w:leader="none"/>
      </w:tabs>
    </w:pPr>
    <w:rPr/>
  </w:style>
  <w:style w:styleId="JalusMrk" w:type="character" w:default="false" w:customStyle="true">
    <w:name w:val="Jalus Märk"/>
    <w:basedOn w:val="Liguvaikefont"/>
    <w:link w:val="Jalus"/>
    <w:uiPriority w:val="99"/>
    <w:pPr/>
    <w:rPr>
      <w:sz w:val="24"/>
    </w:rPr>
  </w:style>
  <w:style w:styleId="Tugev" w:type="character" w:default="false" w:customStyle="false">
    <w:name w:val="Strong"/>
    <w:basedOn w:val="Liguvaikefont"/>
    <w:uiPriority w:val="22"/>
    <w:qFormat w:val="true"/>
    <w:pPr/>
    <w:rPr>
      <w:b w:val="true"/>
    </w:rPr>
  </w:style>
  <w:style w:styleId="Hperlink" w:type="character" w:default="false" w:customStyle="false">
    <w:name w:val="Hyperlink"/>
    <w:basedOn w:val="Liguvaikefont"/>
    <w:uiPriority w:val="99"/>
    <w:pPr/>
    <w:rPr>
      <w:color w:val="0000FF"/>
      <w:u w:val="single"/>
    </w:rPr>
  </w:style>
  <w:style w:styleId="Loendilik" w:type="paragraph" w:default="false" w:customStyle="false">
    <w:name w:val="List Paragraph"/>
    <w:basedOn w:val="Normaallaad"/>
    <w:uiPriority w:val="34"/>
    <w:qFormat w:val="true"/>
    <w:pPr>
      <w:ind w:left="708"/>
    </w:pPr>
    <w:rPr/>
  </w:style>
  <w:style w:styleId="Kehatekst" w:type="paragraph" w:default="false" w:customStyle="false">
    <w:name w:val="Body Text"/>
    <w:basedOn w:val="Normaallaad"/>
    <w:link w:val="KehatekstMrk"/>
    <w:uiPriority w:val="99"/>
    <w:pPr>
      <w:spacing w:after="220" w:line="220" w:lineRule="atLeast"/>
      <w:jc w:val="both"/>
    </w:pPr>
    <w:rPr/>
  </w:style>
  <w:style w:styleId="KehatekstMrk" w:type="character" w:default="false" w:customStyle="true">
    <w:name w:val="Kehatekst Märk"/>
    <w:basedOn w:val="Liguvaikefont"/>
    <w:link w:val="Kehatekst"/>
    <w:uiPriority w:val="99"/>
    <w:pPr/>
    <w:rPr>
      <w:sz w:val="24"/>
    </w:rPr>
  </w:style>
  <w:style w:styleId="Kontuurtabel" w:type="table" w:default="false" w:customStyle="false">
    <w:name w:val="Table Grid"/>
    <w:basedOn w:val="Normaaltabel"/>
    <w:uiPriority w:val="59"/>
    <w:pPr/>
    <w:rPr/>
    <w:tblPr>
      <w:tblBorders>
        <w:top w:color="auto" w:frame="false" w:shadow="false" w:sz="4" w:space="0" w:val="single"/>
        <w:left w:color="auto" w:frame="false" w:shadow="false" w:sz="4" w:space="0" w:val="single"/>
        <w:bottom w:color="auto" w:frame="false" w:shadow="false" w:sz="4" w:space="0" w:val="single"/>
        <w:right w:color="auto" w:frame="false" w:shadow="false" w:sz="4" w:space="0" w:val="single"/>
        <w:insideH w:color="auto" w:frame="false" w:shadow="false" w:sz="4" w:space="0" w:val="single"/>
        <w:insideV w:color="auto" w:frame="false" w:shadow="false" w:sz="4" w:space="0" w:val="single"/>
      </w:tblBorders>
    </w:tblPr>
    <w:trPr/>
    <w:tcPr/>
  </w:style>
  <w:style w:styleId="Lahendamatamainimine" w:type="character" w:default="false" w:customStyle="false">
    <w:name w:val="Unresolved Mention"/>
    <w:basedOn w:val="Liguvaikefont"/>
    <w:uiPriority w:val="99"/>
    <w:pPr/>
    <w:rPr>
      <w:color w:val="605E5C"/>
      <w:shd w:fill="E1DFDD" w:color="auto" w:val="clear"/>
    </w:rPr>
  </w:style>
</w:style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footer" Target="footer1.xml" /><Relationship Id="rId3" Type="http://schemas.openxmlformats.org/officeDocument/2006/relationships/footer" Target="footer2.xml" /><Relationship Id="rId4" Type="http://schemas.openxmlformats.org/officeDocument/2006/relationships/settings" Target="settings.xml" /><Relationship Id="rId5" Type="http://schemas.openxmlformats.org/officeDocument/2006/relationships/styles" Target="styles.xml" /><Relationship Id="rId6" Type="http://schemas.openxmlformats.org/officeDocument/2006/relationships/numbering" Target="numbering.xml" /><Relationship Id="rId7" Type="http://schemas.openxmlformats.org/officeDocument/2006/relationships/image" Target="media/image0.jpeg" /></Relationships>
</file>

<file path=word/theme/theme1.xml><?xml version="1.0" encoding="utf-8"?>
<a:theme xmlns:a="http://schemas.openxmlformats.org/drawingml/2006/main" name="Tarkvarakomplekti Office kujundus">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Tarkvarakomplekti Office kujundus">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core.xml><?xml version="1.0" encoding="utf-8"?>
<cp:coreProperties xmlns:dc="http://purl.org/dc/elements/1.1/" xmlns:cp="http://schemas.openxmlformats.org/package/2006/metadata/core-properties"/>
</file>