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glossary/document.xml" ContentType="application/vnd.openxmlformats-officedocument.wordprocessingml.document.glossary+xml"/>
  <Override PartName="/word/glossary/styles2.xml" ContentType="application/vnd.openxmlformats-officedocument.wordprocessingml.styles+xml"/>
  <Override PartName="/word/glossary/fontTable2.xml" ContentType="application/vnd.openxmlformats-officedocument.wordprocessingml.fontTable+xml"/>
  <Override PartName="/word/glossary/settings2.xml" ContentType="application/vnd.openxmlformats-officedocument.wordprocessingml.settings+xml"/>
  <Override PartName="/word/glossary/webSettings2.xml" ContentType="application/vnd.openxmlformats-officedocument.wordprocessingml.webSettings+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officeDocument" Target="/word/document.xml" Id="R1ecb6d39ee9f467e" /><Relationship Type="http://schemas.openxmlformats.org/package/2006/relationships/metadata/core-properties" Target="/docProps/core.xml" Id="R01120a9edfc9467d" /><Relationship Type="http://schemas.openxmlformats.org/officeDocument/2006/relationships/extended-properties" Target="/docProps/app.xml" Id="R8ae4c0d222be4cd8" /><Relationship Type="http://schemas.openxmlformats.org/officeDocument/2006/relationships/custom-properties" Target="/docProps/custom.xml" Id="Rad8233a3572440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echnicalBlock"/>
        <w:tag w:val="LCK:TechnicalBlock"/>
        <w:placeholder/>
        <w:lock w:val="sdtContentLocked"/>
      </w:sdtPr>
      <w:sdtEndPr/>
      <w:sdtContent>
        <w:tbl>
          <w:tblPr>
            <w:tblW w:w="11344" w:type="dxa"/>
            <w:tblLayout w:type="fixed"/>
            <w:tblCellMar>
              <w:left w:w="0" w:type="dxa"/>
              <w:right w:w="0" w:type="dxa"/>
            </w:tblCellMar>
            <w:tblLook w:val="0000" w:firstRow="0" w:lastRow="0" w:firstColumn="0" w:lastColumn="0" w:noHBand="0" w:noVBand="0"/>
            <w:jc w:val="center"/>
          </w:tblPr>
          <w:tblGrid>
            <w:gridCol w:w="850"/>
            <w:gridCol w:w="970"/>
            <w:gridCol w:w="2862"/>
            <w:gridCol w:w="1696"/>
            <w:gridCol w:w="147"/>
            <w:gridCol w:w="4819"/>
          </w:tblGrid>
          <w:tr w:rsidRPr="005F5A6B" w:rsidR="003558E4" w:rsidTr="00524601" w14:paraId="5F661EC3" w14:textId="77777777">
            <w:trPr>
              <w:cantSplit/>
              <w:trHeight w:val="510"/>
            </w:trPr>
            <w:tc>
              <w:tcPr>
                <w:tcW w:w="11344" w:type="dxa"/>
                <w:gridSpan w:val="6"/>
                <w:vAlign w:val="bottom"/>
              </w:tcPr>
              <w:p w:rsidRPr="005F5A6B" w:rsidR="003558E4" w:rsidP="00524601" w:rsidRDefault="003558E4" w14:paraId="0CA635AE" w14:textId="77777777">
                <w:pPr>
                  <w:pStyle w:val="TBNormalTechnicalBlock"/>
                  <w:jc w:val="right"/>
                  <w:rPr>
                    <w:b w:val="0"/>
                    <w:bCs/>
                  </w:rPr>
                </w:pPr>
              </w:p>
            </w:tc>
          </w:tr>
          <w:tr w:rsidRPr="006720F9" w:rsidR="003558E4" w:rsidTr="00524601" w14:paraId="770D6090" w14:textId="77777777">
            <w:trPr>
              <w:cantSplit/>
              <w:trHeight w:val="567"/>
            </w:trPr>
            <w:tc>
              <w:tcPr>
                <w:tcW w:w="1820" w:type="dxa"/>
                <w:gridSpan w:val="2"/>
                <w:vAlign w:val="bottom"/>
              </w:tcPr>
              <w:p w:rsidRPr="006C5D93" w:rsidR="003558E4" w:rsidP="00524601" w:rsidRDefault="003558E4" w14:paraId="6BB714C6" w14:textId="77777777">
                <w:pPr>
                  <w:pStyle w:val="TBEntInstit"/>
                </w:pPr>
                <w:r w:rsidRPr="006C5D93">
                  <w:rPr>
                    <w:noProof/>
                  </w:rPr>
                  <w:drawing>
                    <wp:inline distT="0" distB="0" distL="0" distR="0" wp14:anchorId="2332012A" wp14:editId="50637A3B">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300797f8386b4dab"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rsidRPr="008414C3" w:rsidR="003558E4" w:rsidP="00524601" w:rsidRDefault="00000000" w14:paraId="69A4EC62" w14:textId="77777777">
                <w:pPr>
                  <w:pStyle w:val="TBInstitution"/>
                </w:pPr>
                <w:r>
                  <w:t xml:space="preserve">Council of the</w:t>
                  <w:br/>
                  <w:t xml:space="preserve">European Union</w:t>
                </w:r>
              </w:p>
            </w:tc>
          </w:tr>
          <w:tr w:rsidRPr="006720F9" w:rsidR="003558E4" w:rsidTr="00524601" w14:paraId="48CA9711" w14:textId="77777777">
            <w:trPr>
              <w:gridBefore w:val="2"/>
              <w:wBefore w:w="1820" w:type="dxa"/>
              <w:cantSplit/>
              <w:trHeight w:val="1191"/>
            </w:trPr>
            <w:tc>
              <w:tcPr>
                <w:tcW w:w="4558" w:type="dxa"/>
                <w:gridSpan w:val="2"/>
                <w:tcMar>
                  <w:top w:w="28" w:type="dxa"/>
                  <w:left w:w="85" w:type="dxa"/>
                </w:tcMar>
              </w:tcPr>
              <w:p w:rsidRPr="00327887" w:rsidR="003558E4" w:rsidP="00524601" w:rsidRDefault="00000000" w14:paraId="573E62E8" w14:textId="77777777">
                <w:pPr>
                  <w:pStyle w:val="TBInstitutionSubwordmark"/>
                </w:pPr>
              </w:p>
            </w:tc>
            <w:tc>
              <w:tcPr>
                <w:tcW w:w="147" w:type="dxa"/>
                <w:vAlign w:val="bottom"/>
              </w:tcPr>
              <w:p w:rsidRPr="00093255" w:rsidR="003558E4" w:rsidP="00524601" w:rsidRDefault="003558E4" w14:paraId="0F653C05" w14:textId="77777777">
                <w:pPr>
                  <w:pStyle w:val="TBNormalTechnicalBlock"/>
                  <w:jc w:val="right"/>
                  <w:rPr>
                    <w:b w:val="0"/>
                    <w:bCs/>
                  </w:rPr>
                </w:pPr>
              </w:p>
            </w:tc>
            <w:tc>
              <w:tcPr>
                <w:tcW w:w="4819" w:type="dxa"/>
                <w:vMerge w:val="restart"/>
                <w:tcMar>
                  <w:top w:w="0" w:type="dxa"/>
                </w:tcMar>
              </w:tcPr>
              <w:p w:rsidRPr="0012121B" w:rsidR="003558E4" w:rsidP="00524601" w:rsidRDefault="00000000" w14:paraId="39BC4836" w14:textId="77777777">
                <w:pPr>
                  <w:pStyle w:val="TBNormalTechnicalBlock"/>
                </w:pPr>
                <w:r>
                  <w:t xml:space="preserve">Brussels</w:t>
                </w:r>
                <w:r>
                  <w:t xml:space="preserve">, 22 June 2026</w:t>
                </w:r>
              </w:p>
              <w:p w:rsidRPr="00871A20" w:rsidR="003558E4" w:rsidP="00524601" w:rsidRDefault="003558E4" w14:paraId="072B0288" w14:textId="77777777">
                <w:pPr>
                  <w:pStyle w:val="TBNormalTechnicalBlock"/>
                  <w:rPr>
                    <w:bCs/>
                  </w:rPr>
                </w:pPr>
                <w:r w:rsidRPr="00E60683">
                  <w:rPr>
                    <w:bCs/>
                  </w:rPr>
                  <w:t xml:space="preserve">(OR. </w:t>
                </w:r>
                <w:r>
                  <w:rPr>
                    <w:bCs/>
                  </w:rPr>
                  <w:t xml:space="preserve">en, fr</w:t>
                </w:r>
                <w:r w:rsidRPr="00871A20">
                  <w:rPr>
                    <w:bCs/>
                  </w:rPr>
                  <w:t>)</w:t>
                </w:r>
              </w:p>
              <w:p w:rsidRPr="00871A20" w:rsidR="003558E4" w:rsidP="00524601" w:rsidRDefault="003558E4" w14:paraId="180CD6C1" w14:textId="77777777">
                <w:pPr>
                  <w:pStyle w:val="TBNormalTechnicalBlock"/>
                  <w:jc w:val="right"/>
                </w:pPr>
              </w:p>
              <w:p w:rsidRPr="00871A20" w:rsidR="003558E4" w:rsidP="00524601" w:rsidRDefault="003558E4" w14:paraId="3F975832" w14:textId="77777777">
                <w:pPr>
                  <w:pStyle w:val="TBNormalTechnicalBlock"/>
                  <w:jc w:val="right"/>
                </w:pPr>
              </w:p>
              <w:p w:rsidRPr="00F65A71" w:rsidR="003558E4" w:rsidP="00524601" w:rsidRDefault="00000000" w14:paraId="2C1F44D7" w14:textId="77777777">
                <w:pPr>
                  <w:pStyle w:val="TBNormalTechnicalBlock"/>
                  <w:rPr>
                    <w:bCs/>
                    <w:lang w:val="en-US"/>
                  </w:rPr>
                </w:pPr>
                <w:r>
                  <w:rPr>
                    <w:bCs/>
                    <w:lang w:val="en-US"/>
                  </w:rPr>
                  <w:t xml:space="preserve">10913</w:t>
                </w:r>
                <w:r w:rsidRPr="00F65A71" w:rsidR="003558E4">
                  <w:rPr>
                    <w:bCs/>
                    <w:lang w:val="en-US"/>
                  </w:rPr>
                  <w:t>/</w:t>
                </w:r>
                <w:r>
                  <w:rPr>
                    <w:bCs/>
                    <w:lang w:val="en-US"/>
                  </w:rPr>
                  <w:t xml:space="preserve">26</w:t>
                </w:r>
              </w:p>
              <w:p w:rsidRPr="00F65A71" w:rsidR="003558E4" w:rsidP="00524601" w:rsidRDefault="00000000" w14:paraId="46A0BB4E" w14:textId="77777777">
                <w:pPr>
                  <w:pStyle w:val="TBNormalTechnicalBlock"/>
                  <w:rPr>
                    <w:lang w:val="en-US"/>
                  </w:rPr>
                </w:pPr>
              </w:p>
              <w:p w:rsidRPr="00F65A71" w:rsidR="003558E4" w:rsidP="00524601" w:rsidRDefault="003558E4" w14:paraId="1F3E78F4" w14:textId="77777777">
                <w:pPr>
                  <w:pStyle w:val="TBNormalTechnicalBlock"/>
                  <w:jc w:val="right"/>
                  <w:rPr>
                    <w:lang w:val="en-US"/>
                  </w:rPr>
                </w:pPr>
              </w:p>
              <w:p w:rsidR="003558E4" w:rsidP="00524601" w:rsidRDefault="00000000" w14:paraId="3AB2E568" w14:textId="77777777">
                <w:pPr>
                  <w:pStyle w:val="TBNormalTechnicalBlock"/>
                </w:pPr>
              </w:p>
              <w:p w:rsidR="003558E4" w:rsidP="00524601" w:rsidRDefault="003558E4" w14:paraId="7C17AC88" w14:textId="77777777">
                <w:pPr>
                  <w:pStyle w:val="TBNormalTechnicalBlock"/>
                  <w:jc w:val="right"/>
                </w:pPr>
              </w:p>
              <w:p>
                <w:pPr>
                  <w:pStyle w:val="TBEntRefer"/>
                  <w:tabs>
                    <w:tab w:val="left" w:pos="2265"/>
                  </w:tabs>
                </w:pPr>
                <w:r>
                  <w:t xml:space="preserve">TELECOM 339</w:t>
                </w:r>
              </w:p>
              <w:p>
                <w:pPr>
                  <w:pStyle w:val="TBEntRefer"/>
                  <w:tabs>
                    <w:tab w:val="left" w:pos="2265"/>
                  </w:tabs>
                </w:pPr>
                <w:r>
                  <w:t xml:space="preserve">CYBER 311</w:t>
                </w:r>
              </w:p>
              <w:p>
                <w:pPr>
                  <w:pStyle w:val="TBEntRefer"/>
                  <w:tabs>
                    <w:tab w:val="left" w:pos="2265"/>
                  </w:tabs>
                </w:pPr>
                <w:r>
                  <w:t xml:space="preserve">COMPET 813</w:t>
                </w:r>
              </w:p>
              <w:p>
                <w:pPr>
                  <w:pStyle w:val="TBEntRefer"/>
                  <w:tabs>
                    <w:tab w:val="left" w:pos="2265"/>
                  </w:tabs>
                </w:pPr>
                <w:r>
                  <w:t xml:space="preserve">MI 683</w:t>
                </w:r>
              </w:p>
              <w:p>
                <w:pPr>
                  <w:pStyle w:val="TBEntRefer"/>
                  <w:tabs>
                    <w:tab w:val="left" w:pos="2265"/>
                  </w:tabs>
                </w:pPr>
                <w:r>
                  <w:t xml:space="preserve">FIN 932</w:t>
                </w:r>
              </w:p>
              <w:p>
                <w:pPr>
                  <w:pStyle w:val="TBEntRefer"/>
                  <w:tabs>
                    <w:tab w:val="left" w:pos="2265"/>
                  </w:tabs>
                </w:pPr>
                <w:r>
                  <w:t xml:space="preserve">ESPACE 109</w:t>
                </w:r>
              </w:p>
              <w:p>
                <w:pPr>
                  <w:pStyle w:val="TBEntRefer"/>
                  <w:tabs>
                    <w:tab w:val="left" w:pos="2265"/>
                  </w:tabs>
                </w:pPr>
                <w:r>
                  <w:t xml:space="preserve">IA 176</w:t>
                </w:r>
              </w:p>
              <w:p>
                <w:pPr>
                  <w:pStyle w:val="TBEntRefer"/>
                  <w:tabs>
                    <w:tab w:val="left" w:pos="2265"/>
                  </w:tabs>
                </w:pPr>
                <w:r>
                  <w:t xml:space="preserve">CODEC 1272</w:t>
                </w:r>
              </w:p>
              <w:p>
                <w:pPr>
                  <w:pStyle w:val="TBEntRefer"/>
                  <w:tabs>
                    <w:tab w:val="left" w:pos="2265"/>
                  </w:tabs>
                </w:pPr>
                <w:r>
                  <w:t xml:space="preserve">INST 263</w:t>
                </w:r>
              </w:p>
              <w:p>
                <w:pPr>
                  <w:pStyle w:val="TBEntRefer"/>
                  <w:tabs>
                    <w:tab w:val="left" w:pos="2265"/>
                  </w:tabs>
                </w:pPr>
                <w:r>
                  <w:t xml:space="preserve">PARLNAT 137</w:t>
                </w:r>
              </w:p>
              <w:p w:rsidRPr="00073AB8" w:rsidR="003558E4" w:rsidP="00524601" w:rsidRDefault="00000000" w14:paraId="2553D168" w14:textId="77777777">
                <w:pPr>
                  <w:pStyle w:val="TBEntRefer"/>
                  <w:tabs>
                    <w:tab w:val="left" w:pos="2262"/>
                  </w:tabs>
                  <w:rPr>
                    <w:sz w:val="4"/>
                    <w:szCs w:val="4"/>
                  </w:rPr>
                </w:pPr>
              </w:p>
              <w:p w:rsidRPr="00AF13E4" w:rsidR="003558E4" w:rsidP="00524601" w:rsidRDefault="00000000" w14:paraId="1B9546D2" w14:textId="77777777">
                <w:pPr>
                  <w:pStyle w:val="TBDistrbMarkers"/>
                </w:pPr>
                <w:r>
                  <w:t xml:space="preserve">PARLNAT</w:t>
                </w:r>
              </w:p>
            </w:tc>
          </w:tr>
          <w:tr w:rsidRPr="006720F9" w:rsidR="003558E4" w:rsidTr="00524601" w14:paraId="1D7B6A6F" w14:textId="77777777">
            <w:trPr>
              <w:gridBefore w:val="1"/>
              <w:wBefore w:w="850" w:type="dxa"/>
              <w:cantSplit/>
              <w:trHeight w:val="837"/>
            </w:trPr>
            <w:tc>
              <w:tcPr>
                <w:tcW w:w="3832" w:type="dxa"/>
                <w:gridSpan w:val="2"/>
                <w:vAlign w:val="center"/>
              </w:tcPr>
              <w:p>
                <w:pPr>
                  <w:pStyle w:val="TBEntReferNew"/>
                  <w:pBdr>
                    <w:top w:val="double" w:color="auto" w:sz="6" w:space="2"/>
                    <w:bottom w:val="double" w:color="auto" w:sz="6" w:space="2"/>
                  </w:pBdr>
                  <w:rPr>
                    <w:sz w:val="23"/>
                    <w:szCs w:val="23"/>
                  </w:rPr>
                </w:pPr>
                <w:r>
                  <w:rPr>
                    <w:sz w:val="23"/>
                    <w:szCs w:val="23"/>
                  </w:rPr>
                  <w:t xml:space="preserve">Interinstitutional File:</w:t>
                </w:r>
              </w:p>
              <w:p>
                <w:pPr>
                  <w:pStyle w:val="TBEntReferNew"/>
                  <w:pBdr>
                    <w:top w:val="double" w:color="auto" w:sz="6" w:space="2"/>
                    <w:bottom w:val="double" w:color="auto" w:sz="6" w:space="2"/>
                  </w:pBdr>
                  <w:rPr>
                    <w:sz w:val="23"/>
                    <w:szCs w:val="23"/>
                  </w:rPr>
                </w:pPr>
                <w:r>
                  <w:rPr>
                    <w:sz w:val="23"/>
                    <w:szCs w:val="23"/>
                  </w:rPr>
                  <w:t xml:space="preserve">2026/0013 (COD)</w:t>
                </w:r>
              </w:p>
            </w:tc>
            <w:tc>
              <w:tcPr>
                <w:tcW w:w="1843" w:type="dxa"/>
                <w:gridSpan w:val="2"/>
                <w:vMerge w:val="restart"/>
                <w:vAlign w:val="bottom"/>
              </w:tcPr>
              <w:p w:rsidRPr="008F6E25" w:rsidR="003558E4" w:rsidP="00524601" w:rsidRDefault="003558E4" w14:paraId="1BC217B4" w14:textId="77777777">
                <w:pPr>
                  <w:pStyle w:val="TBNormalTechnicalBlock"/>
                  <w:jc w:val="right"/>
                  <w:rPr>
                    <w:b w:val="0"/>
                    <w:bCs/>
                  </w:rPr>
                </w:pPr>
              </w:p>
            </w:tc>
            <w:tc>
              <w:tcPr>
                <w:tcW w:w="4819" w:type="dxa"/>
                <w:vMerge/>
              </w:tcPr>
              <w:p w:rsidRPr="00F26BF3" w:rsidR="003558E4" w:rsidP="00524601" w:rsidRDefault="003558E4" w14:paraId="00141522" w14:textId="77777777">
                <w:pPr>
                  <w:pStyle w:val="TBEntRefer"/>
                  <w:rPr>
                    <w:szCs w:val="23"/>
                  </w:rPr>
                </w:pPr>
              </w:p>
            </w:tc>
          </w:tr>
          <w:tr w:rsidRPr="007D65B2" w:rsidR="003558E4" w:rsidTr="00524601" w14:paraId="5155D011" w14:textId="77777777">
            <w:trPr>
              <w:gridBefore w:val="1"/>
              <w:wBefore w:w="850" w:type="dxa"/>
              <w:cantSplit/>
              <w:trHeight w:val="998"/>
            </w:trPr>
            <w:tc>
              <w:tcPr>
                <w:tcW w:w="3832" w:type="dxa"/>
                <w:gridSpan w:val="2"/>
                <w:vAlign w:val="center"/>
              </w:tcPr>
              <w:p w:rsidRPr="007D65B2" w:rsidR="003558E4" w:rsidP="00524601" w:rsidRDefault="00000000" w14:paraId="22AED6D4" w14:textId="77777777">
                <w:pPr>
                  <w:pStyle w:val="TBSousEmbargo"/>
                </w:pPr>
              </w:p>
            </w:tc>
            <w:tc>
              <w:tcPr>
                <w:tcW w:w="1843" w:type="dxa"/>
                <w:gridSpan w:val="2"/>
                <w:vMerge/>
                <w:vAlign w:val="center"/>
              </w:tcPr>
              <w:p w:rsidRPr="008F6E25" w:rsidR="003558E4" w:rsidP="00524601" w:rsidRDefault="003558E4" w14:paraId="28745477" w14:textId="77777777">
                <w:pPr>
                  <w:pStyle w:val="TBNormalTechnicalBlock"/>
                  <w:rPr>
                    <w:b w:val="0"/>
                    <w:bCs/>
                  </w:rPr>
                </w:pPr>
              </w:p>
            </w:tc>
            <w:tc>
              <w:tcPr>
                <w:tcW w:w="4819" w:type="dxa"/>
                <w:vMerge/>
              </w:tcPr>
              <w:p w:rsidRPr="007D65B2" w:rsidR="003558E4" w:rsidP="00524601" w:rsidRDefault="003558E4" w14:paraId="11D91DB8" w14:textId="77777777">
                <w:pPr>
                  <w:pStyle w:val="TBEntRefer"/>
                  <w:rPr>
                    <w:szCs w:val="23"/>
                  </w:rPr>
                </w:pPr>
              </w:p>
            </w:tc>
          </w:tr>
        </w:tbl>
        <w:p w:rsidRPr="007D65B2" w:rsidR="003558E4" w:rsidP="003558E4" w:rsidRDefault="003558E4" w14:paraId="641C0D2A" w14:textId="77777777">
          <w:pPr>
            <w:pStyle w:val="TBEntRefer"/>
            <w:rPr>
              <w:sz w:val="2"/>
              <w:szCs w:val="2"/>
            </w:rPr>
          </w:pPr>
        </w:p>
        <w:tbl>
          <w:tblPr>
            <w:tblW w:w="9640" w:type="dxa"/>
            <w:tblInd w:w="851" w:type="dxa"/>
            <w:tblLayout w:type="fixed"/>
            <w:tblCellMar>
              <w:left w:w="0" w:type="dxa"/>
              <w:right w:w="0" w:type="dxa"/>
            </w:tblCellMar>
            <w:tblLook w:val="0000" w:firstRow="0" w:lastRow="0" w:firstColumn="0" w:lastColumn="0" w:noHBand="0" w:noVBand="0"/>
            <w:jc w:val="center"/>
          </w:tblPr>
          <w:tblGrid>
            <w:gridCol w:w="9640"/>
          </w:tblGrid>
          <w:tr xmlns:w14="http://schemas.microsoft.com/office/word/2010/wordml" xmlns:w="http://schemas.openxmlformats.org/wordprocessingml/2006/main" w:rsidRPr="008C093D" w:rsidR="002D3C08" w:rsidTr="00072A32" w14:paraId="53BBC257" w14:textId="77777777">
            <w:tc>
              <w:tcPr>
                <w:tcW w:w="9640" w:type="dxa"/>
              </w:tcPr>
              <w:p w:rsidRPr="008C093D" w:rsidR="002D3C08" w:rsidP="00072A32" w:rsidRDefault="00000000" w14:paraId="14E296B1" w14:textId="77777777">
                <w:pPr>
                  <w:pStyle w:val="TBHeadingTable"/>
                </w:pPr>
                <w:r>
                  <w:t xml:space="preserve">COVER NOTE</w:t>
                </w:r>
              </w:p>
            </w:tc>
          </w:tr>
        </w:tbl>
        <w:tbl>
          <w:tblPr>
            <w:tblW w:w="9645" w:type="dxa"/>
            <w:tblInd w:w="851" w:type="dxa"/>
            <w:tblLayout w:type="fixed"/>
            <w:tblCellMar>
              <w:left w:w="0" w:type="dxa"/>
              <w:right w:w="0" w:type="dxa"/>
            </w:tblCellMar>
            <w:tblLook w:val="0000" w:firstRow="0" w:lastRow="0" w:firstColumn="0" w:lastColumn="0" w:noHBand="0" w:noVBand="0"/>
            <w:jc w:val="center"/>
          </w:tblPr>
          <w:tblGrid>
            <w:gridCol w:w="2274"/>
            <w:gridCol w:w="7392"/>
          </w:tblGrid>
          <w:tr xmlns:w14="http://schemas.microsoft.com/office/word/2010/wordml" xmlns:w="http://schemas.openxmlformats.org/wordprocessingml/2006/main" w:rsidRPr="00F13D39" w:rsidR="002D3C08" w:rsidTr="00072A32" w14:paraId="374A8075" w14:textId="77777777">
            <w:tc>
              <w:tcPr>
                <w:tcW w:w="2274" w:type="dxa"/>
                <w:tcBorders>
                  <w:top w:val="single" w:color="auto" w:sz="4" w:space="0"/>
                </w:tcBorders>
              </w:tcPr>
              <w:p w:rsidRPr="00F13D39" w:rsidR="002D3C08" w:rsidP="00072A32" w:rsidRDefault="00000000" w14:paraId="2E7D0831" w14:textId="77777777">
                <w:pPr>
                  <w:pStyle w:val="TBSubjectTable"/>
                </w:pPr>
                <w:r>
                  <w:t xml:space="preserve">From:</w:t>
                </w:r>
              </w:p>
            </w:tc>
            <w:tc>
              <w:tcPr>
                <w:tcW w:w="7392" w:type="dxa"/>
                <w:tcBorders>
                  <w:top w:val="single" w:color="auto" w:sz="4" w:space="0"/>
                </w:tcBorders>
              </w:tcPr>
              <w:p w:rsidRPr="00F13D39" w:rsidR="002D3C08" w:rsidP="00072A32" w:rsidRDefault="00000000" w14:paraId="0DB0160C" w14:textId="77777777">
                <w:pPr>
                  <w:pStyle w:val="TBSubjectTable"/>
                </w:pPr>
                <w:r>
                  <w:t xml:space="preserve">The French Senate </w:t>
                </w:r>
              </w:p>
            </w:tc>
          </w:tr>
          <w:tr xmlns:w14="http://schemas.microsoft.com/office/word/2010/wordml" xmlns:w="http://schemas.openxmlformats.org/wordprocessingml/2006/main" w:rsidRPr="00F13D39" w:rsidR="002D3C08" w:rsidTr="00072A32" w14:paraId="4FC1D7E0" w14:textId="77777777">
            <w:tblPrEx>
              <w:tblBorders>
                <w:top w:val="single" w:color="auto" w:sz="4" w:space="0"/>
              </w:tblBorders>
            </w:tblPrEx>
            <w:tc>
              <w:tcPr>
                <w:tcW w:w="2274" w:type="dxa"/>
                <w:tcBorders>
                  <w:top w:val="nil"/>
                  <w:bottom w:val="nil"/>
                </w:tcBorders>
              </w:tcPr>
              <w:p w:rsidRPr="00F13D39" w:rsidR="002D3C08" w:rsidP="00072A32" w:rsidRDefault="00000000" w14:paraId="402EE7E3" w14:textId="77777777">
                <w:pPr>
                  <w:pStyle w:val="TBSubjectTable"/>
                </w:pPr>
                <w:r>
                  <w:t xml:space="preserve">date of receipt:</w:t>
                </w:r>
              </w:p>
            </w:tc>
            <w:tc>
              <w:tcPr>
                <w:tcW w:w="7392" w:type="dxa"/>
                <w:tcBorders>
                  <w:top w:val="nil"/>
                  <w:bottom w:val="nil"/>
                </w:tcBorders>
              </w:tcPr>
              <w:p w:rsidRPr="00F13D39" w:rsidR="002D3C08" w:rsidP="00072A32" w:rsidRDefault="00000000" w14:paraId="6282D212" w14:textId="77777777">
                <w:pPr>
                  <w:pStyle w:val="TBSubjectTable"/>
                </w:pPr>
                <w:r>
                  <w:t xml:space="preserve">15 June 2026</w:t>
                </w:r>
              </w:p>
            </w:tc>
          </w:tr>
          <w:tr xmlns:w14="http://schemas.microsoft.com/office/word/2010/wordml" xmlns:w="http://schemas.openxmlformats.org/wordprocessingml/2006/main" w:rsidRPr="00F13D39" w:rsidR="002D3C08" w:rsidTr="00072A32" w14:paraId="3DF3CACF" w14:textId="77777777">
            <w:tc>
              <w:tcPr>
                <w:tcW w:w="2274" w:type="dxa"/>
                <w:tcBorders>
                  <w:bottom w:val="single" w:color="auto" w:sz="4" w:space="0"/>
                </w:tcBorders>
              </w:tcPr>
              <w:p w:rsidRPr="00F13D39" w:rsidR="002D3C08" w:rsidP="00072A32" w:rsidRDefault="00000000" w14:paraId="54062E45" w14:textId="77777777">
                <w:pPr>
                  <w:pStyle w:val="TBSubjectTable"/>
                </w:pPr>
                <w:r>
                  <w:t xml:space="preserve">To:</w:t>
                </w:r>
              </w:p>
            </w:tc>
            <w:tc>
              <w:tcPr>
                <w:tcW w:w="7392" w:type="dxa"/>
                <w:tcBorders>
                  <w:bottom w:val="single" w:color="auto" w:sz="4" w:space="0"/>
                </w:tcBorders>
              </w:tcPr>
              <w:p w:rsidRPr="00F13D39" w:rsidR="002D3C08" w:rsidP="00072A32" w:rsidRDefault="00000000" w14:paraId="0C29E2F0" w14:textId="77777777">
                <w:pPr>
                  <w:pStyle w:val="TBSubjectTable"/>
                </w:pPr>
                <w:r>
                  <w:t xml:space="preserve">The President of the Council of the European Union</w:t>
                </w:r>
              </w:p>
            </w:tc>
          </w:tr>
          <w:tr xmlns:w14="http://schemas.microsoft.com/office/word/2010/wordml" xmlns:w="http://schemas.openxmlformats.org/wordprocessingml/2006/main" w:rsidRPr="00F13D39" w:rsidR="002D3C08" w:rsidTr="00072A32" w14:paraId="08715429" w14:textId="77777777">
            <w:tc>
              <w:tcPr>
                <w:tcW w:w="2274" w:type="dxa"/>
                <w:tcBorders>
                  <w:top w:val="single" w:color="auto" w:sz="4" w:space="0"/>
                  <w:bottom w:val="single" w:color="auto" w:sz="4" w:space="0"/>
                </w:tcBorders>
              </w:tcPr>
              <w:p w:rsidRPr="00F13D39" w:rsidR="002D3C08" w:rsidP="00072A32" w:rsidRDefault="00000000" w14:paraId="7676D586" w14:textId="77777777">
                <w:pPr>
                  <w:pStyle w:val="TBSubjectTable"/>
                </w:pPr>
                <w:r>
                  <w:t xml:space="preserve">Subject:</w:t>
                </w:r>
              </w:p>
            </w:tc>
            <w:bookmarkStart w:name="SplitParasInCell_1" w:id="1"/>
            <w:bookmarkEnd w:id="1"/>
            <w:tc>
              <w:tcPr>
                <w:tcW w:w="7392" w:type="dxa"/>
                <w:tcBorders>
                  <w:top w:val="single" w:color="auto" w:sz="4" w:space="0"/>
                  <w:bottom w:val="single" w:color="auto" w:sz="4" w:space="0"/>
                </w:tcBorders>
              </w:tcPr>
              <w:p>
                <w:pPr>
                  <w:pStyle w:val="TBSubjectText"/>
                </w:pPr>
                <w:r>
                  <w:t xml:space="preserve">Proposal for a REGULATION OF THE EUROPEAN PARLIAMENT AND OF THE COUNCIL on digital networks, amending Regulation (EU) 2015/2120, Directive 2002/58/EC and Decision No 676/2002/EC and repealing Regulation (EU) 2018/1971, Directive (EU) 2018/1972 and Decision No 243/2012/EU (Digital Networks Act)</w:t>
                </w:r>
              </w:p>
              <w:p>
                <w:pPr>
                  <w:pStyle w:val="TBSubjectText"/>
                </w:pPr>
                <w:r>
                  <w:t xml:space="preserve">[doc. 5600/26 -</w:t>
                </w:r>
                <w:r>
                  <w:t xml:space="preserve"> </w:t>
                </w:r>
                <w:r>
                  <w:t xml:space="preserve">COM(2026)16]</w:t>
                </w:r>
              </w:p>
              <w:p>
                <w:pPr>
                  <w:pStyle w:val="TBSubjectText"/>
                </w:pPr>
                <w:r>
                  <w:t xml:space="preserve">- Reasoned opinion on the application of the Principles of Subsidiarity and Proportionality</w:t>
                </w:r>
              </w:p>
            </w:tc>
          </w:tr>
        </w:tbl>
        <w:p w:rsidRPr="002D3C08" w:rsidR="002D3C08" w:rsidP="002D3C08" w:rsidRDefault="002D3C08" w14:paraId="2DF89B2C" w14:textId="77777777">
          <w:pPr>
            <w:spacing w:before="20" w:after="240" w:line="20" w:lineRule="exact"/>
            <w:rPr>
              <w:sz w:val="2"/>
              <w:szCs w:val="2"/>
              <w:lang w:val="fr-FR"/>
            </w:rPr>
          </w:pPr>
        </w:p>
      </w:sdtContent>
    </w:sdt>
    <w:p w:rsidRPr="006E2CAD" w:rsidR="00475A29" w:rsidP="000A5CC0" w:rsidRDefault="00475A29" w14:paraId="00E02A95" w14:textId="77777777">
      <w:pPr>
        <w:spacing w:before="480"/>
        <w:rPr>
          <w:rFonts w:asciiTheme="majorBidi" w:hAnsiTheme="majorBidi" w:cstheme="majorBidi"/>
          <w:szCs w:val="24"/>
        </w:rPr>
      </w:pPr>
      <w:r w:rsidRPr="006E2CAD">
        <w:rPr>
          <w:rFonts w:asciiTheme="majorBidi" w:hAnsiTheme="majorBidi" w:cstheme="majorBidi"/>
          <w:szCs w:val="24"/>
        </w:rPr>
        <w:t xml:space="preserve">Delegations will find enclosed the </w:t>
      </w:r>
      <w:r>
        <w:rPr>
          <w:rFonts w:asciiTheme="majorBidi" w:hAnsiTheme="majorBidi" w:cstheme="majorBidi"/>
          <w:szCs w:val="24"/>
        </w:rPr>
        <w:t xml:space="preserve">reasoned </w:t>
      </w:r>
      <w:r w:rsidRPr="006E2CAD">
        <w:rPr>
          <w:rFonts w:asciiTheme="majorBidi" w:hAnsiTheme="majorBidi" w:cstheme="majorBidi"/>
          <w:szCs w:val="24"/>
        </w:rPr>
        <w:t>opin</w:t>
      </w:r>
      <w:r>
        <w:rPr>
          <w:rFonts w:asciiTheme="majorBidi" w:hAnsiTheme="majorBidi" w:cstheme="majorBidi"/>
          <w:szCs w:val="24"/>
        </w:rPr>
        <w:t>ion</w:t>
      </w:r>
      <w:r>
        <w:rPr>
          <w:rStyle w:val="FootnoteReference"/>
          <w:rFonts w:asciiTheme="majorBidi" w:hAnsiTheme="majorBidi" w:cstheme="majorBidi"/>
          <w:szCs w:val="24"/>
        </w:rPr>
        <w:footnoteReference w:id="2"/>
      </w:r>
      <w:r>
        <w:rPr>
          <w:rFonts w:asciiTheme="majorBidi" w:hAnsiTheme="majorBidi" w:cstheme="majorBidi"/>
          <w:szCs w:val="24"/>
        </w:rPr>
        <w:t xml:space="preserve"> of </w:t>
      </w:r>
      <w:r w:rsidRPr="00DE22F2">
        <w:rPr>
          <w:rFonts w:asciiTheme="majorBidi" w:hAnsiTheme="majorBidi" w:cstheme="majorBidi"/>
          <w:szCs w:val="24"/>
        </w:rPr>
        <w:t xml:space="preserve">the </w:t>
      </w:r>
      <w:r>
        <w:rPr>
          <w:rFonts w:asciiTheme="majorBidi" w:hAnsiTheme="majorBidi" w:cstheme="majorBidi"/>
          <w:szCs w:val="24"/>
        </w:rPr>
        <w:t>French Senate</w:t>
      </w:r>
      <w:r>
        <w:rPr>
          <w:rFonts w:asciiTheme="majorBidi" w:hAnsiTheme="majorBidi" w:cstheme="majorBidi"/>
          <w:szCs w:val="24"/>
        </w:rPr>
        <w:t xml:space="preserve"> on the above.</w:t>
      </w:r>
    </w:p>
    <w:p w:rsidR="00475A29" w:rsidP="00817271" w:rsidRDefault="00475A29" w14:paraId="00E02A96" w14:textId="77777777">
      <w:pPr>
        <w:pStyle w:val="Lignefinal"/>
      </w:pPr>
    </w:p>
    <w:p w:rsidRPr="00817271" w:rsidR="00475A29" w:rsidP="000A5CC0" w:rsidRDefault="00475A29" w14:paraId="00E02A97" w14:textId="77777777">
      <w:pPr>
        <w:pStyle w:val="pj"/>
        <w:spacing w:before="600"/>
      </w:pPr>
    </w:p>
    <w:p w:rsidR="00475A29" w:rsidP="00817271" w:rsidRDefault="00475A29" w14:paraId="00E02A98" w14:textId="77777777">
      <w:pPr>
        <w:sectPr w:rsidR="00E212D2" w:rsidSect="00475A29">
          <w:footerReference w:type="even" r:id="R11b3ebd8907d4198"/>
          <w:headerReference w:type="even" r:id="Rcc7b26ca1096475d"/>
          <w:headerReference w:type="default" r:id="R3988003de50d4650"/>
          <w:footerReference w:type="default" r:id="Re471cfe2da474112"/>
          <w:headerReference w:type="first" r:id="R94ad5c5caa4949ef"/>
          <w:footerReference w:type="first" r:id="Ra4c8fbd488924254"/>
          <w:pgSz w:w="11907" w:h="16840" w:code="9"/>
          <w:pgMar w:top="624" w:right="1134" w:bottom="1134" w:left="1134" w:header="567" w:footer="567" w:gutter="0"/>
          <w:pgNumType w:start="0"/>
          <w:cols w:space="708"/>
          <w:titlePg/>
          <w:docGrid w:linePitch="360"/>
          <w:pgSz w:w="11907" w:h="16840" w:code="9"/>
          <w:pgSz w:w="11907" w:h="16840" w:code="9"/>
          <w:pgSz w:w="11907" w:h="16840" w:code="9"/>
          <w:pgSz w:w="11907" w:h="16840" w:code="9"/>
        </w:sectPr>
      </w:pPr>
    </w:p>
    <w:p w:rsidRPr="00E212D2" w:rsidR="00475A29" w:rsidP="00E212D2" w:rsidRDefault="00475A29" w14:paraId="00E02A99" w14:textId="77777777">
      <w:pPr>
        <w:jc w:val="center"/>
        <w:rPr>
          <w:lang w:val="fr-BE"/>
        </w:rPr>
      </w:pPr>
      <w:r w:rsidRPr="00E212D2">
        <w:rPr>
          <w:rFonts w:eastAsia="Times New Roman"/>
          <w:b/>
          <w:sz w:val="36"/>
          <w:lang w:val="fr-BE"/>
        </w:rPr>
        <w:lastRenderedPageBreak/>
        <w:t>N° 135</w:t>
      </w:r>
    </w:p>
    <w:p w:rsidRPr="00E212D2" w:rsidR="00475A29" w:rsidP="00E212D2" w:rsidRDefault="00475A29" w14:paraId="00E02A9A" w14:textId="77777777">
      <w:pPr>
        <w:jc w:val="center"/>
        <w:rPr>
          <w:lang w:val="fr-BE"/>
        </w:rPr>
      </w:pPr>
      <w:r w:rsidRPr="00E212D2">
        <w:rPr>
          <w:rFonts w:ascii="Georgia" w:hAnsi="Georgia" w:eastAsia="Georgia" w:cs="Georgia"/>
          <w:b/>
          <w:sz w:val="48"/>
          <w:lang w:val="fr-BE"/>
        </w:rPr>
        <w:t>SÉNAT</w:t>
      </w:r>
    </w:p>
    <w:p w:rsidRPr="00E212D2" w:rsidR="00475A29" w:rsidP="00E212D2" w:rsidRDefault="00475A29" w14:paraId="00E02A9B" w14:textId="77777777">
      <w:pPr>
        <w:jc w:val="center"/>
        <w:rPr>
          <w:lang w:val="fr-BE"/>
        </w:rPr>
      </w:pPr>
      <w:r w:rsidRPr="00E212D2">
        <w:rPr>
          <w:strike/>
          <w:lang w:val="fr-BE"/>
        </w:rPr>
        <w:t>                  </w:t>
      </w:r>
    </w:p>
    <w:p w:rsidRPr="00E212D2" w:rsidR="00475A29" w:rsidP="00E212D2" w:rsidRDefault="00475A29" w14:paraId="00E02A9C" w14:textId="77777777">
      <w:pPr>
        <w:jc w:val="center"/>
        <w:rPr>
          <w:lang w:val="fr-BE"/>
        </w:rPr>
      </w:pPr>
      <w:r w:rsidRPr="00E212D2">
        <w:rPr>
          <w:rFonts w:eastAsia="Times New Roman"/>
          <w:sz w:val="20"/>
          <w:lang w:val="fr-BE"/>
        </w:rPr>
        <w:t>SESSION ORDINAIRE DE 2025-2026</w:t>
      </w:r>
    </w:p>
    <w:p w:rsidRPr="00E212D2" w:rsidR="00475A29" w:rsidP="00E212D2" w:rsidRDefault="00475A29" w14:paraId="00E02A9D" w14:textId="77777777">
      <w:pPr>
        <w:jc w:val="center"/>
        <w:rPr>
          <w:lang w:val="fr-BE"/>
        </w:rPr>
      </w:pPr>
      <w:r w:rsidRPr="00E212D2">
        <w:rPr>
          <w:rFonts w:eastAsia="Times New Roman"/>
          <w:b/>
          <w:lang w:val="fr-BE"/>
        </w:rPr>
        <w:t>15 juin 2026</w:t>
      </w:r>
    </w:p>
    <w:p w:rsidRPr="00E212D2" w:rsidR="00475A29" w:rsidP="00E212D2" w:rsidRDefault="00475A29" w14:paraId="00E02A9E" w14:textId="77777777">
      <w:pPr>
        <w:spacing w:before="240" w:beforeLines="100"/>
        <w:jc w:val="center"/>
        <w:rPr>
          <w:lang w:val="fr-BE"/>
        </w:rPr>
      </w:pPr>
      <w:r w:rsidRPr="00E212D2">
        <w:rPr>
          <w:u w:val="double"/>
          <w:lang w:val="fr-BE"/>
        </w:rPr>
        <w:t>                                                                                                                                             </w:t>
      </w:r>
    </w:p>
    <w:p w:rsidRPr="00E212D2" w:rsidR="00475A29" w:rsidP="00E212D2" w:rsidRDefault="00475A29" w14:paraId="00E02A9F" w14:textId="77777777">
      <w:pPr>
        <w:spacing w:before="720" w:beforeLines="300" w:after="300"/>
        <w:jc w:val="center"/>
        <w:rPr>
          <w:lang w:val="fr-BE"/>
        </w:rPr>
      </w:pPr>
      <w:r w:rsidRPr="00E212D2">
        <w:rPr>
          <w:rFonts w:eastAsia="Times New Roman"/>
          <w:b/>
          <w:sz w:val="48"/>
          <w:lang w:val="fr-BE"/>
        </w:rPr>
        <w:t>RÉSOLUTION EUROPÉENNE PORTANT AVIS MOTIVÉ</w:t>
      </w:r>
    </w:p>
    <w:p w:rsidRPr="00E212D2" w:rsidR="00475A29" w:rsidP="00E212D2" w:rsidRDefault="00475A29" w14:paraId="00E02AA0" w14:textId="77777777">
      <w:pPr>
        <w:spacing w:after="200"/>
        <w:jc w:val="center"/>
        <w:rPr>
          <w:lang w:val="fr-BE"/>
        </w:rPr>
      </w:pPr>
      <w:r w:rsidRPr="00E212D2">
        <w:rPr>
          <w:rFonts w:eastAsia="Times New Roman"/>
          <w:i/>
          <w:sz w:val="28"/>
          <w:lang w:val="fr-BE"/>
        </w:rPr>
        <w:t>sur la</w:t>
      </w:r>
      <w:r w:rsidRPr="00E212D2">
        <w:rPr>
          <w:rFonts w:eastAsia="Times New Roman"/>
          <w:b/>
          <w:sz w:val="28"/>
          <w:lang w:val="fr-BE"/>
        </w:rPr>
        <w:t xml:space="preserve"> conformité</w:t>
      </w:r>
      <w:r w:rsidRPr="00E212D2">
        <w:rPr>
          <w:rFonts w:eastAsia="Times New Roman"/>
          <w:i/>
          <w:sz w:val="28"/>
          <w:lang w:val="fr-BE"/>
        </w:rPr>
        <w:t xml:space="preserve"> aux</w:t>
      </w:r>
      <w:r w:rsidRPr="00E212D2">
        <w:rPr>
          <w:rFonts w:eastAsia="Times New Roman"/>
          <w:b/>
          <w:sz w:val="28"/>
          <w:lang w:val="fr-BE"/>
        </w:rPr>
        <w:t xml:space="preserve"> principes</w:t>
      </w:r>
      <w:r w:rsidRPr="00E212D2">
        <w:rPr>
          <w:rFonts w:eastAsia="Times New Roman"/>
          <w:i/>
          <w:sz w:val="28"/>
          <w:lang w:val="fr-BE"/>
        </w:rPr>
        <w:t xml:space="preserve"> de</w:t>
      </w:r>
      <w:r w:rsidRPr="00E212D2">
        <w:rPr>
          <w:rFonts w:eastAsia="Times New Roman"/>
          <w:b/>
          <w:sz w:val="28"/>
          <w:lang w:val="fr-BE"/>
        </w:rPr>
        <w:t xml:space="preserve"> subsidiarité</w:t>
      </w:r>
      <w:r w:rsidRPr="00E212D2">
        <w:rPr>
          <w:rFonts w:eastAsia="Times New Roman"/>
          <w:i/>
          <w:sz w:val="28"/>
          <w:lang w:val="fr-BE"/>
        </w:rPr>
        <w:t xml:space="preserve"> et de</w:t>
      </w:r>
      <w:r w:rsidRPr="00E212D2">
        <w:rPr>
          <w:rFonts w:eastAsia="Times New Roman"/>
          <w:b/>
          <w:sz w:val="28"/>
          <w:lang w:val="fr-BE"/>
        </w:rPr>
        <w:t xml:space="preserve"> proportionnalité</w:t>
      </w:r>
      <w:r w:rsidRPr="00E212D2">
        <w:rPr>
          <w:rFonts w:eastAsia="Times New Roman"/>
          <w:i/>
          <w:sz w:val="28"/>
          <w:lang w:val="fr-BE"/>
        </w:rPr>
        <w:t xml:space="preserve"> de la</w:t>
      </w:r>
      <w:r w:rsidRPr="00E212D2">
        <w:rPr>
          <w:rFonts w:eastAsia="Times New Roman"/>
          <w:b/>
          <w:sz w:val="28"/>
          <w:lang w:val="fr-BE"/>
        </w:rPr>
        <w:t xml:space="preserve"> proposition</w:t>
      </w:r>
      <w:r w:rsidRPr="00E212D2">
        <w:rPr>
          <w:rFonts w:eastAsia="Times New Roman"/>
          <w:i/>
          <w:sz w:val="28"/>
          <w:lang w:val="fr-BE"/>
        </w:rPr>
        <w:t xml:space="preserve"> de</w:t>
      </w:r>
      <w:r w:rsidRPr="00E212D2">
        <w:rPr>
          <w:rFonts w:eastAsia="Times New Roman"/>
          <w:b/>
          <w:sz w:val="28"/>
          <w:lang w:val="fr-BE"/>
        </w:rPr>
        <w:t xml:space="preserve"> règlement</w:t>
      </w:r>
      <w:r w:rsidRPr="00E212D2">
        <w:rPr>
          <w:rFonts w:eastAsia="Times New Roman"/>
          <w:i/>
          <w:sz w:val="28"/>
          <w:lang w:val="fr-BE"/>
        </w:rPr>
        <w:t xml:space="preserve"> du</w:t>
      </w:r>
      <w:r w:rsidRPr="00E212D2">
        <w:rPr>
          <w:rFonts w:eastAsia="Times New Roman"/>
          <w:b/>
          <w:sz w:val="28"/>
          <w:lang w:val="fr-BE"/>
        </w:rPr>
        <w:t xml:space="preserve"> Parlement européen</w:t>
      </w:r>
      <w:r w:rsidRPr="00E212D2">
        <w:rPr>
          <w:rFonts w:eastAsia="Times New Roman"/>
          <w:i/>
          <w:sz w:val="28"/>
          <w:lang w:val="fr-BE"/>
        </w:rPr>
        <w:t xml:space="preserve"> et du</w:t>
      </w:r>
      <w:r w:rsidRPr="00E212D2">
        <w:rPr>
          <w:rFonts w:eastAsia="Times New Roman"/>
          <w:b/>
          <w:sz w:val="28"/>
          <w:lang w:val="fr-BE"/>
        </w:rPr>
        <w:t xml:space="preserve"> Conseil relatif</w:t>
      </w:r>
      <w:r w:rsidRPr="00E212D2">
        <w:rPr>
          <w:rFonts w:eastAsia="Times New Roman"/>
          <w:i/>
          <w:sz w:val="28"/>
          <w:lang w:val="fr-BE"/>
        </w:rPr>
        <w:t xml:space="preserve"> aux</w:t>
      </w:r>
      <w:r w:rsidRPr="00E212D2">
        <w:rPr>
          <w:rFonts w:eastAsia="Times New Roman"/>
          <w:b/>
          <w:sz w:val="28"/>
          <w:lang w:val="fr-BE"/>
        </w:rPr>
        <w:t xml:space="preserve"> réseaux numériques</w:t>
      </w:r>
      <w:r w:rsidRPr="00E212D2">
        <w:rPr>
          <w:rFonts w:eastAsia="Times New Roman"/>
          <w:i/>
          <w:sz w:val="28"/>
          <w:lang w:val="fr-BE"/>
        </w:rPr>
        <w:t>, modifiant le</w:t>
      </w:r>
      <w:r w:rsidRPr="00E212D2">
        <w:rPr>
          <w:rFonts w:eastAsia="Times New Roman"/>
          <w:b/>
          <w:sz w:val="28"/>
          <w:lang w:val="fr-BE"/>
        </w:rPr>
        <w:t xml:space="preserve"> </w:t>
      </w:r>
      <w:r w:rsidRPr="00E212D2">
        <w:rPr>
          <w:rFonts w:eastAsia="Times New Roman"/>
          <w:i/>
          <w:iCs/>
          <w:sz w:val="28"/>
          <w:lang w:val="fr-BE"/>
        </w:rPr>
        <w:t xml:space="preserve">règlement (UE) 2015/2120, la directive 2002/58/CE et la décision nº 676/2002/CE et abrogeant le règlement (UE) 2018/1971, la directive (UE) 2018/1972 </w:t>
      </w:r>
      <w:r w:rsidRPr="00E212D2">
        <w:rPr>
          <w:rFonts w:eastAsia="Times New Roman"/>
          <w:i/>
          <w:iCs/>
          <w:sz w:val="28"/>
          <w:lang w:val="fr-BE"/>
        </w:rPr>
        <w:br/>
        <w:t>et la décision nº 243/2012/UE</w:t>
      </w:r>
      <w:r w:rsidRPr="00E212D2">
        <w:rPr>
          <w:rFonts w:eastAsia="Times New Roman"/>
          <w:sz w:val="28"/>
          <w:lang w:val="fr-BE"/>
        </w:rPr>
        <w:t xml:space="preserve"> </w:t>
      </w:r>
      <w:r w:rsidRPr="00E212D2">
        <w:rPr>
          <w:rFonts w:eastAsia="Times New Roman"/>
          <w:sz w:val="28"/>
          <w:lang w:val="fr-BE"/>
        </w:rPr>
        <w:br/>
        <w:t>(</w:t>
      </w:r>
      <w:r w:rsidRPr="00E212D2">
        <w:rPr>
          <w:rFonts w:eastAsia="Times New Roman"/>
          <w:b/>
          <w:sz w:val="28"/>
          <w:lang w:val="fr-BE"/>
        </w:rPr>
        <w:t>règlement</w:t>
      </w:r>
      <w:r w:rsidRPr="00E212D2">
        <w:rPr>
          <w:rFonts w:eastAsia="Times New Roman"/>
          <w:i/>
          <w:sz w:val="28"/>
          <w:lang w:val="fr-BE"/>
        </w:rPr>
        <w:t xml:space="preserve"> sur les</w:t>
      </w:r>
      <w:r w:rsidRPr="00E212D2">
        <w:rPr>
          <w:rFonts w:eastAsia="Times New Roman"/>
          <w:b/>
          <w:sz w:val="28"/>
          <w:lang w:val="fr-BE"/>
        </w:rPr>
        <w:t xml:space="preserve"> réseaux numériques</w:t>
      </w:r>
      <w:r w:rsidRPr="00E212D2">
        <w:rPr>
          <w:rFonts w:eastAsia="Times New Roman"/>
          <w:sz w:val="28"/>
          <w:lang w:val="fr-BE"/>
        </w:rPr>
        <w:t>)</w:t>
      </w:r>
      <w:r w:rsidRPr="00E212D2">
        <w:rPr>
          <w:rFonts w:eastAsia="Times New Roman"/>
          <w:i/>
          <w:sz w:val="28"/>
          <w:lang w:val="fr-BE"/>
        </w:rPr>
        <w:t xml:space="preserve"> - COM</w:t>
      </w:r>
      <w:r w:rsidRPr="00E212D2">
        <w:rPr>
          <w:rFonts w:eastAsia="Times New Roman"/>
          <w:sz w:val="28"/>
          <w:lang w:val="fr-BE"/>
        </w:rPr>
        <w:t>(</w:t>
      </w:r>
      <w:r w:rsidRPr="00E212D2">
        <w:rPr>
          <w:rFonts w:eastAsia="Times New Roman"/>
          <w:i/>
          <w:sz w:val="28"/>
          <w:lang w:val="fr-BE"/>
        </w:rPr>
        <w:t>2026</w:t>
      </w:r>
      <w:r w:rsidRPr="00E212D2">
        <w:rPr>
          <w:rFonts w:eastAsia="Times New Roman"/>
          <w:sz w:val="28"/>
          <w:lang w:val="fr-BE"/>
        </w:rPr>
        <w:t>)</w:t>
      </w:r>
      <w:r w:rsidRPr="00E212D2">
        <w:rPr>
          <w:rFonts w:eastAsia="Times New Roman"/>
          <w:i/>
          <w:sz w:val="28"/>
          <w:lang w:val="fr-BE"/>
        </w:rPr>
        <w:t xml:space="preserve"> 16 final</w:t>
      </w:r>
    </w:p>
    <w:p w:rsidRPr="00E212D2" w:rsidR="00475A29" w:rsidP="00E212D2" w:rsidRDefault="00475A29" w14:paraId="00E02AA1" w14:textId="77777777">
      <w:pPr>
        <w:jc w:val="center"/>
        <w:rPr>
          <w:lang w:val="fr-BE"/>
        </w:rPr>
      </w:pPr>
    </w:p>
    <w:p w:rsidRPr="00E212D2" w:rsidR="00475A29" w:rsidP="00E212D2" w:rsidRDefault="00475A29" w14:paraId="00E02AA2" w14:textId="77777777">
      <w:pPr>
        <w:jc w:val="center"/>
        <w:rPr>
          <w:lang w:val="fr-BE"/>
        </w:rPr>
      </w:pPr>
    </w:p>
    <w:p w:rsidRPr="00E212D2" w:rsidR="00475A29" w:rsidP="00E212D2" w:rsidRDefault="00475A29" w14:paraId="00E02AA3" w14:textId="77777777">
      <w:pPr>
        <w:jc w:val="center"/>
        <w:rPr>
          <w:lang w:val="fr-BE"/>
        </w:rPr>
      </w:pPr>
    </w:p>
    <w:p w:rsidRPr="00E212D2" w:rsidR="00475A29" w:rsidP="00E212D2" w:rsidRDefault="00475A29" w14:paraId="00E02AA4" w14:textId="77777777">
      <w:pPr>
        <w:jc w:val="center"/>
        <w:rPr>
          <w:lang w:val="fr-BE"/>
        </w:rPr>
      </w:pPr>
    </w:p>
    <w:p w:rsidRPr="00E212D2" w:rsidR="00475A29" w:rsidP="00E212D2" w:rsidRDefault="00475A29" w14:paraId="00E02AA5" w14:textId="77777777">
      <w:pPr>
        <w:jc w:val="center"/>
        <w:rPr>
          <w:lang w:val="fr-BE"/>
        </w:rPr>
      </w:pPr>
    </w:p>
    <w:p w:rsidRPr="00E212D2" w:rsidR="00475A29" w:rsidP="00E212D2" w:rsidRDefault="00475A29" w14:paraId="00E02AA6" w14:textId="77777777">
      <w:pPr>
        <w:jc w:val="center"/>
        <w:rPr>
          <w:lang w:val="fr-BE"/>
        </w:rPr>
      </w:pPr>
    </w:p>
    <w:p w:rsidRPr="00E212D2" w:rsidR="00475A29" w:rsidP="00E212D2" w:rsidRDefault="00475A29" w14:paraId="00E02AA7" w14:textId="77777777">
      <w:pPr>
        <w:jc w:val="center"/>
        <w:rPr>
          <w:lang w:val="fr-BE"/>
        </w:rPr>
      </w:pPr>
    </w:p>
    <w:p w:rsidRPr="00E212D2" w:rsidR="00475A29" w:rsidP="00E212D2" w:rsidRDefault="00475A29" w14:paraId="00E02AA8" w14:textId="77777777">
      <w:pPr>
        <w:jc w:val="center"/>
        <w:rPr>
          <w:lang w:val="fr-BE"/>
        </w:rPr>
      </w:pPr>
    </w:p>
    <w:p w:rsidRPr="00E212D2" w:rsidR="00475A29" w:rsidP="00E212D2" w:rsidRDefault="00475A29" w14:paraId="00E02AA9" w14:textId="77777777">
      <w:pPr>
        <w:jc w:val="center"/>
        <w:rPr>
          <w:lang w:val="fr-BE"/>
        </w:rPr>
      </w:pPr>
    </w:p>
    <w:p w:rsidRPr="00E212D2" w:rsidR="00475A29" w:rsidP="00E212D2" w:rsidRDefault="00475A29" w14:paraId="00E02AAA" w14:textId="77777777">
      <w:pPr>
        <w:ind w:right="25"/>
        <w:jc w:val="center"/>
        <w:rPr>
          <w:lang w:val="fr-BE"/>
        </w:rPr>
      </w:pPr>
      <w:r w:rsidRPr="00E212D2">
        <w:rPr>
          <w:rFonts w:eastAsia="Times New Roman"/>
          <w:i/>
          <w:sz w:val="28"/>
          <w:lang w:val="fr-BE"/>
        </w:rPr>
        <w:lastRenderedPageBreak/>
        <w:t xml:space="preserve">Est devenue résolution du Sénat, conformément à l’article 73 </w:t>
      </w:r>
      <w:r w:rsidRPr="00E212D2">
        <w:rPr>
          <w:rFonts w:eastAsia="Times New Roman"/>
          <w:iCs/>
          <w:sz w:val="28"/>
          <w:lang w:val="fr-BE"/>
        </w:rPr>
        <w:t>octies</w:t>
      </w:r>
      <w:r w:rsidRPr="00E212D2">
        <w:rPr>
          <w:rFonts w:eastAsia="Times New Roman"/>
          <w:i/>
          <w:sz w:val="28"/>
          <w:lang w:val="fr-BE"/>
        </w:rPr>
        <w:t xml:space="preserve"> </w:t>
      </w:r>
      <w:r w:rsidRPr="00E212D2">
        <w:rPr>
          <w:rFonts w:eastAsia="Times New Roman"/>
          <w:i/>
          <w:sz w:val="28"/>
          <w:lang w:val="fr-BE"/>
        </w:rPr>
        <w:br/>
        <w:t xml:space="preserve">du Règlement du Sénat, la résolution adoptée par la commission de l'aménagement du territoire et du développement durable </w:t>
      </w:r>
      <w:r w:rsidRPr="00E212D2">
        <w:rPr>
          <w:rFonts w:eastAsia="Times New Roman"/>
          <w:i/>
          <w:sz w:val="28"/>
          <w:lang w:val="fr-BE"/>
        </w:rPr>
        <w:br/>
        <w:t>dont la teneur suit :</w:t>
      </w:r>
    </w:p>
    <w:p w:rsidRPr="00E212D2" w:rsidR="00475A29" w:rsidP="00E212D2" w:rsidRDefault="00475A29" w14:paraId="00E02AAB" w14:textId="77777777">
      <w:pPr>
        <w:jc w:val="center"/>
        <w:rPr>
          <w:lang w:val="fr-BE"/>
        </w:rPr>
      </w:pPr>
      <w:r w:rsidRPr="00E212D2">
        <w:rPr>
          <w:strike/>
          <w:lang w:val="fr-BE"/>
        </w:rPr>
        <w:t>                                                                                                                                             </w:t>
      </w:r>
    </w:p>
    <w:p w:rsidRPr="00E212D2" w:rsidR="00475A29" w:rsidP="00E212D2" w:rsidRDefault="00475A29" w14:paraId="00E02AAC" w14:textId="77777777">
      <w:pPr>
        <w:rPr>
          <w:lang w:val="fr-BE"/>
        </w:rPr>
      </w:pPr>
      <w:r w:rsidRPr="00E212D2">
        <w:rPr>
          <w:rFonts w:eastAsia="Times New Roman"/>
          <w:b/>
          <w:sz w:val="22"/>
          <w:lang w:val="fr-BE"/>
        </w:rPr>
        <w:t>Voir le numéro :</w:t>
      </w:r>
    </w:p>
    <w:p w:rsidRPr="00E212D2" w:rsidR="00475A29" w:rsidP="00E212D2" w:rsidRDefault="00475A29" w14:paraId="00E02AAD" w14:textId="77777777">
      <w:pPr>
        <w:spacing w:before="120" w:beforeLines="50"/>
        <w:rPr>
          <w:lang w:val="fr-BE"/>
        </w:rPr>
      </w:pPr>
      <w:r w:rsidRPr="00E212D2">
        <w:rPr>
          <w:rFonts w:eastAsia="Times New Roman"/>
          <w:b/>
          <w:sz w:val="22"/>
          <w:lang w:val="fr-BE"/>
        </w:rPr>
        <w:t>Sénat : 731</w:t>
      </w:r>
      <w:r w:rsidRPr="00E212D2">
        <w:rPr>
          <w:rFonts w:eastAsia="Times New Roman"/>
          <w:sz w:val="22"/>
          <w:lang w:val="fr-BE"/>
        </w:rPr>
        <w:t> (2025</w:t>
      </w:r>
      <w:r w:rsidRPr="00E212D2">
        <w:rPr>
          <w:rFonts w:eastAsia="Times New Roman"/>
          <w:sz w:val="22"/>
          <w:lang w:val="fr-BE"/>
        </w:rPr>
        <w:noBreakHyphen/>
        <w:t>2026).</w:t>
      </w:r>
    </w:p>
    <w:p w:rsidRPr="00E212D2" w:rsidR="00475A29" w:rsidP="00E212D2" w:rsidRDefault="00475A29" w14:paraId="00E02AAE" w14:textId="77777777">
      <w:pPr>
        <w:jc w:val="center"/>
        <w:rPr>
          <w:lang w:val="fr-BE"/>
        </w:rPr>
        <w:sectPr w:rsidRPr="00E212D2" w:rsidR="00E212D2" w:rsidSect="00E212D2">
          <w:headerReference w:type="even" r:id="R1abef0733c814093"/>
          <w:headerReference w:type="default" r:id="Re11dd14cbdb5419f"/>
          <w:footerReference w:type="even" r:id="Rc7a76e1661674afc"/>
          <w:footerReference w:type="default" r:id="R6550d1ee119e45ec"/>
          <w:headerReference w:type="first" r:id="R515f5a748619471e"/>
          <w:footerReference w:type="first" r:id="R3eb592a2755c4eb8"/>
          <w:pgSz w:w="11900" w:h="16840"/>
          <w:pgMar w:top="1587" w:right="1700" w:bottom="1700" w:left="1700" w:header="720" w:footer="720" w:gutter="0"/>
          <w:cols w:space="720"/>
        </w:sectPr>
      </w:pPr>
    </w:p>
    <w:p w:rsidR="00475A29" w:rsidP="00E212D2" w:rsidRDefault="00475A29" w14:paraId="00E02AAF" w14:textId="77777777">
      <w:pPr>
        <w:pStyle w:val="LoiTexte"/>
      </w:pPr>
      <w:r>
        <w:rPr>
          <w:rFonts w:eastAsia="Times New Roman"/>
        </w:rPr>
        <w:lastRenderedPageBreak/>
        <w:t>Vu l’article 88</w:t>
      </w:r>
      <w:r>
        <w:rPr>
          <w:rFonts w:eastAsia="Times New Roman"/>
        </w:rPr>
        <w:noBreakHyphen/>
        <w:t>6 de la Constitution,</w:t>
      </w:r>
    </w:p>
    <w:p w:rsidR="00475A29" w:rsidP="00E212D2" w:rsidRDefault="00475A29" w14:paraId="00E02AB0" w14:textId="77777777">
      <w:pPr>
        <w:pStyle w:val="LoiTexte"/>
      </w:pPr>
      <w:r>
        <w:rPr>
          <w:rFonts w:eastAsia="Times New Roman"/>
        </w:rPr>
        <w:t>Vu l’article 73 </w:t>
      </w:r>
      <w:r>
        <w:rPr>
          <w:rFonts w:eastAsia="Times New Roman"/>
          <w:i/>
        </w:rPr>
        <w:t>octies</w:t>
      </w:r>
      <w:r>
        <w:rPr>
          <w:rFonts w:eastAsia="Times New Roman"/>
        </w:rPr>
        <w:t xml:space="preserve"> du Règlement du Sénat,</w:t>
      </w:r>
    </w:p>
    <w:p w:rsidR="00475A29" w:rsidP="00E212D2" w:rsidRDefault="00475A29" w14:paraId="00E02AB1" w14:textId="77777777">
      <w:pPr>
        <w:pStyle w:val="LoiTexte"/>
      </w:pPr>
      <w:r>
        <w:rPr>
          <w:rFonts w:eastAsia="Times New Roman"/>
        </w:rPr>
        <w:t xml:space="preserve">Vu la proposition de règlement du Parlement européen et du </w:t>
      </w:r>
      <w:r>
        <w:rPr>
          <w:rFonts w:eastAsia="Times New Roman"/>
        </w:rPr>
        <w:t>Conseil relatif aux réseaux numériques, modifiant le règlement (UE) 2015/2120, la directive 2002/58/CE et la décision nº 676/2002/CE et abrogeant le règlement (UE) 2018/1971, la directive (UE) 2018/1972 et la décision nº 243/2012/UE (règlement sur les réseaux numériques) – COM(2026) 16 final,</w:t>
      </w:r>
    </w:p>
    <w:p w:rsidR="00475A29" w:rsidP="00E212D2" w:rsidRDefault="00475A29" w14:paraId="00E02AB2" w14:textId="77777777">
      <w:pPr>
        <w:pStyle w:val="LoiTexte"/>
      </w:pPr>
      <w:r>
        <w:rPr>
          <w:rFonts w:eastAsia="Times New Roman"/>
        </w:rPr>
        <w:t>Le Sénat émet les observations suivantes :</w:t>
      </w:r>
    </w:p>
    <w:p w:rsidR="00475A29" w:rsidP="00E212D2" w:rsidRDefault="00475A29" w14:paraId="00E02AB3" w14:textId="77777777">
      <w:pPr>
        <w:pStyle w:val="LoiTexte"/>
      </w:pPr>
      <w:r>
        <w:rPr>
          <w:rFonts w:eastAsia="Times New Roman"/>
        </w:rPr>
        <w:t>Une intervention du législateur européen aux fins d’harmoniser le cadre juridique applicable aux réseaux de télécommunications présente une valeur ajoutée certaine, dans un secteur qui se caractérise par une fragmentation nuisant à la compétitivité européenne mais aussi à l’amélioration de la connectivité dans l’Union européenne, au bénéfice de l’ensemble des citoyens européens ;</w:t>
      </w:r>
    </w:p>
    <w:p w:rsidR="00475A29" w:rsidP="00E212D2" w:rsidRDefault="00475A29" w14:paraId="00E02AB4" w14:textId="77777777">
      <w:pPr>
        <w:pStyle w:val="LoiTexte"/>
      </w:pPr>
      <w:r>
        <w:rPr>
          <w:rFonts w:eastAsia="Times New Roman"/>
        </w:rPr>
        <w:t>Il est fondamental aujourd’hui d’accélérer la transition de l’Union européenne vers les réseaux gigabit (fibre, 5G, 6G), de renforcer la résilience des infrastructures numériques face aux cybermenaces et aux crises mais aussi de simplifier les procédures pour les opérateurs de réseaux de télécommunications européens ;</w:t>
      </w:r>
    </w:p>
    <w:p w:rsidR="00475A29" w:rsidP="00E212D2" w:rsidRDefault="00475A29" w14:paraId="00E02AB5" w14:textId="77777777">
      <w:pPr>
        <w:pStyle w:val="LoiTexte"/>
      </w:pPr>
      <w:r>
        <w:rPr>
          <w:rFonts w:eastAsia="Times New Roman"/>
        </w:rPr>
        <w:t>Toutefois, ce faisant, l’Union européenne doit veiller à agir de manière proportionnée, s’agissant de la régulation de marchés des télécommunications qui demeurent principalement nationaux et reposent sur des équilibres propres à chaque État membre ;</w:t>
      </w:r>
    </w:p>
    <w:p w:rsidR="00475A29" w:rsidP="00E212D2" w:rsidRDefault="00475A29" w14:paraId="00E02AB6" w14:textId="77777777">
      <w:pPr>
        <w:pStyle w:val="LoiTexte"/>
      </w:pPr>
      <w:r>
        <w:rPr>
          <w:rFonts w:eastAsia="Times New Roman"/>
        </w:rPr>
        <w:t>L’article 5 du traité sur l’Union européenne (TUE) stipule que l’Union européenne ne peut intervenir, en vertu du principe de subsidiarité, que « </w:t>
      </w:r>
      <w:r w:rsidRPr="004C4563">
        <w:rPr>
          <w:rFonts w:eastAsia="Times New Roman"/>
          <w:i/>
          <w:iCs/>
        </w:rPr>
        <w:t>si, et dans la mesure où les objectifs de l’action envisagée ne peuvent pas être atteints de manière suffisante par les États membres […] mais peuvent l’être mieux, en raison des dimensions ou des effets de l’action envisagée, au niveau de l’Union</w:t>
      </w:r>
      <w:r>
        <w:rPr>
          <w:rFonts w:eastAsia="Times New Roman"/>
        </w:rPr>
        <w:t> » ; il précise qu’en application du principe de proportionnalité, « </w:t>
      </w:r>
      <w:r>
        <w:rPr>
          <w:rFonts w:eastAsia="Times New Roman"/>
          <w:i/>
        </w:rPr>
        <w:t>le contenu et la forme de l’action de l’Union n’excèdent pas ce qui est nécessaire pour atteindre les objectifs des traités</w:t>
      </w:r>
      <w:r>
        <w:rPr>
          <w:rFonts w:eastAsia="Times New Roman"/>
        </w:rPr>
        <w:t> » ; ceci implique d’examiner, non seulement si l’objectif de l’action en</w:t>
      </w:r>
      <w:r>
        <w:rPr>
          <w:rFonts w:eastAsia="Times New Roman"/>
        </w:rPr>
        <w:t>visagée peut être mieux réalisé au niveau européen, mais également si l’intensité de l’action entreprise n’excède pas la mesure nécessaire pour atteindre l’objectif que cette action vise à réaliser ;</w:t>
      </w:r>
    </w:p>
    <w:p w:rsidR="00475A29" w:rsidP="00E212D2" w:rsidRDefault="00475A29" w14:paraId="00E02AB7" w14:textId="77777777">
      <w:pPr>
        <w:pStyle w:val="LoiTexte"/>
      </w:pPr>
      <w:r>
        <w:rPr>
          <w:rFonts w:eastAsia="Times New Roman"/>
        </w:rPr>
        <w:lastRenderedPageBreak/>
        <w:t>L’article 5 du protocole n° 2 sur l’application des principes de subsidiarité et de proportionnalité annexé au TUE et au traité sur le fonctionnement de l’Union européenne (TFUE) prévoit que « </w:t>
      </w:r>
      <w:r>
        <w:rPr>
          <w:rFonts w:eastAsia="Times New Roman"/>
          <w:i/>
        </w:rPr>
        <w:t>les raisons permettant de conclure qu’un objectif de l’Union peut être mieux atteint au niveau de celle</w:t>
      </w:r>
      <w:r>
        <w:rPr>
          <w:rFonts w:eastAsia="Times New Roman"/>
          <w:i/>
        </w:rPr>
        <w:noBreakHyphen/>
        <w:t>ci s’appuient sur des indicateurs qualitatifs et, chaque fois que c’est possible, quantitatifs</w:t>
      </w:r>
      <w:r>
        <w:rPr>
          <w:rFonts w:eastAsia="Times New Roman"/>
        </w:rPr>
        <w:t> » ; ceci implique que les projets d’actes législatifs européens soient suffisamment motivés et circonstanciés ;</w:t>
      </w:r>
    </w:p>
    <w:p w:rsidR="00475A29" w:rsidP="00E212D2" w:rsidRDefault="00475A29" w14:paraId="00E02AB8" w14:textId="77777777">
      <w:pPr>
        <w:pStyle w:val="LoiTexte"/>
      </w:pPr>
      <w:r>
        <w:rPr>
          <w:rFonts w:eastAsia="Times New Roman"/>
        </w:rPr>
        <w:t xml:space="preserve">L’analyse d’impact qui précède la proposition de règlement COM(2026) 16 final précitée ne justifie que très brièvement le choix du recours à un règlement – en </w:t>
      </w:r>
      <w:r>
        <w:rPr>
          <w:rFonts w:eastAsia="Times New Roman"/>
        </w:rPr>
        <w:t>lieu et place d’une directive, à l’instar de l’actuelle directive (UE) 2018/1972 établissant le code des communications électroniques européen (refonte) – par la nécessité de réduire la fragmentation du cadre juridique, sans autre explication ;</w:t>
      </w:r>
    </w:p>
    <w:p w:rsidR="00475A29" w:rsidP="00E212D2" w:rsidRDefault="00475A29" w14:paraId="00E02AB9" w14:textId="77777777">
      <w:pPr>
        <w:pStyle w:val="LoiTexte"/>
      </w:pPr>
      <w:r>
        <w:rPr>
          <w:rFonts w:eastAsia="Times New Roman"/>
        </w:rPr>
        <w:t>Cette même analyse d’impact justifie le recours à la seule base légale de l’article 114 du TFUE, qui porte sur l’approfondissement du marché unique, par le caractère techniquement complexe du secteur des communications électroniques, en précisant que « </w:t>
      </w:r>
      <w:r>
        <w:rPr>
          <w:rFonts w:eastAsia="Times New Roman"/>
          <w:i/>
        </w:rPr>
        <w:t>le présent article confère au législateur de l’Union européenne le pouvoir discrétionnaire, en fonction du contexte général et des circonstances particulières de la matière à harmoniser, quant à la technique d’harmonisation la plus appropriée</w:t>
      </w:r>
      <w:r>
        <w:rPr>
          <w:rFonts w:eastAsia="Times New Roman"/>
        </w:rPr>
        <w:t xml:space="preserve"> </w:t>
      </w:r>
      <w:r>
        <w:rPr>
          <w:rFonts w:eastAsia="Times New Roman"/>
          <w:i/>
        </w:rPr>
        <w:t>pour atteindre le résultat souhaité, notamment dans les domaines caractérisés par des particularités techniques complexe</w:t>
      </w:r>
      <w:r w:rsidRPr="004C4563">
        <w:rPr>
          <w:rFonts w:eastAsia="Times New Roman"/>
          <w:i/>
          <w:iCs/>
        </w:rPr>
        <w:t>s</w:t>
      </w:r>
      <w:r>
        <w:rPr>
          <w:rFonts w:eastAsia="Times New Roman"/>
        </w:rPr>
        <w:t> » ;</w:t>
      </w:r>
    </w:p>
    <w:p w:rsidR="00475A29" w:rsidP="00E212D2" w:rsidRDefault="00475A29" w14:paraId="00E02ABA" w14:textId="77777777">
      <w:pPr>
        <w:pStyle w:val="LoiTexte"/>
      </w:pPr>
      <w:r>
        <w:rPr>
          <w:rFonts w:eastAsia="Times New Roman"/>
        </w:rPr>
        <w:t>La proposition de règlement présentée par la Commission européenne comporte des mesures de portées diverses dont certaines excèdent ce qui est nécessaire pour atteindre les objectifs recherchés ;</w:t>
      </w:r>
    </w:p>
    <w:p w:rsidR="00475A29" w:rsidP="00E212D2" w:rsidRDefault="00475A29" w14:paraId="00E02ABB" w14:textId="77777777">
      <w:pPr>
        <w:pStyle w:val="LoiTexte"/>
      </w:pPr>
      <w:r>
        <w:rPr>
          <w:rFonts w:eastAsia="Times New Roman"/>
        </w:rPr>
        <w:t>Le Sénat regrette notamment que la proposition de règlement ait été présentée sous la forme d’un règlement et non pas d’une directive, comme c’était le cas pour le code des communications électroniques européen actuellement en vigueur, notant que seule une directive assure aux États membres la flexibilité nécessaire en matière de gestion des réseaux numériques, tant sur le plan de la supervision que sur le plan opérationnel, notamment pour répondre à leurs besoins propres d’aménagement du territoire en la m</w:t>
      </w:r>
      <w:r>
        <w:rPr>
          <w:rFonts w:eastAsia="Times New Roman"/>
        </w:rPr>
        <w:t>atière ;</w:t>
      </w:r>
    </w:p>
    <w:p w:rsidR="00475A29" w:rsidP="00E212D2" w:rsidRDefault="00475A29" w14:paraId="00E02ABC" w14:textId="77777777">
      <w:pPr>
        <w:pStyle w:val="LoiTexte"/>
      </w:pPr>
      <w:r>
        <w:rPr>
          <w:rFonts w:eastAsia="Times New Roman"/>
        </w:rPr>
        <w:t>Alors que la structure de gouvernance existante du cadre de régulation des télécommunications donne satisfaction et fonctionne utilement, le renforcement des pouvoirs de l’Organe des régulateurs européens des communications électroniques (ORECE) et la création d’un Office des réseaux numériques (</w:t>
      </w:r>
      <w:r>
        <w:rPr>
          <w:rFonts w:eastAsia="Times New Roman"/>
          <w:i/>
        </w:rPr>
        <w:t>Office for Digital Networks</w:t>
      </w:r>
      <w:r>
        <w:rPr>
          <w:rFonts w:eastAsia="Times New Roman"/>
        </w:rPr>
        <w:t xml:space="preserve"> – ODN) n’apparaissent pas </w:t>
      </w:r>
      <w:r>
        <w:rPr>
          <w:rFonts w:eastAsia="Times New Roman"/>
        </w:rPr>
        <w:lastRenderedPageBreak/>
        <w:t>opportuns, voire soulèvent un risque de bureaucratisation et de perte d’indépendance des régulateurs nationaux ;</w:t>
      </w:r>
    </w:p>
    <w:p w:rsidR="00475A29" w:rsidP="00E212D2" w:rsidRDefault="00475A29" w14:paraId="00E02ABD" w14:textId="77777777">
      <w:pPr>
        <w:pStyle w:val="LoiTexte"/>
      </w:pPr>
      <w:r>
        <w:rPr>
          <w:rFonts w:eastAsia="Times New Roman"/>
        </w:rPr>
        <w:t>Dans ce cadre, l’indépendance des régulateurs nationaux doit être impérativement préservée, en évitant toute ingérence de la Commission européenne dans leurs décisions ;</w:t>
      </w:r>
    </w:p>
    <w:p w:rsidR="00475A29" w:rsidP="00E212D2" w:rsidRDefault="00475A29" w14:paraId="00E02ABE" w14:textId="77777777">
      <w:pPr>
        <w:pStyle w:val="LoiTexte"/>
      </w:pPr>
      <w:r>
        <w:rPr>
          <w:rFonts w:eastAsia="Times New Roman"/>
        </w:rPr>
        <w:t>Les moyens humains envisagés pour l’ODN (25 équivalents temps plein) apparaissent sous</w:t>
      </w:r>
      <w:r>
        <w:rPr>
          <w:rFonts w:eastAsia="Times New Roman"/>
        </w:rPr>
        <w:noBreakHyphen/>
        <w:t>dimensionnés au regard des prérogatives que la Commission européenne entend attribuer à cet office. Un renforcement ultérieur des moyens humains affectés à celui</w:t>
      </w:r>
      <w:r>
        <w:rPr>
          <w:rFonts w:eastAsia="Times New Roman"/>
        </w:rPr>
        <w:noBreakHyphen/>
        <w:t>ci induira nécessairement des coûts supplémentaires portés au budget de l’Union européenne, alors que, dans le même temps, les besoins en moyens humains des régulateurs nationaux ne devraient pas être appelés à diminuer. Il n’y aurait donc pas d’économies à attendre au niveau national, malgré la hausse des moyens financiers nécessaires au niveau e</w:t>
      </w:r>
      <w:r>
        <w:rPr>
          <w:rFonts w:eastAsia="Times New Roman"/>
        </w:rPr>
        <w:t>uropéen, sans pour autant garantir une efficacité accrue ;</w:t>
      </w:r>
    </w:p>
    <w:p w:rsidR="00475A29" w:rsidP="00E212D2" w:rsidRDefault="00475A29" w14:paraId="00E02ABF" w14:textId="77777777">
      <w:pPr>
        <w:pStyle w:val="LoiTexte"/>
      </w:pPr>
      <w:r>
        <w:rPr>
          <w:rFonts w:eastAsia="Times New Roman"/>
        </w:rPr>
        <w:t>Il convient dès lors que l’ODN demeure un simple organe de coordination et de soutien aux régulateurs nationaux, doté de compétences clairement délimitées dans l’objectif d’éviter tout chevauchement avec les autorités nationales ou encore avec l’Agence européenne pour la cybersécurité (</w:t>
      </w:r>
      <w:r>
        <w:rPr>
          <w:rFonts w:eastAsia="Times New Roman"/>
          <w:i/>
        </w:rPr>
        <w:t xml:space="preserve">The </w:t>
      </w:r>
      <w:proofErr w:type="spellStart"/>
      <w:r>
        <w:rPr>
          <w:rFonts w:eastAsia="Times New Roman"/>
          <w:i/>
        </w:rPr>
        <w:t>European</w:t>
      </w:r>
      <w:proofErr w:type="spellEnd"/>
      <w:r>
        <w:rPr>
          <w:rFonts w:eastAsia="Times New Roman"/>
          <w:i/>
        </w:rPr>
        <w:t xml:space="preserve"> Union Agency for </w:t>
      </w:r>
      <w:proofErr w:type="spellStart"/>
      <w:r>
        <w:rPr>
          <w:rFonts w:eastAsia="Times New Roman"/>
          <w:i/>
        </w:rPr>
        <w:t>Cybersecurity</w:t>
      </w:r>
      <w:proofErr w:type="spellEnd"/>
      <w:r>
        <w:rPr>
          <w:rFonts w:eastAsia="Times New Roman"/>
        </w:rPr>
        <w:t xml:space="preserve"> – </w:t>
      </w:r>
      <w:r>
        <w:rPr>
          <w:rFonts w:eastAsia="Times New Roman"/>
          <w:i/>
        </w:rPr>
        <w:t>ENISA</w:t>
      </w:r>
      <w:r>
        <w:rPr>
          <w:rFonts w:eastAsia="Times New Roman"/>
        </w:rPr>
        <w:t>), en matière de cybersécurité ;</w:t>
      </w:r>
    </w:p>
    <w:p w:rsidR="00475A29" w:rsidP="00E212D2" w:rsidRDefault="00475A29" w14:paraId="00E02AC0" w14:textId="77777777">
      <w:pPr>
        <w:pStyle w:val="LoiTexte"/>
      </w:pPr>
      <w:r>
        <w:rPr>
          <w:rFonts w:eastAsia="Times New Roman"/>
        </w:rPr>
        <w:t>La connectivité radioélectrique terrestre relève largement de préférences et d’enjeux nationaux, tant en matière opérationnelle (infrastructures, décisions d’implantation et choix technologiques…), que de règles et obligations applicables aux opérateurs. Elles apparaissent donc mieux gérées au niveau national, comme c’est le cas actuellement, qu’au niveau européen. Une gestion du spectre réalisée sous l’égide des régulateurs nationaux s’accompagne en effet utilement d’un dialogue sur l’aménagement du territ</w:t>
      </w:r>
      <w:r>
        <w:rPr>
          <w:rFonts w:eastAsia="Times New Roman"/>
        </w:rPr>
        <w:t>oire, au plus près des besoins des acteurs de terrains, des collectivités locales et des citoyens ;</w:t>
      </w:r>
    </w:p>
    <w:p w:rsidR="00475A29" w:rsidP="00E212D2" w:rsidRDefault="00475A29" w14:paraId="00E02AC1" w14:textId="77777777">
      <w:pPr>
        <w:pStyle w:val="LoiTexte"/>
      </w:pPr>
      <w:r>
        <w:rPr>
          <w:rFonts w:eastAsia="Times New Roman"/>
        </w:rPr>
        <w:t>Une centralisation accrue de la gestion du spectre des fréquences terrestres au niveau européen n’apparaît dès lors pas nécessaire pour répondre aux enjeux de la compétitivité européenne. Au contraire, elle risque de nuire à la qualité et à la pertinence de l’infrastructure des réseaux numériques, en les déconnectant des réalités territoriales ;</w:t>
      </w:r>
    </w:p>
    <w:p w:rsidR="00475A29" w:rsidP="00E212D2" w:rsidRDefault="00475A29" w14:paraId="00E02AC2" w14:textId="77777777">
      <w:pPr>
        <w:pStyle w:val="LoiTexte"/>
      </w:pPr>
      <w:r>
        <w:rPr>
          <w:rFonts w:eastAsia="Times New Roman"/>
        </w:rPr>
        <w:t xml:space="preserve">La souveraineté des États membres pour la gestion des fréquences mobiles terrestres doit donc être respectée, afin de garantir suffisamment de </w:t>
      </w:r>
      <w:r>
        <w:rPr>
          <w:rFonts w:eastAsia="Times New Roman"/>
        </w:rPr>
        <w:lastRenderedPageBreak/>
        <w:t>flexibilité pour adapter les règles aux spécificités locales et aux besoins d’aménagement du territoire ;</w:t>
      </w:r>
    </w:p>
    <w:p w:rsidR="00475A29" w:rsidP="00E212D2" w:rsidRDefault="00475A29" w14:paraId="00E02AC3" w14:textId="77777777">
      <w:pPr>
        <w:pStyle w:val="LoiTexte"/>
      </w:pPr>
      <w:r>
        <w:rPr>
          <w:rFonts w:eastAsia="Times New Roman"/>
        </w:rPr>
        <w:t>Par conséquent, la proposition consistant à centraliser de manière accrue, au niveau européen, la gestion du spectre radioélectrique terrestre apparaît contraire au principe de proportionnalité ;</w:t>
      </w:r>
    </w:p>
    <w:p w:rsidR="00475A29" w:rsidP="00E212D2" w:rsidRDefault="00475A29" w14:paraId="00E02AC4" w14:textId="77777777">
      <w:pPr>
        <w:pStyle w:val="LoiTexte"/>
      </w:pPr>
      <w:r>
        <w:rPr>
          <w:rFonts w:eastAsia="Times New Roman"/>
        </w:rPr>
        <w:t>La possibilité renforcée pour la Commission européenne d’exercer un droit de veto sur les attributions décidées par les organes de régulation nationaux apparaît également disproportionnée ;</w:t>
      </w:r>
    </w:p>
    <w:p w:rsidR="00475A29" w:rsidP="00E212D2" w:rsidRDefault="00475A29" w14:paraId="00E02AC5" w14:textId="77777777">
      <w:pPr>
        <w:pStyle w:val="LoiTexte"/>
      </w:pPr>
      <w:r>
        <w:rPr>
          <w:rFonts w:eastAsia="Times New Roman"/>
        </w:rPr>
        <w:t>La proposition consistant à attribuer des autorisations d’accès de très longue durée (40 ans), voire infinies, contre en général 15 à 20 ans actuellement, n’apparaît ni justifiée ni pertinente. Elle constitue un effet d’aubaine considérable pour les opérateurs, mais risque également de nuire considérablement au dialogue sur l’aménagement du territoire et l’investissement ;</w:t>
      </w:r>
    </w:p>
    <w:p w:rsidR="00475A29" w:rsidP="00E212D2" w:rsidRDefault="00475A29" w14:paraId="00E02AC6" w14:textId="77777777">
      <w:pPr>
        <w:pStyle w:val="LoiTexte"/>
      </w:pPr>
      <w:r>
        <w:rPr>
          <w:rFonts w:eastAsia="Times New Roman"/>
        </w:rPr>
        <w:t>La proposition de création d’un « passeport unique », pour les opérateurs de télécommunications souhaitant exercer leurs activités dans plusieurs États membres, est contre</w:t>
      </w:r>
      <w:r>
        <w:rPr>
          <w:rFonts w:eastAsia="Times New Roman"/>
        </w:rPr>
        <w:noBreakHyphen/>
        <w:t>productive et contraire, sous plusieurs aspects, aux principes de subsidiarité et de proportionnalité. Elle conduirait en effet à rendre compétent un seul régulateur national dans n’importe quel État membre pour vérifier et contrôler qu’un opérateur de télécommunications remplit ses obligations dans l’ensemble des pays de l’Union européenne dans lequel il exerce ses activités ;</w:t>
      </w:r>
    </w:p>
    <w:p w:rsidR="00475A29" w:rsidP="00E212D2" w:rsidRDefault="00475A29" w14:paraId="00E02AC7" w14:textId="77777777">
      <w:pPr>
        <w:pStyle w:val="LoiTexte"/>
      </w:pPr>
      <w:r>
        <w:rPr>
          <w:rFonts w:eastAsia="Times New Roman"/>
        </w:rPr>
        <w:t>Très peu opérationnelle pour les régulateurs nationaux qui seraient chargés de contrôler les obligations d’autres États membres, cette proposition pourrait avoir des effets délétères sur le contrôle des obligations en matière de numérotation des services d’urgence, qui demeurent – en raison de leur nature – des services à compétence nationale ;</w:t>
      </w:r>
    </w:p>
    <w:p w:rsidR="00475A29" w:rsidP="00E212D2" w:rsidRDefault="00475A29" w14:paraId="00E02AC8" w14:textId="77777777">
      <w:pPr>
        <w:pStyle w:val="LoiTexte"/>
      </w:pPr>
      <w:r>
        <w:rPr>
          <w:rFonts w:eastAsia="Times New Roman"/>
        </w:rPr>
        <w:t>Cette proposition de « passeport unique » fait en outre peser un risque grave sur la capacité des États membres à prévoir et à faire respecter leur cadre national en matière d’interceptions légales. Or, celles</w:t>
      </w:r>
      <w:r>
        <w:rPr>
          <w:rFonts w:eastAsia="Times New Roman"/>
        </w:rPr>
        <w:noBreakHyphen/>
        <w:t>ci relèvent sans conteste de la sécurité nationale en application de l’article 4 du TUE ;</w:t>
      </w:r>
    </w:p>
    <w:p w:rsidR="00475A29" w:rsidP="00E212D2" w:rsidRDefault="00475A29" w14:paraId="00E02AC9" w14:textId="77777777">
      <w:pPr>
        <w:pStyle w:val="LoiTexte"/>
      </w:pPr>
      <w:r>
        <w:rPr>
          <w:rFonts w:eastAsia="Times New Roman"/>
        </w:rPr>
        <w:t>En étendant aux communications électroniques la logique de principe du pays d’origine risquant d’obérer gravement les capacités opérationnelles des services de renseignement nationaux, la proposition de « passeport unique » apparaît contraire au principe de subsidiarité ;</w:t>
      </w:r>
    </w:p>
    <w:p w:rsidR="00475A29" w:rsidP="00E212D2" w:rsidRDefault="00475A29" w14:paraId="00E02ACA" w14:textId="77777777">
      <w:pPr>
        <w:pStyle w:val="LoiTexte"/>
      </w:pPr>
      <w:r>
        <w:rPr>
          <w:rFonts w:eastAsia="Times New Roman"/>
        </w:rPr>
        <w:lastRenderedPageBreak/>
        <w:t>À tout le moins, pour tenir compte de ces observations, la base légale de la proposition de règlement devrait être élargie pour inclure l’article 4 du TUE, selon lequel la sécurité nationale est une compétence exclusive des États membres ;</w:t>
      </w:r>
    </w:p>
    <w:p w:rsidR="00475A29" w:rsidP="00E212D2" w:rsidRDefault="00475A29" w14:paraId="00E02ACB" w14:textId="77777777">
      <w:pPr>
        <w:pStyle w:val="LoiTexte"/>
      </w:pPr>
      <w:r>
        <w:rPr>
          <w:rFonts w:eastAsia="Times New Roman"/>
        </w:rPr>
        <w:t>En complément, le Sénat exhorte les institutions européennes à prévoir explicitement un mécanisme assurant une réserve de souveraineté pour les États membres leur permettant de préserver leur capacité à décider et faire appliquer, avec le concours des opérateurs, dans les cas prévus par leur droit national et dans le respect des principes démocratiques, des mesures d’interceptions légales ou de mises sur écoute ;</w:t>
      </w:r>
    </w:p>
    <w:p w:rsidR="00475A29" w:rsidP="00E212D2" w:rsidRDefault="00475A29" w14:paraId="00E02ACC" w14:textId="77777777">
      <w:pPr>
        <w:pStyle w:val="LoiTexte"/>
      </w:pPr>
      <w:r>
        <w:rPr>
          <w:rFonts w:eastAsia="Times New Roman"/>
        </w:rPr>
        <w:t>Concernant les services satellitaires, l’article 38 de la proposition de règlement prévoit que la Commission européenne peut prendre un acte d’exécution pour définir les modalités de rétention de données et d’interceptions légales en la matière. Cette proposition risque de rendre plus complexes les capacités d’interceptions des communications satellitaires par les services de renseignement nationaux et de restreindre ainsi leurs moyens opérationnels ;</w:t>
      </w:r>
    </w:p>
    <w:p w:rsidR="00475A29" w:rsidP="00E212D2" w:rsidRDefault="00475A29" w14:paraId="00E02ACD" w14:textId="77777777">
      <w:pPr>
        <w:pStyle w:val="LoiTexte"/>
      </w:pPr>
      <w:r>
        <w:rPr>
          <w:rFonts w:eastAsia="Times New Roman"/>
        </w:rPr>
        <w:t>Les dispositions portant sur le spectre apparaissent trop larges quant à leur périmètre d’application. Elles doivent être clarifiées afin de garantir qu’elles ne trouveront pas à s’appliquer au</w:t>
      </w:r>
      <w:r>
        <w:rPr>
          <w:rFonts w:eastAsia="Times New Roman"/>
        </w:rPr>
        <w:noBreakHyphen/>
        <w:t>delà du spectre utilisé par les communications électroniques, en prévoyant explicitement une exclusion des activités militaires, de défense et de sécurité nationale. À défaut, la proposition de règlement risque de soulever un problème majeur de souveraineté si la Commission européenne devenait compétente en matière de conditions d’utilisation du patrimoine de fréquences réservé aux usages régaliens et militaires (défense, sécurité publique…) ;</w:t>
      </w:r>
    </w:p>
    <w:p w:rsidR="00475A29" w:rsidP="00E212D2" w:rsidRDefault="00475A29" w14:paraId="00E02ACE" w14:textId="77777777">
      <w:pPr>
        <w:pStyle w:val="LoiTexte"/>
      </w:pPr>
      <w:r>
        <w:rPr>
          <w:rFonts w:eastAsia="Times New Roman"/>
        </w:rPr>
        <w:t>La prise en compte de l’enjeu de résilience des réseaux de télécommunications face aux risques cyber et de catastrophes naturelles est nécessaire et doit être saluée. Toutefois, il n’apparaît pas pertinent que l’ODN soit chargé seul de rédiger un « </w:t>
      </w:r>
      <w:r>
        <w:rPr>
          <w:rFonts w:eastAsia="Times New Roman"/>
          <w:i/>
        </w:rPr>
        <w:t>plan de préparation de l’Union pour les infrastructures numériques</w:t>
      </w:r>
      <w:r>
        <w:rPr>
          <w:rFonts w:eastAsia="Times New Roman"/>
        </w:rPr>
        <w:t> », sans l’appui des régulateurs nationaux qui concentrent pourtant l’expertise de terrain ;</w:t>
      </w:r>
    </w:p>
    <w:p w:rsidR="00475A29" w:rsidP="00E212D2" w:rsidRDefault="00475A29" w14:paraId="00E02ACF" w14:textId="77777777">
      <w:pPr>
        <w:pStyle w:val="LoiTexte"/>
      </w:pPr>
      <w:r>
        <w:rPr>
          <w:rFonts w:eastAsia="Times New Roman"/>
        </w:rPr>
        <w:t>L’ODN, c’est</w:t>
      </w:r>
      <w:r>
        <w:rPr>
          <w:rFonts w:eastAsia="Times New Roman"/>
        </w:rPr>
        <w:noBreakHyphen/>
        <w:t>à-dire en réalité la Commission européenne, pourrait être appelé dans ce cadre à requérir des États membres des données sensibles, du point de vue de leur sûreté et de leur sécurité nationales, afin d’effectuer une cartographie des risques au niveau européen ; dès lors, cette proposition de règlement soulève des difficultés sur le plan du respect du principe de subsidiarité ;</w:t>
      </w:r>
    </w:p>
    <w:p w:rsidR="00475A29" w:rsidP="00E212D2" w:rsidRDefault="00475A29" w14:paraId="00E02AD0" w14:textId="77777777">
      <w:pPr>
        <w:pStyle w:val="LoiTexte"/>
      </w:pPr>
      <w:r>
        <w:rPr>
          <w:rFonts w:eastAsia="Times New Roman"/>
        </w:rPr>
        <w:lastRenderedPageBreak/>
        <w:t>La Commission européenne doit veiller à la bonne coordination des mesures proposées en matière de cybersécurité avec les autres textes déjà adoptés ou en cours d’examen en la matière, notamment la proposition de règlement du Parlement européen et du Conseil relatif à l’Agence de l’Union européenne pour la cybersécurité (</w:t>
      </w:r>
      <w:r>
        <w:rPr>
          <w:rFonts w:eastAsia="Times New Roman"/>
          <w:i/>
        </w:rPr>
        <w:t>ENISA</w:t>
      </w:r>
      <w:r>
        <w:rPr>
          <w:rFonts w:eastAsia="Times New Roman"/>
        </w:rPr>
        <w:t>), au cadre européen de certification de cybersécurité et à la sécurité de la chaîne d’approvisionnement des TIC, et abrogeant le règlement (UE) 2019/881 (règlement sur la cybersécurité 2) COM(2026) 11 final. Il n’est pas souhaitable d’ajouter des mesures sectorielles redondantes aux règles horizontales existantes, sans valeur ajoutée au regard de l’objectif poursuivi, voire risquant de créer des incertitudes juridiques pour les opérateurs de télécommunications ;</w:t>
      </w:r>
    </w:p>
    <w:p w:rsidR="00475A29" w:rsidP="00E212D2" w:rsidRDefault="00475A29" w14:paraId="00E02AD1" w14:textId="77777777">
      <w:pPr>
        <w:pStyle w:val="LoiTexte"/>
      </w:pPr>
      <w:r>
        <w:rPr>
          <w:rFonts w:eastAsia="Times New Roman"/>
        </w:rPr>
        <w:t>Le Sénat appelle donc les institutions européennes à assurer la cohérence entre les trois grandes initiatives européennes en cours en la matière : la proposition de règlement COM(2026) 16 final précitée – sur les réseaux numériques, objet de la présente résolution –, la proposition de règlement COM(2026) 11 final précitée – de révision du règlement sur la cybersécurité – et la proposition de règlement du Parlement européen et du Conseil relatif à la procédure d’autorisation des systèmes fournissant des serv</w:t>
      </w:r>
      <w:r>
        <w:rPr>
          <w:rFonts w:eastAsia="Times New Roman"/>
        </w:rPr>
        <w:t>ices mobiles par satellite utilisant la bande de fréquences harmonisée de 2 GHz et abrogeant la décision n° 626/2008/CE COM(2026) 311 final ;</w:t>
      </w:r>
    </w:p>
    <w:p w:rsidR="00475A29" w:rsidP="00E212D2" w:rsidRDefault="00475A29" w14:paraId="00E02AD2" w14:textId="77777777">
      <w:pPr>
        <w:pStyle w:val="LoiTexte"/>
      </w:pPr>
      <w:r>
        <w:rPr>
          <w:rFonts w:eastAsia="Times New Roman"/>
        </w:rPr>
        <w:t>En conséquence, pour ces motifs, le Sénat considère que la proposition de règlement COM(2026) 16 précitée n’est pas conforme à l’article 5 du TUE ainsi qu’au protocole n° 2 sur l’application des principes de subsidiarité et de proportionnalité annexé au TUE et au TFUE.</w:t>
      </w:r>
    </w:p>
    <w:p w:rsidRPr="00E212D2" w:rsidR="00475A29" w:rsidP="00E212D2" w:rsidRDefault="00475A29" w14:paraId="00E02AD3" w14:textId="77777777">
      <w:pPr>
        <w:keepNext/>
        <w:keepLines/>
        <w:spacing w:before="480" w:after="240"/>
        <w:ind w:firstLine="560" w:firstLineChars="200"/>
        <w:rPr>
          <w:rFonts w:eastAsia="Times New Roman"/>
          <w:i/>
          <w:sz w:val="28"/>
          <w:lang w:val="fr-BE"/>
        </w:rPr>
      </w:pPr>
    </w:p>
    <w:p w:rsidRPr="00E212D2" w:rsidR="00475A29" w:rsidP="00E212D2" w:rsidRDefault="00475A29" w14:paraId="00E02AD4" w14:textId="77777777">
      <w:pPr>
        <w:keepNext/>
        <w:keepLines/>
        <w:spacing w:before="480" w:after="240"/>
        <w:ind w:firstLine="560" w:firstLineChars="200"/>
        <w:rPr>
          <w:rFonts w:eastAsia="Times New Roman"/>
          <w:i/>
          <w:sz w:val="28"/>
          <w:lang w:val="fr-BE"/>
        </w:rPr>
      </w:pPr>
    </w:p>
    <w:p w:rsidRPr="00E212D2" w:rsidR="00475A29" w:rsidP="00E212D2" w:rsidRDefault="00475A29" w14:paraId="00E02AD5" w14:textId="77777777">
      <w:pPr>
        <w:keepNext/>
        <w:keepLines/>
        <w:spacing w:before="480" w:after="240"/>
        <w:ind w:firstLine="560" w:firstLineChars="200"/>
        <w:rPr>
          <w:lang w:val="fr-BE"/>
        </w:rPr>
      </w:pPr>
      <w:r w:rsidRPr="00E212D2">
        <w:rPr>
          <w:rFonts w:eastAsia="Times New Roman"/>
          <w:i/>
          <w:sz w:val="28"/>
          <w:lang w:val="fr-BE"/>
        </w:rPr>
        <w:t xml:space="preserve">Devenue résolution du Sénat le 15 </w:t>
      </w:r>
      <w:r w:rsidRPr="00E212D2">
        <w:rPr>
          <w:rFonts w:eastAsia="Times New Roman"/>
          <w:i/>
          <w:sz w:val="28"/>
          <w:lang w:val="fr-BE"/>
        </w:rPr>
        <w:t>juin 2026.</w:t>
      </w:r>
    </w:p>
    <w:p w:rsidR="00475A29" w:rsidP="00E212D2" w:rsidRDefault="00475A29" w14:paraId="00E02AD6" w14:textId="77777777">
      <w:pPr>
        <w:keepNext/>
        <w:keepLines/>
        <w:spacing w:before="360"/>
        <w:jc w:val="right"/>
      </w:pPr>
      <w:r>
        <w:rPr>
          <w:rFonts w:eastAsia="Times New Roman"/>
          <w:i/>
          <w:sz w:val="28"/>
        </w:rPr>
        <w:t xml:space="preserve">Le </w:t>
      </w:r>
      <w:proofErr w:type="spellStart"/>
      <w:r>
        <w:rPr>
          <w:rFonts w:eastAsia="Times New Roman"/>
          <w:i/>
          <w:sz w:val="28"/>
        </w:rPr>
        <w:t>Président</w:t>
      </w:r>
      <w:proofErr w:type="spellEnd"/>
      <w:r>
        <w:rPr>
          <w:rFonts w:eastAsia="Times New Roman"/>
          <w:i/>
          <w:sz w:val="28"/>
        </w:rPr>
        <w:t>,</w:t>
      </w:r>
    </w:p>
    <w:p w:rsidR="00475A29" w:rsidP="00E212D2" w:rsidRDefault="00475A29" w14:paraId="00E02AD7" w14:textId="77777777">
      <w:pPr>
        <w:keepLines/>
        <w:spacing w:before="360"/>
        <w:jc w:val="right"/>
      </w:pPr>
      <w:proofErr w:type="spellStart"/>
      <w:r>
        <w:rPr>
          <w:rFonts w:eastAsia="Times New Roman"/>
          <w:i/>
          <w:sz w:val="28"/>
        </w:rPr>
        <w:t>Signé</w:t>
      </w:r>
      <w:proofErr w:type="spellEnd"/>
      <w:r>
        <w:rPr>
          <w:rFonts w:eastAsia="Times New Roman"/>
          <w:i/>
          <w:sz w:val="28"/>
        </w:rPr>
        <w:t xml:space="preserve"> : </w:t>
      </w:r>
      <w:r>
        <w:rPr>
          <w:rFonts w:eastAsia="Times New Roman"/>
          <w:sz w:val="28"/>
        </w:rPr>
        <w:t>Gérard LARCHER</w:t>
      </w:r>
    </w:p>
    <w:p w:rsidRPr="00E80D97" w:rsidR="00475A29" w:rsidP="00E212D2" w:rsidRDefault="00475A29" w14:paraId="00E02AD8" w14:textId="77777777">
      <w:pPr>
        <w:pStyle w:val="NoSpacing"/>
      </w:pPr>
    </w:p>
    <w:sectPr w:rsidRPr="00E80D97" w:rsidR="00E212D2" w:rsidSect="00E212D2">
      <w:headerReference w:type="even" r:id="R4bba08b6d1734d12"/>
      <w:headerReference w:type="default" r:id="R12668a71ada444a6"/>
      <w:footerReference w:type="even" r:id="R0255dc187d2a40e3"/>
      <w:footerReference w:type="default" r:id="Rb5714d18b0fb4f57"/>
      <w:headerReference w:type="first" r:id="Rbf73f3eaf55f4739"/>
      <w:footerReference w:type="first" r:id="Rfd13eac396b44a35"/>
      <w:pgSz w:w="11900" w:h="16840"/>
      <w:pgMar w:top="1587" w:right="1700" w:bottom="1700" w:left="1700"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0">
    <w:p w:rsidR="00144FF1" w:rsidP="00A43C50" w:rsidRDefault="00144FF1" w14:paraId="65BA9E24" w14:textId="77777777">
      <w:r>
        <w:separator/>
      </w:r>
    </w:p>
  </w:endnote>
  <w:endnote w:type="continuationSeparator" w:id="1">
    <w:p w:rsidR="00144FF1" w:rsidP="00A43C50" w:rsidRDefault="00144FF1" w14:paraId="2F922D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016"/>
      <w:gridCol w:w="1234"/>
      <w:gridCol w:w="1063"/>
      <w:gridCol w:w="177"/>
      <w:gridCol w:w="1261"/>
      <w:gridCol w:w="748"/>
      <w:gridCol w:w="1001"/>
    </w:tblGrid>
    <w:tr w:rsidRPr="00D94637" w:rsidR="004F54B2" w:rsidTr="00D94637" w14:paraId="00E02B36" w14:textId="77777777">
      <w:trPr>
        <w:jc w:val="center"/>
      </w:trPr>
      <w:tc>
        <w:tcPr>
          <w:tcW w:w="5000" w:type="pct"/>
          <w:gridSpan w:val="7"/>
          <w:shd w:val="clear" w:color="auto" w:fill="auto"/>
          <w:tcMar>
            <w:top w:w="57" w:type="dxa"/>
          </w:tcMar>
        </w:tcPr>
        <w:p w:rsidRPr="00D94637" w:rsidR="00475A29" w:rsidP="00D94637" w:rsidRDefault="00475A29" w14:paraId="00E02B35" w14:textId="77777777">
          <w:pPr>
            <w:pStyle w:val="FooterText"/>
            <w:pBdr>
              <w:top w:val="single" w:color="auto" w:sz="4" w:space="1"/>
            </w:pBdr>
            <w:spacing w:before="200"/>
            <w:rPr>
              <w:sz w:val="2"/>
              <w:szCs w:val="2"/>
            </w:rPr>
          </w:pPr>
        </w:p>
      </w:tc>
    </w:tr>
    <w:tr w:rsidRPr="00B310DC" w:rsidR="004F54B2" w:rsidTr="00842D7E" w14:paraId="00E02B3B" w14:textId="77777777">
      <w:trPr>
        <w:jc w:val="center"/>
      </w:trPr>
      <w:tc>
        <w:tcPr>
          <w:tcW w:w="2500" w:type="pct"/>
          <w:gridSpan w:val="2"/>
          <w:shd w:val="clear" w:color="auto" w:fill="auto"/>
          <w:tcMar>
            <w:top w:w="0" w:type="dxa"/>
          </w:tcMar>
        </w:tcPr>
        <w:p w:rsidRPr="00AD7BF2" w:rsidR="00475A29" w:rsidP="004F54B2" w:rsidRDefault="00475A29" w14:paraId="00E02B37" w14:textId="77777777">
          <w:pPr>
            <w:pStyle w:val="FooterText"/>
          </w:pPr>
          <w:r>
            <w:t>10913/26</w:t>
          </w:r>
          <w:r w:rsidRPr="002511D8">
            <w:t xml:space="preserve"> </w:t>
          </w:r>
        </w:p>
      </w:tc>
      <w:tc>
        <w:tcPr>
          <w:tcW w:w="625" w:type="pct"/>
          <w:shd w:val="clear" w:color="auto" w:fill="auto"/>
          <w:tcMar>
            <w:top w:w="0" w:type="dxa"/>
          </w:tcMar>
        </w:tcPr>
        <w:p w:rsidRPr="00AD7BF2" w:rsidR="00475A29" w:rsidP="00D94637" w:rsidRDefault="00475A29" w14:paraId="00E02B38" w14:textId="77777777">
          <w:pPr>
            <w:pStyle w:val="FooterText"/>
            <w:jc w:val="center"/>
          </w:pPr>
        </w:p>
      </w:tc>
      <w:tc>
        <w:tcPr>
          <w:tcW w:w="1286" w:type="pct"/>
          <w:gridSpan w:val="3"/>
          <w:shd w:val="clear" w:color="auto" w:fill="auto"/>
          <w:tcMar>
            <w:top w:w="0" w:type="dxa"/>
          </w:tcMar>
        </w:tcPr>
        <w:p w:rsidRPr="002511D8" w:rsidR="00475A29" w:rsidP="00D94637" w:rsidRDefault="00475A29" w14:paraId="00E02B39" w14:textId="77777777">
          <w:pPr>
            <w:pStyle w:val="FooterText"/>
            <w:jc w:val="center"/>
          </w:pPr>
        </w:p>
      </w:tc>
      <w:tc>
        <w:tcPr>
          <w:tcW w:w="589" w:type="pct"/>
          <w:shd w:val="clear" w:color="auto" w:fill="auto"/>
          <w:tcMar>
            <w:top w:w="0" w:type="dxa"/>
          </w:tcMar>
        </w:tcPr>
        <w:p w:rsidRPr="00B310DC" w:rsidR="00475A29" w:rsidP="00D94637" w:rsidRDefault="00475A29" w14:paraId="00E02B3A" w14:textId="77777777">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00E02B40" w14:textId="77777777">
      <w:trPr>
        <w:jc w:val="center"/>
      </w:trPr>
      <w:tc>
        <w:tcPr>
          <w:tcW w:w="1774" w:type="pct"/>
          <w:shd w:val="clear" w:color="auto" w:fill="auto"/>
        </w:tcPr>
        <w:p w:rsidRPr="00AD7BF2" w:rsidR="00475A29" w:rsidP="00D94637" w:rsidRDefault="00475A29" w14:paraId="00E02B3C" w14:textId="77777777">
          <w:pPr>
            <w:pStyle w:val="FooterText"/>
            <w:spacing w:before="40"/>
          </w:pPr>
        </w:p>
      </w:tc>
      <w:tc>
        <w:tcPr>
          <w:tcW w:w="1455" w:type="pct"/>
          <w:gridSpan w:val="3"/>
          <w:shd w:val="clear" w:color="auto" w:fill="auto"/>
        </w:tcPr>
        <w:p w:rsidRPr="00AD7BF2" w:rsidR="00475A29" w:rsidP="00D204D6" w:rsidRDefault="00475A29" w14:paraId="00E02B3D" w14:textId="77777777">
          <w:pPr>
            <w:pStyle w:val="FooterText"/>
            <w:spacing w:before="40"/>
            <w:jc w:val="center"/>
          </w:pPr>
          <w:r>
            <w:t>TREE.2.B</w:t>
          </w:r>
        </w:p>
      </w:tc>
      <w:tc>
        <w:tcPr>
          <w:tcW w:w="742" w:type="pct"/>
          <w:shd w:val="clear" w:color="auto" w:fill="auto"/>
        </w:tcPr>
        <w:p w:rsidRPr="00D94637" w:rsidR="00475A29" w:rsidP="002F0099" w:rsidRDefault="00475A29" w14:paraId="00E02B3E" w14:textId="77777777">
          <w:pPr>
            <w:pStyle w:val="FooterText"/>
            <w:jc w:val="center"/>
            <w:rPr>
              <w:b/>
              <w:position w:val="-4"/>
              <w:sz w:val="36"/>
            </w:rPr>
          </w:pPr>
        </w:p>
      </w:tc>
      <w:tc>
        <w:tcPr>
          <w:tcW w:w="1029" w:type="pct"/>
          <w:gridSpan w:val="2"/>
          <w:shd w:val="clear" w:color="auto" w:fill="auto"/>
        </w:tcPr>
        <w:p w:rsidRPr="00695BAF" w:rsidR="00475A29" w:rsidP="00D94637" w:rsidRDefault="00475A29" w14:paraId="00E02B3F" w14:textId="77777777">
          <w:pPr>
            <w:pStyle w:val="FooterText"/>
            <w:jc w:val="right"/>
            <w:rPr>
              <w:caps/>
              <w:spacing w:val="-20"/>
              <w:sz w:val="16"/>
            </w:rPr>
          </w:pPr>
          <w:r>
            <w:rPr>
              <w:b/>
              <w:caps/>
              <w:spacing w:val="-20"/>
              <w:position w:val="-4"/>
              <w:sz w:val="36"/>
            </w:rPr>
            <w:t>EN‌/FR</w:t>
          </w:r>
        </w:p>
      </w:tc>
    </w:tr>
  </w:tbl>
  <w:p w:rsidR="00475A29" w:rsidRDefault="00475A29" w14:paraId="00E02B41" w14:textId="77777777">
    <w:pPr>
      <w:pStyle w:val="FooterCouncil"/>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016"/>
      <w:gridCol w:w="1234"/>
      <w:gridCol w:w="1063"/>
      <w:gridCol w:w="177"/>
      <w:gridCol w:w="1261"/>
      <w:gridCol w:w="748"/>
      <w:gridCol w:w="1001"/>
    </w:tblGrid>
    <w:tr w:rsidRPr="00D94637" w:rsidR="004F54B2" w:rsidTr="00D94637" w14:paraId="00E02B43" w14:textId="77777777">
      <w:trPr>
        <w:jc w:val="center"/>
      </w:trPr>
      <w:tc>
        <w:tcPr>
          <w:tcW w:w="5000" w:type="pct"/>
          <w:gridSpan w:val="7"/>
          <w:shd w:val="clear" w:color="auto" w:fill="auto"/>
          <w:tcMar>
            <w:top w:w="57" w:type="dxa"/>
          </w:tcMar>
        </w:tcPr>
        <w:p w:rsidRPr="00D94637" w:rsidR="00475A29" w:rsidP="00D94637" w:rsidRDefault="00475A29" w14:paraId="00E02B42" w14:textId="77777777">
          <w:pPr>
            <w:pStyle w:val="FooterText"/>
            <w:pBdr>
              <w:top w:val="single" w:color="auto" w:sz="4" w:space="1"/>
            </w:pBdr>
            <w:spacing w:before="200"/>
            <w:rPr>
              <w:sz w:val="2"/>
              <w:szCs w:val="2"/>
            </w:rPr>
          </w:pPr>
        </w:p>
      </w:tc>
    </w:tr>
    <w:tr w:rsidRPr="00B310DC" w:rsidR="004F54B2" w:rsidTr="00842D7E" w14:paraId="00E02B48" w14:textId="77777777">
      <w:trPr>
        <w:jc w:val="center"/>
      </w:trPr>
      <w:tc>
        <w:tcPr>
          <w:tcW w:w="2500" w:type="pct"/>
          <w:gridSpan w:val="2"/>
          <w:shd w:val="clear" w:color="auto" w:fill="auto"/>
          <w:tcMar>
            <w:top w:w="0" w:type="dxa"/>
          </w:tcMar>
        </w:tcPr>
        <w:p w:rsidRPr="00AD7BF2" w:rsidR="00475A29" w:rsidP="004F54B2" w:rsidRDefault="00475A29" w14:paraId="00E02B44" w14:textId="77777777">
          <w:pPr>
            <w:pStyle w:val="FooterText"/>
          </w:pPr>
          <w:r>
            <w:t>10913/26</w:t>
          </w:r>
          <w:r w:rsidRPr="002511D8">
            <w:t xml:space="preserve"> </w:t>
          </w:r>
        </w:p>
      </w:tc>
      <w:tc>
        <w:tcPr>
          <w:tcW w:w="625" w:type="pct"/>
          <w:shd w:val="clear" w:color="auto" w:fill="auto"/>
          <w:tcMar>
            <w:top w:w="0" w:type="dxa"/>
          </w:tcMar>
        </w:tcPr>
        <w:p w:rsidRPr="00AD7BF2" w:rsidR="00475A29" w:rsidP="00D94637" w:rsidRDefault="00475A29" w14:paraId="00E02B45" w14:textId="77777777">
          <w:pPr>
            <w:pStyle w:val="FooterText"/>
            <w:jc w:val="center"/>
          </w:pPr>
        </w:p>
      </w:tc>
      <w:tc>
        <w:tcPr>
          <w:tcW w:w="1286" w:type="pct"/>
          <w:gridSpan w:val="3"/>
          <w:shd w:val="clear" w:color="auto" w:fill="auto"/>
          <w:tcMar>
            <w:top w:w="0" w:type="dxa"/>
          </w:tcMar>
        </w:tcPr>
        <w:p w:rsidRPr="002511D8" w:rsidR="00475A29" w:rsidP="00D94637" w:rsidRDefault="00475A29" w14:paraId="00E02B46" w14:textId="77777777">
          <w:pPr>
            <w:pStyle w:val="FooterText"/>
            <w:jc w:val="center"/>
          </w:pPr>
        </w:p>
      </w:tc>
      <w:tc>
        <w:tcPr>
          <w:tcW w:w="589" w:type="pct"/>
          <w:shd w:val="clear" w:color="auto" w:fill="auto"/>
          <w:tcMar>
            <w:top w:w="0" w:type="dxa"/>
          </w:tcMar>
        </w:tcPr>
        <w:p w:rsidRPr="00B310DC" w:rsidR="00475A29" w:rsidP="00D94637" w:rsidRDefault="00475A29" w14:paraId="00E02B47" w14:textId="77777777">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00E02B4D" w14:textId="77777777">
      <w:trPr>
        <w:jc w:val="center"/>
      </w:trPr>
      <w:tc>
        <w:tcPr>
          <w:tcW w:w="1774" w:type="pct"/>
          <w:shd w:val="clear" w:color="auto" w:fill="auto"/>
        </w:tcPr>
        <w:p w:rsidRPr="00AD7BF2" w:rsidR="00475A29" w:rsidP="00D94637" w:rsidRDefault="00475A29" w14:paraId="00E02B49" w14:textId="77777777">
          <w:pPr>
            <w:pStyle w:val="FooterText"/>
            <w:spacing w:before="40"/>
          </w:pPr>
        </w:p>
      </w:tc>
      <w:tc>
        <w:tcPr>
          <w:tcW w:w="1455" w:type="pct"/>
          <w:gridSpan w:val="3"/>
          <w:shd w:val="clear" w:color="auto" w:fill="auto"/>
        </w:tcPr>
        <w:p w:rsidRPr="00AD7BF2" w:rsidR="00475A29" w:rsidP="00D204D6" w:rsidRDefault="00475A29" w14:paraId="00E02B4A" w14:textId="77777777">
          <w:pPr>
            <w:pStyle w:val="FooterText"/>
            <w:spacing w:before="40"/>
            <w:jc w:val="center"/>
          </w:pPr>
          <w:r>
            <w:t>TREE.2.B</w:t>
          </w:r>
        </w:p>
      </w:tc>
      <w:tc>
        <w:tcPr>
          <w:tcW w:w="742" w:type="pct"/>
          <w:shd w:val="clear" w:color="auto" w:fill="auto"/>
        </w:tcPr>
        <w:p w:rsidRPr="00D94637" w:rsidR="00475A29" w:rsidP="002F0099" w:rsidRDefault="00475A29" w14:paraId="00E02B4B" w14:textId="77777777">
          <w:pPr>
            <w:pStyle w:val="FooterText"/>
            <w:jc w:val="center"/>
            <w:rPr>
              <w:b/>
              <w:position w:val="-4"/>
              <w:sz w:val="36"/>
            </w:rPr>
          </w:pPr>
        </w:p>
      </w:tc>
      <w:tc>
        <w:tcPr>
          <w:tcW w:w="1029" w:type="pct"/>
          <w:gridSpan w:val="2"/>
          <w:shd w:val="clear" w:color="auto" w:fill="auto"/>
        </w:tcPr>
        <w:p w:rsidRPr="00695BAF" w:rsidR="00475A29" w:rsidP="00D94637" w:rsidRDefault="00475A29" w14:paraId="00E02B4C" w14:textId="77777777">
          <w:pPr>
            <w:pStyle w:val="FooterText"/>
            <w:jc w:val="right"/>
            <w:rPr>
              <w:caps/>
              <w:spacing w:val="-20"/>
              <w:sz w:val="16"/>
            </w:rPr>
          </w:pPr>
          <w:r>
            <w:rPr>
              <w:b/>
              <w:caps/>
              <w:spacing w:val="-20"/>
              <w:position w:val="-4"/>
              <w:sz w:val="36"/>
            </w:rPr>
            <w:t>EN‌/FR</w:t>
          </w:r>
        </w:p>
      </w:tc>
    </w:tr>
  </w:tbl>
  <w:p w:rsidR="00475A29" w:rsidRDefault="00475A29" w14:paraId="00E02B4E" w14:textId="77777777">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016"/>
      <w:gridCol w:w="1234"/>
      <w:gridCol w:w="1063"/>
      <w:gridCol w:w="177"/>
      <w:gridCol w:w="1261"/>
      <w:gridCol w:w="748"/>
      <w:gridCol w:w="1001"/>
    </w:tblGrid>
    <w:tr w:rsidRPr="00D94637" w:rsidR="004F54B2" w:rsidTr="00D94637" w14:paraId="00E02B51" w14:textId="77777777">
      <w:trPr>
        <w:jc w:val="center"/>
      </w:trPr>
      <w:tc>
        <w:tcPr>
          <w:tcW w:w="5000" w:type="pct"/>
          <w:gridSpan w:val="7"/>
          <w:shd w:val="clear" w:color="auto" w:fill="auto"/>
          <w:tcMar>
            <w:top w:w="57" w:type="dxa"/>
          </w:tcMar>
        </w:tcPr>
        <w:p w:rsidRPr="00D94637" w:rsidR="00475A29" w:rsidP="00D94637" w:rsidRDefault="00475A29" w14:paraId="00E02B50" w14:textId="77777777">
          <w:pPr>
            <w:pStyle w:val="FooterText"/>
            <w:pBdr>
              <w:top w:val="single" w:color="auto" w:sz="4" w:space="1"/>
            </w:pBdr>
            <w:spacing w:before="200"/>
            <w:rPr>
              <w:sz w:val="2"/>
              <w:szCs w:val="2"/>
            </w:rPr>
          </w:pPr>
        </w:p>
      </w:tc>
    </w:tr>
    <w:tr w:rsidRPr="00B310DC" w:rsidR="004F54B2" w:rsidTr="00842D7E" w14:paraId="00E02B56" w14:textId="77777777">
      <w:trPr>
        <w:jc w:val="center"/>
      </w:trPr>
      <w:tc>
        <w:tcPr>
          <w:tcW w:w="2500" w:type="pct"/>
          <w:gridSpan w:val="2"/>
          <w:shd w:val="clear" w:color="auto" w:fill="auto"/>
          <w:tcMar>
            <w:top w:w="0" w:type="dxa"/>
          </w:tcMar>
        </w:tcPr>
        <w:p w:rsidRPr="00AD7BF2" w:rsidR="00475A29" w:rsidP="004F54B2" w:rsidRDefault="00475A29" w14:paraId="00E02B52" w14:textId="77777777">
          <w:pPr>
            <w:pStyle w:val="FooterText"/>
          </w:pPr>
          <w:r>
            <w:t>10913/26</w:t>
          </w:r>
          <w:r w:rsidRPr="002511D8">
            <w:t xml:space="preserve"> </w:t>
          </w:r>
        </w:p>
      </w:tc>
      <w:tc>
        <w:tcPr>
          <w:tcW w:w="625" w:type="pct"/>
          <w:shd w:val="clear" w:color="auto" w:fill="auto"/>
          <w:tcMar>
            <w:top w:w="0" w:type="dxa"/>
          </w:tcMar>
        </w:tcPr>
        <w:p w:rsidRPr="00AD7BF2" w:rsidR="00475A29" w:rsidP="00D94637" w:rsidRDefault="00475A29" w14:paraId="00E02B53" w14:textId="77777777">
          <w:pPr>
            <w:pStyle w:val="FooterText"/>
            <w:jc w:val="center"/>
          </w:pPr>
        </w:p>
      </w:tc>
      <w:tc>
        <w:tcPr>
          <w:tcW w:w="1286" w:type="pct"/>
          <w:gridSpan w:val="3"/>
          <w:shd w:val="clear" w:color="auto" w:fill="auto"/>
          <w:tcMar>
            <w:top w:w="0" w:type="dxa"/>
          </w:tcMar>
        </w:tcPr>
        <w:p w:rsidRPr="002511D8" w:rsidR="00475A29" w:rsidP="00D94637" w:rsidRDefault="00475A29" w14:paraId="00E02B54" w14:textId="77777777">
          <w:pPr>
            <w:pStyle w:val="FooterText"/>
            <w:jc w:val="center"/>
          </w:pPr>
        </w:p>
      </w:tc>
      <w:tc>
        <w:tcPr>
          <w:tcW w:w="589" w:type="pct"/>
          <w:shd w:val="clear" w:color="auto" w:fill="auto"/>
          <w:tcMar>
            <w:top w:w="0" w:type="dxa"/>
          </w:tcMar>
        </w:tcPr>
        <w:p w:rsidRPr="00B310DC" w:rsidR="00475A29" w:rsidP="00D94637" w:rsidRDefault="00475A29" w14:paraId="00E02B55" w14:textId="77777777">
          <w:pPr>
            <w:pStyle w:val="FooterText"/>
            <w:jc w:val="right"/>
          </w:pPr>
        </w:p>
      </w:tc>
    </w:tr>
    <w:tr w:rsidRPr="00D94637" w:rsidR="004F54B2" w:rsidTr="00430704" w14:paraId="00E02B5B" w14:textId="77777777">
      <w:trPr>
        <w:jc w:val="center"/>
      </w:trPr>
      <w:tc>
        <w:tcPr>
          <w:tcW w:w="1774" w:type="pct"/>
          <w:shd w:val="clear" w:color="auto" w:fill="auto"/>
        </w:tcPr>
        <w:p w:rsidRPr="00AD7BF2" w:rsidR="00475A29" w:rsidP="00D94637" w:rsidRDefault="00475A29" w14:paraId="00E02B57" w14:textId="77777777">
          <w:pPr>
            <w:pStyle w:val="FooterText"/>
            <w:spacing w:before="40"/>
          </w:pPr>
        </w:p>
      </w:tc>
      <w:tc>
        <w:tcPr>
          <w:tcW w:w="1455" w:type="pct"/>
          <w:gridSpan w:val="3"/>
          <w:shd w:val="clear" w:color="auto" w:fill="auto"/>
        </w:tcPr>
        <w:p w:rsidRPr="00AD7BF2" w:rsidR="00475A29" w:rsidP="00D204D6" w:rsidRDefault="00475A29" w14:paraId="00E02B58" w14:textId="77777777">
          <w:pPr>
            <w:pStyle w:val="FooterText"/>
            <w:spacing w:before="40"/>
            <w:jc w:val="center"/>
          </w:pPr>
          <w:r>
            <w:t>TREE.2.B</w:t>
          </w:r>
        </w:p>
      </w:tc>
      <w:tc>
        <w:tcPr>
          <w:tcW w:w="742" w:type="pct"/>
          <w:shd w:val="clear" w:color="auto" w:fill="auto"/>
        </w:tcPr>
        <w:p w:rsidRPr="00D94637" w:rsidR="00475A29" w:rsidP="002F0099" w:rsidRDefault="00475A29" w14:paraId="00E02B59" w14:textId="77777777">
          <w:pPr>
            <w:pStyle w:val="FooterText"/>
            <w:jc w:val="center"/>
            <w:rPr>
              <w:b/>
              <w:position w:val="-4"/>
              <w:sz w:val="36"/>
            </w:rPr>
          </w:pPr>
        </w:p>
      </w:tc>
      <w:tc>
        <w:tcPr>
          <w:tcW w:w="1029" w:type="pct"/>
          <w:gridSpan w:val="2"/>
          <w:shd w:val="clear" w:color="auto" w:fill="auto"/>
        </w:tcPr>
        <w:p w:rsidRPr="00695BAF" w:rsidR="00475A29" w:rsidP="00D94637" w:rsidRDefault="00475A29" w14:paraId="00E02B5A" w14:textId="77777777">
          <w:pPr>
            <w:pStyle w:val="FooterText"/>
            <w:jc w:val="right"/>
            <w:rPr>
              <w:caps/>
              <w:spacing w:val="-20"/>
              <w:sz w:val="16"/>
            </w:rPr>
          </w:pPr>
          <w:r>
            <w:rPr>
              <w:b/>
              <w:caps/>
              <w:spacing w:val="-20"/>
              <w:position w:val="-4"/>
              <w:sz w:val="36"/>
            </w:rPr>
            <w:t>EN‌/FR</w:t>
          </w:r>
        </w:p>
      </w:tc>
    </w:tr>
  </w:tbl>
  <w:p w:rsidR="00475A29" w:rsidRDefault="00475A29" w14:paraId="00E02B5C" w14:textId="77777777">
    <w:pPr>
      <w:pStyle w:val="FooterCounci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10913</w:t>
          </w:r>
          <w:r w:rsidR="00A60547">
            <w:t>/</w:t>
          </w:r>
          <w:r>
            <w:t xml:space="preserve">26</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TREE.2.B</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EN‌/FR</w:t>
          </w:r>
        </w:p>
      </w:tc>
    </w:tr>
    <w:bookmarkEnd w:id="4"/>
  </w:tbl>
  <w:p>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10913</w:t>
          </w:r>
          <w:r w:rsidR="00A60547">
            <w:t>/</w:t>
          </w:r>
          <w:r>
            <w:t xml:space="preserve">26</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TREE.2.B</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EN‌/FR</w:t>
          </w:r>
        </w:p>
      </w:tc>
    </w:tr>
    <w:bookmarkEnd w:id="4"/>
  </w:tbl>
  <w:p>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75A29" w:rsidTr="00475A29" w14:paraId="724A4C29" w14:textId="77777777">
      <w:trPr>
        <w:jc w:val="center"/>
      </w:trPr>
      <w:tc>
        <w:tcPr>
          <w:tcW w:w="5000" w:type="pct"/>
          <w:gridSpan w:val="7"/>
          <w:shd w:val="clear" w:color="auto" w:fill="auto"/>
          <w:tcMar>
            <w:top w:w="57" w:type="dxa"/>
          </w:tcMar>
        </w:tcPr>
        <w:p w:rsidRPr="00D94637" w:rsidR="00475A29" w:rsidP="00D94637" w:rsidRDefault="00475A29" w14:paraId="4A31C473" w14:textId="77777777">
          <w:pPr>
            <w:pStyle w:val="FooterText"/>
            <w:pBdr>
              <w:top w:val="single" w:color="auto" w:sz="4" w:space="1"/>
            </w:pBdr>
            <w:spacing w:before="200"/>
            <w:rPr>
              <w:sz w:val="2"/>
              <w:szCs w:val="2"/>
            </w:rPr>
          </w:pPr>
          <w:bookmarkStart w:name="FOOTER_STANDARD" w:id="1"/>
        </w:p>
      </w:tc>
    </w:tr>
    <w:tr w:rsidRPr="00B310DC" w:rsidR="00475A29" w:rsidTr="00475A29" w14:paraId="7F2B0718" w14:textId="77777777">
      <w:trPr>
        <w:jc w:val="center"/>
      </w:trPr>
      <w:tc>
        <w:tcPr>
          <w:tcW w:w="2500" w:type="pct"/>
          <w:gridSpan w:val="2"/>
          <w:shd w:val="clear" w:color="auto" w:fill="auto"/>
          <w:tcMar>
            <w:top w:w="0" w:type="dxa"/>
          </w:tcMar>
        </w:tcPr>
        <w:p w:rsidRPr="00AD7BF2" w:rsidR="00475A29" w:rsidP="004F54B2" w:rsidRDefault="00475A29" w14:paraId="2758BFAD" w14:textId="7382720F">
          <w:pPr>
            <w:pStyle w:val="FooterText"/>
          </w:pPr>
          <w:r>
            <w:t>10913/26</w:t>
          </w:r>
          <w:r w:rsidRPr="002511D8">
            <w:t xml:space="preserve"> </w:t>
          </w:r>
        </w:p>
      </w:tc>
      <w:tc>
        <w:tcPr>
          <w:tcW w:w="625" w:type="pct"/>
          <w:shd w:val="clear" w:color="auto" w:fill="auto"/>
          <w:tcMar>
            <w:top w:w="0" w:type="dxa"/>
          </w:tcMar>
        </w:tcPr>
        <w:p w:rsidRPr="00AD7BF2" w:rsidR="00475A29" w:rsidP="00D94637" w:rsidRDefault="00475A29" w14:paraId="12BE1037" w14:textId="77777777">
          <w:pPr>
            <w:pStyle w:val="FooterText"/>
            <w:jc w:val="center"/>
          </w:pPr>
        </w:p>
      </w:tc>
      <w:tc>
        <w:tcPr>
          <w:tcW w:w="1286" w:type="pct"/>
          <w:gridSpan w:val="3"/>
          <w:shd w:val="clear" w:color="auto" w:fill="auto"/>
          <w:tcMar>
            <w:top w:w="0" w:type="dxa"/>
          </w:tcMar>
        </w:tcPr>
        <w:p w:rsidRPr="002511D8" w:rsidR="00475A29" w:rsidP="00D94637" w:rsidRDefault="00475A29" w14:paraId="2080C295" w14:textId="77777777">
          <w:pPr>
            <w:pStyle w:val="FooterText"/>
            <w:jc w:val="center"/>
          </w:pPr>
        </w:p>
      </w:tc>
      <w:tc>
        <w:tcPr>
          <w:tcW w:w="589" w:type="pct"/>
          <w:shd w:val="clear" w:color="auto" w:fill="auto"/>
          <w:tcMar>
            <w:top w:w="0" w:type="dxa"/>
          </w:tcMar>
        </w:tcPr>
        <w:p w:rsidRPr="00B310DC" w:rsidR="00475A29" w:rsidP="00D94637" w:rsidRDefault="00475A29" w14:paraId="06B5953D" w14:textId="69E98221">
          <w:pPr>
            <w:pStyle w:val="FooterText"/>
            <w:jc w:val="right"/>
          </w:pPr>
          <w:r>
            <w:fldChar w:fldCharType="begin"/>
          </w:r>
          <w:r>
            <w:instrText xml:space="preserve"> PAGE  \* MERGEFORMAT </w:instrText>
          </w:r>
          <w:r>
            <w:fldChar w:fldCharType="separate"/>
          </w:r>
          <w:r>
            <w:rPr>
              <w:noProof/>
            </w:rPr>
            <w:t>0</w:t>
          </w:r>
          <w:r>
            <w:fldChar w:fldCharType="end"/>
          </w:r>
        </w:p>
      </w:tc>
    </w:tr>
    <w:tr w:rsidRPr="00D94637" w:rsidR="00475A29" w:rsidTr="00475A29" w14:paraId="20EA9921" w14:textId="77777777">
      <w:trPr>
        <w:jc w:val="center"/>
      </w:trPr>
      <w:tc>
        <w:tcPr>
          <w:tcW w:w="1774" w:type="pct"/>
          <w:shd w:val="clear" w:color="auto" w:fill="auto"/>
        </w:tcPr>
        <w:p w:rsidRPr="00AD7BF2" w:rsidR="00475A29" w:rsidP="00D94637" w:rsidRDefault="00475A29" w14:paraId="30BC1DEE" w14:textId="05F9B4B0">
          <w:pPr>
            <w:pStyle w:val="FooterText"/>
            <w:spacing w:before="40"/>
          </w:pPr>
        </w:p>
      </w:tc>
      <w:tc>
        <w:tcPr>
          <w:tcW w:w="1455" w:type="pct"/>
          <w:gridSpan w:val="3"/>
          <w:shd w:val="clear" w:color="auto" w:fill="auto"/>
        </w:tcPr>
        <w:p w:rsidRPr="00AD7BF2" w:rsidR="00475A29" w:rsidP="00D204D6" w:rsidRDefault="00475A29" w14:paraId="3BD4F0D4" w14:textId="5945724D">
          <w:pPr>
            <w:pStyle w:val="FooterText"/>
            <w:spacing w:before="40"/>
            <w:jc w:val="center"/>
          </w:pPr>
          <w:r>
            <w:t>TREE.2.B</w:t>
          </w:r>
        </w:p>
      </w:tc>
      <w:tc>
        <w:tcPr>
          <w:tcW w:w="742" w:type="pct"/>
          <w:shd w:val="clear" w:color="auto" w:fill="auto"/>
        </w:tcPr>
        <w:p w:rsidRPr="00D94637" w:rsidR="00475A29" w:rsidP="002F0099" w:rsidRDefault="00475A29" w14:paraId="7327C5C9" w14:textId="4CE10208">
          <w:pPr>
            <w:pStyle w:val="FooterText"/>
            <w:jc w:val="center"/>
            <w:rPr>
              <w:b/>
              <w:position w:val="-4"/>
              <w:sz w:val="36"/>
            </w:rPr>
          </w:pPr>
        </w:p>
      </w:tc>
      <w:tc>
        <w:tcPr>
          <w:tcW w:w="1029" w:type="pct"/>
          <w:gridSpan w:val="2"/>
          <w:shd w:val="clear" w:color="auto" w:fill="auto"/>
        </w:tcPr>
        <w:p w:rsidRPr="00695BAF" w:rsidR="00475A29" w:rsidP="00D94637" w:rsidRDefault="00475A29" w14:paraId="57DBA8E1" w14:textId="0741DA21">
          <w:pPr>
            <w:pStyle w:val="FooterText"/>
            <w:jc w:val="right"/>
            <w:rPr>
              <w:caps/>
              <w:spacing w:val="-20"/>
              <w:sz w:val="16"/>
            </w:rPr>
          </w:pPr>
          <w:r>
            <w:rPr>
              <w:b/>
              <w:caps/>
              <w:spacing w:val="-20"/>
              <w:position w:val="-4"/>
              <w:sz w:val="36"/>
            </w:rPr>
            <w:t>EN‌/FR</w:t>
          </w:r>
        </w:p>
      </w:tc>
    </w:tr>
    <w:bookmarkEnd w:id="1"/>
  </w:tbl>
  <w:p w:rsidRPr="00475A29" w:rsidR="00C56B37" w:rsidP="00475A29" w:rsidRDefault="00C56B37" w14:paraId="00E02AFA" w14:textId="77777777">
    <w:pPr>
      <w:pStyle w:val="FooterCounci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10913</w:t>
          </w:r>
          <w:r w:rsidR="00A60547">
            <w:t>/</w:t>
          </w:r>
          <w:r>
            <w:t xml:space="preserve">26</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TREE.2.B</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EN‌/FR</w:t>
          </w:r>
        </w:p>
      </w:tc>
    </w:tr>
    <w:bookmarkEnd w:id="4"/>
  </w:tbl>
  <w:p>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10913</w:t>
          </w:r>
          <w:r w:rsidR="00A60547">
            <w:t>/</w:t>
          </w:r>
          <w:r>
            <w:t xml:space="preserve">26</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TREE.2.B</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EN‌/FR</w:t>
          </w:r>
        </w:p>
      </w:tc>
    </w:tr>
    <w:bookmarkEnd w:id="4"/>
  </w:tbl>
  <w:p>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016"/>
      <w:gridCol w:w="1234"/>
      <w:gridCol w:w="1063"/>
      <w:gridCol w:w="177"/>
      <w:gridCol w:w="1261"/>
      <w:gridCol w:w="748"/>
      <w:gridCol w:w="1001"/>
    </w:tblGrid>
    <w:tr w:rsidRPr="00D94637" w:rsidR="004F54B2" w:rsidTr="00D94637" w14:paraId="00E02B0C" w14:textId="77777777">
      <w:trPr>
        <w:jc w:val="center"/>
      </w:trPr>
      <w:tc>
        <w:tcPr>
          <w:tcW w:w="5000" w:type="pct"/>
          <w:gridSpan w:val="7"/>
          <w:shd w:val="clear" w:color="auto" w:fill="auto"/>
          <w:tcMar>
            <w:top w:w="57" w:type="dxa"/>
          </w:tcMar>
        </w:tcPr>
        <w:p w:rsidRPr="00D94637" w:rsidR="00475A29" w:rsidP="00D94637" w:rsidRDefault="00475A29" w14:paraId="00E02B0B" w14:textId="77777777">
          <w:pPr>
            <w:pStyle w:val="FooterText"/>
            <w:pBdr>
              <w:top w:val="single" w:color="auto" w:sz="4" w:space="1"/>
            </w:pBdr>
            <w:spacing w:before="200"/>
            <w:rPr>
              <w:sz w:val="2"/>
              <w:szCs w:val="2"/>
            </w:rPr>
          </w:pPr>
        </w:p>
      </w:tc>
    </w:tr>
    <w:tr w:rsidRPr="00B310DC" w:rsidR="004F54B2" w:rsidTr="00842D7E" w14:paraId="00E02B11" w14:textId="77777777">
      <w:trPr>
        <w:jc w:val="center"/>
      </w:trPr>
      <w:tc>
        <w:tcPr>
          <w:tcW w:w="2500" w:type="pct"/>
          <w:gridSpan w:val="2"/>
          <w:shd w:val="clear" w:color="auto" w:fill="auto"/>
          <w:tcMar>
            <w:top w:w="0" w:type="dxa"/>
          </w:tcMar>
        </w:tcPr>
        <w:p w:rsidRPr="00AD7BF2" w:rsidR="00475A29" w:rsidP="004F54B2" w:rsidRDefault="00475A29" w14:paraId="00E02B0D" w14:textId="77777777">
          <w:pPr>
            <w:pStyle w:val="FooterText"/>
          </w:pPr>
          <w:r>
            <w:t>10913/26</w:t>
          </w:r>
          <w:r w:rsidRPr="002511D8">
            <w:t xml:space="preserve"> </w:t>
          </w:r>
        </w:p>
      </w:tc>
      <w:tc>
        <w:tcPr>
          <w:tcW w:w="625" w:type="pct"/>
          <w:shd w:val="clear" w:color="auto" w:fill="auto"/>
          <w:tcMar>
            <w:top w:w="0" w:type="dxa"/>
          </w:tcMar>
        </w:tcPr>
        <w:p w:rsidRPr="00AD7BF2" w:rsidR="00475A29" w:rsidP="00D94637" w:rsidRDefault="00475A29" w14:paraId="00E02B0E" w14:textId="77777777">
          <w:pPr>
            <w:pStyle w:val="FooterText"/>
            <w:jc w:val="center"/>
          </w:pPr>
        </w:p>
      </w:tc>
      <w:tc>
        <w:tcPr>
          <w:tcW w:w="1286" w:type="pct"/>
          <w:gridSpan w:val="3"/>
          <w:shd w:val="clear" w:color="auto" w:fill="auto"/>
          <w:tcMar>
            <w:top w:w="0" w:type="dxa"/>
          </w:tcMar>
        </w:tcPr>
        <w:p w:rsidRPr="002511D8" w:rsidR="00475A29" w:rsidP="00D94637" w:rsidRDefault="00475A29" w14:paraId="00E02B0F" w14:textId="77777777">
          <w:pPr>
            <w:pStyle w:val="FooterText"/>
            <w:jc w:val="center"/>
          </w:pPr>
        </w:p>
      </w:tc>
      <w:tc>
        <w:tcPr>
          <w:tcW w:w="589" w:type="pct"/>
          <w:shd w:val="clear" w:color="auto" w:fill="auto"/>
          <w:tcMar>
            <w:top w:w="0" w:type="dxa"/>
          </w:tcMar>
        </w:tcPr>
        <w:p w:rsidRPr="00B310DC" w:rsidR="00475A29" w:rsidP="00D94637" w:rsidRDefault="00475A29" w14:paraId="00E02B10" w14:textId="77777777">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00E02B16" w14:textId="77777777">
      <w:trPr>
        <w:jc w:val="center"/>
      </w:trPr>
      <w:tc>
        <w:tcPr>
          <w:tcW w:w="1774" w:type="pct"/>
          <w:shd w:val="clear" w:color="auto" w:fill="auto"/>
        </w:tcPr>
        <w:p w:rsidRPr="00AD7BF2" w:rsidR="00475A29" w:rsidP="00D94637" w:rsidRDefault="00475A29" w14:paraId="00E02B12" w14:textId="77777777">
          <w:pPr>
            <w:pStyle w:val="FooterText"/>
            <w:spacing w:before="40"/>
          </w:pPr>
        </w:p>
      </w:tc>
      <w:tc>
        <w:tcPr>
          <w:tcW w:w="1455" w:type="pct"/>
          <w:gridSpan w:val="3"/>
          <w:shd w:val="clear" w:color="auto" w:fill="auto"/>
        </w:tcPr>
        <w:p w:rsidRPr="00AD7BF2" w:rsidR="00475A29" w:rsidP="00D204D6" w:rsidRDefault="00475A29" w14:paraId="00E02B13" w14:textId="77777777">
          <w:pPr>
            <w:pStyle w:val="FooterText"/>
            <w:spacing w:before="40"/>
            <w:jc w:val="center"/>
          </w:pPr>
          <w:r>
            <w:t>TREE.2.B</w:t>
          </w:r>
        </w:p>
      </w:tc>
      <w:tc>
        <w:tcPr>
          <w:tcW w:w="742" w:type="pct"/>
          <w:shd w:val="clear" w:color="auto" w:fill="auto"/>
        </w:tcPr>
        <w:p w:rsidRPr="00D94637" w:rsidR="00475A29" w:rsidP="002F0099" w:rsidRDefault="00475A29" w14:paraId="00E02B14" w14:textId="77777777">
          <w:pPr>
            <w:pStyle w:val="FooterText"/>
            <w:jc w:val="center"/>
            <w:rPr>
              <w:b/>
              <w:position w:val="-4"/>
              <w:sz w:val="36"/>
            </w:rPr>
          </w:pPr>
        </w:p>
      </w:tc>
      <w:tc>
        <w:tcPr>
          <w:tcW w:w="1029" w:type="pct"/>
          <w:gridSpan w:val="2"/>
          <w:shd w:val="clear" w:color="auto" w:fill="auto"/>
        </w:tcPr>
        <w:p w:rsidRPr="00695BAF" w:rsidR="00475A29" w:rsidP="00D94637" w:rsidRDefault="00475A29" w14:paraId="00E02B15" w14:textId="77777777">
          <w:pPr>
            <w:pStyle w:val="FooterText"/>
            <w:jc w:val="right"/>
            <w:rPr>
              <w:caps/>
              <w:spacing w:val="-20"/>
              <w:sz w:val="16"/>
            </w:rPr>
          </w:pPr>
          <w:r>
            <w:rPr>
              <w:b/>
              <w:caps/>
              <w:spacing w:val="-20"/>
              <w:position w:val="-4"/>
              <w:sz w:val="36"/>
            </w:rPr>
            <w:t>EN‌/FR</w:t>
          </w:r>
        </w:p>
      </w:tc>
    </w:tr>
  </w:tbl>
  <w:p w:rsidR="00475A29" w:rsidRDefault="00475A29" w14:paraId="00E02B17" w14:textId="77777777">
    <w:pPr>
      <w:pStyle w:val="FooterCouncil"/>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016"/>
      <w:gridCol w:w="1234"/>
      <w:gridCol w:w="1063"/>
      <w:gridCol w:w="177"/>
      <w:gridCol w:w="1261"/>
      <w:gridCol w:w="748"/>
      <w:gridCol w:w="1001"/>
    </w:tblGrid>
    <w:tr w:rsidRPr="00D94637" w:rsidR="004F54B2" w:rsidTr="00D94637" w14:paraId="00E02B19" w14:textId="77777777">
      <w:trPr>
        <w:jc w:val="center"/>
      </w:trPr>
      <w:tc>
        <w:tcPr>
          <w:tcW w:w="5000" w:type="pct"/>
          <w:gridSpan w:val="7"/>
          <w:shd w:val="clear" w:color="auto" w:fill="auto"/>
          <w:tcMar>
            <w:top w:w="57" w:type="dxa"/>
          </w:tcMar>
        </w:tcPr>
        <w:p w:rsidRPr="00D94637" w:rsidR="00475A29" w:rsidP="00D94637" w:rsidRDefault="00475A29" w14:paraId="00E02B18" w14:textId="77777777">
          <w:pPr>
            <w:pStyle w:val="FooterText"/>
            <w:pBdr>
              <w:top w:val="single" w:color="auto" w:sz="4" w:space="1"/>
            </w:pBdr>
            <w:spacing w:before="200"/>
            <w:rPr>
              <w:sz w:val="2"/>
              <w:szCs w:val="2"/>
            </w:rPr>
          </w:pPr>
        </w:p>
      </w:tc>
    </w:tr>
    <w:tr w:rsidRPr="00B310DC" w:rsidR="004F54B2" w:rsidTr="00842D7E" w14:paraId="00E02B1E" w14:textId="77777777">
      <w:trPr>
        <w:jc w:val="center"/>
      </w:trPr>
      <w:tc>
        <w:tcPr>
          <w:tcW w:w="2500" w:type="pct"/>
          <w:gridSpan w:val="2"/>
          <w:shd w:val="clear" w:color="auto" w:fill="auto"/>
          <w:tcMar>
            <w:top w:w="0" w:type="dxa"/>
          </w:tcMar>
        </w:tcPr>
        <w:p w:rsidRPr="00AD7BF2" w:rsidR="00475A29" w:rsidP="004F54B2" w:rsidRDefault="00475A29" w14:paraId="00E02B1A" w14:textId="77777777">
          <w:pPr>
            <w:pStyle w:val="FooterText"/>
          </w:pPr>
          <w:r>
            <w:t>10913/26</w:t>
          </w:r>
          <w:r w:rsidRPr="002511D8">
            <w:t xml:space="preserve"> </w:t>
          </w:r>
        </w:p>
      </w:tc>
      <w:tc>
        <w:tcPr>
          <w:tcW w:w="625" w:type="pct"/>
          <w:shd w:val="clear" w:color="auto" w:fill="auto"/>
          <w:tcMar>
            <w:top w:w="0" w:type="dxa"/>
          </w:tcMar>
        </w:tcPr>
        <w:p w:rsidRPr="00AD7BF2" w:rsidR="00475A29" w:rsidP="00D94637" w:rsidRDefault="00475A29" w14:paraId="00E02B1B" w14:textId="77777777">
          <w:pPr>
            <w:pStyle w:val="FooterText"/>
            <w:jc w:val="center"/>
          </w:pPr>
        </w:p>
      </w:tc>
      <w:tc>
        <w:tcPr>
          <w:tcW w:w="1286" w:type="pct"/>
          <w:gridSpan w:val="3"/>
          <w:shd w:val="clear" w:color="auto" w:fill="auto"/>
          <w:tcMar>
            <w:top w:w="0" w:type="dxa"/>
          </w:tcMar>
        </w:tcPr>
        <w:p w:rsidRPr="002511D8" w:rsidR="00475A29" w:rsidP="00D94637" w:rsidRDefault="00475A29" w14:paraId="00E02B1C" w14:textId="77777777">
          <w:pPr>
            <w:pStyle w:val="FooterText"/>
            <w:jc w:val="center"/>
          </w:pPr>
        </w:p>
      </w:tc>
      <w:tc>
        <w:tcPr>
          <w:tcW w:w="589" w:type="pct"/>
          <w:shd w:val="clear" w:color="auto" w:fill="auto"/>
          <w:tcMar>
            <w:top w:w="0" w:type="dxa"/>
          </w:tcMar>
        </w:tcPr>
        <w:p w:rsidRPr="00B310DC" w:rsidR="00475A29" w:rsidP="00D94637" w:rsidRDefault="00475A29" w14:paraId="00E02B1D" w14:textId="77777777">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00E02B23" w14:textId="77777777">
      <w:trPr>
        <w:jc w:val="center"/>
      </w:trPr>
      <w:tc>
        <w:tcPr>
          <w:tcW w:w="1774" w:type="pct"/>
          <w:shd w:val="clear" w:color="auto" w:fill="auto"/>
        </w:tcPr>
        <w:p w:rsidRPr="00AD7BF2" w:rsidR="00475A29" w:rsidP="00D94637" w:rsidRDefault="00475A29" w14:paraId="00E02B1F" w14:textId="77777777">
          <w:pPr>
            <w:pStyle w:val="FooterText"/>
            <w:spacing w:before="40"/>
          </w:pPr>
        </w:p>
      </w:tc>
      <w:tc>
        <w:tcPr>
          <w:tcW w:w="1455" w:type="pct"/>
          <w:gridSpan w:val="3"/>
          <w:shd w:val="clear" w:color="auto" w:fill="auto"/>
        </w:tcPr>
        <w:p w:rsidRPr="00AD7BF2" w:rsidR="00475A29" w:rsidP="00D204D6" w:rsidRDefault="00475A29" w14:paraId="00E02B20" w14:textId="77777777">
          <w:pPr>
            <w:pStyle w:val="FooterText"/>
            <w:spacing w:before="40"/>
            <w:jc w:val="center"/>
          </w:pPr>
          <w:r>
            <w:t>TREE.2.B</w:t>
          </w:r>
        </w:p>
      </w:tc>
      <w:tc>
        <w:tcPr>
          <w:tcW w:w="742" w:type="pct"/>
          <w:shd w:val="clear" w:color="auto" w:fill="auto"/>
        </w:tcPr>
        <w:p w:rsidRPr="00D94637" w:rsidR="00475A29" w:rsidP="002F0099" w:rsidRDefault="00475A29" w14:paraId="00E02B21" w14:textId="77777777">
          <w:pPr>
            <w:pStyle w:val="FooterText"/>
            <w:jc w:val="center"/>
            <w:rPr>
              <w:b/>
              <w:position w:val="-4"/>
              <w:sz w:val="36"/>
            </w:rPr>
          </w:pPr>
        </w:p>
      </w:tc>
      <w:tc>
        <w:tcPr>
          <w:tcW w:w="1029" w:type="pct"/>
          <w:gridSpan w:val="2"/>
          <w:shd w:val="clear" w:color="auto" w:fill="auto"/>
        </w:tcPr>
        <w:p w:rsidRPr="00695BAF" w:rsidR="00475A29" w:rsidP="00D94637" w:rsidRDefault="00475A29" w14:paraId="00E02B22" w14:textId="77777777">
          <w:pPr>
            <w:pStyle w:val="FooterText"/>
            <w:jc w:val="right"/>
            <w:rPr>
              <w:caps/>
              <w:spacing w:val="-20"/>
              <w:sz w:val="16"/>
            </w:rPr>
          </w:pPr>
          <w:r>
            <w:rPr>
              <w:b/>
              <w:caps/>
              <w:spacing w:val="-20"/>
              <w:position w:val="-4"/>
              <w:sz w:val="36"/>
            </w:rPr>
            <w:t>EN‌/FR</w:t>
          </w:r>
        </w:p>
      </w:tc>
    </w:tr>
  </w:tbl>
  <w:p w:rsidR="00475A29" w:rsidRDefault="00475A29" w14:paraId="00E02B24" w14:textId="77777777">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016"/>
      <w:gridCol w:w="1234"/>
      <w:gridCol w:w="1063"/>
      <w:gridCol w:w="177"/>
      <w:gridCol w:w="1261"/>
      <w:gridCol w:w="748"/>
      <w:gridCol w:w="1001"/>
    </w:tblGrid>
    <w:tr w:rsidRPr="00D94637" w:rsidR="004F54B2" w:rsidTr="00D94637" w14:paraId="00E02B27" w14:textId="77777777">
      <w:trPr>
        <w:jc w:val="center"/>
      </w:trPr>
      <w:tc>
        <w:tcPr>
          <w:tcW w:w="5000" w:type="pct"/>
          <w:gridSpan w:val="7"/>
          <w:shd w:val="clear" w:color="auto" w:fill="auto"/>
          <w:tcMar>
            <w:top w:w="57" w:type="dxa"/>
          </w:tcMar>
        </w:tcPr>
        <w:p w:rsidRPr="00D94637" w:rsidR="00475A29" w:rsidP="00D94637" w:rsidRDefault="00475A29" w14:paraId="00E02B26" w14:textId="77777777">
          <w:pPr>
            <w:pStyle w:val="FooterText"/>
            <w:pBdr>
              <w:top w:val="single" w:color="auto" w:sz="4" w:space="1"/>
            </w:pBdr>
            <w:spacing w:before="200"/>
            <w:rPr>
              <w:sz w:val="2"/>
              <w:szCs w:val="2"/>
            </w:rPr>
          </w:pPr>
        </w:p>
      </w:tc>
    </w:tr>
    <w:tr w:rsidRPr="00B310DC" w:rsidR="004F54B2" w:rsidTr="00842D7E" w14:paraId="00E02B2C" w14:textId="77777777">
      <w:trPr>
        <w:jc w:val="center"/>
      </w:trPr>
      <w:tc>
        <w:tcPr>
          <w:tcW w:w="2500" w:type="pct"/>
          <w:gridSpan w:val="2"/>
          <w:shd w:val="clear" w:color="auto" w:fill="auto"/>
          <w:tcMar>
            <w:top w:w="0" w:type="dxa"/>
          </w:tcMar>
        </w:tcPr>
        <w:p w:rsidRPr="00AD7BF2" w:rsidR="00475A29" w:rsidP="004F54B2" w:rsidRDefault="00475A29" w14:paraId="00E02B28" w14:textId="77777777">
          <w:pPr>
            <w:pStyle w:val="FooterText"/>
          </w:pPr>
          <w:r>
            <w:t>10913/26</w:t>
          </w:r>
          <w:r w:rsidRPr="002511D8">
            <w:t xml:space="preserve"> </w:t>
          </w:r>
        </w:p>
      </w:tc>
      <w:tc>
        <w:tcPr>
          <w:tcW w:w="625" w:type="pct"/>
          <w:shd w:val="clear" w:color="auto" w:fill="auto"/>
          <w:tcMar>
            <w:top w:w="0" w:type="dxa"/>
          </w:tcMar>
        </w:tcPr>
        <w:p w:rsidRPr="00AD7BF2" w:rsidR="00475A29" w:rsidP="00D94637" w:rsidRDefault="00475A29" w14:paraId="00E02B29" w14:textId="77777777">
          <w:pPr>
            <w:pStyle w:val="FooterText"/>
            <w:jc w:val="center"/>
          </w:pPr>
        </w:p>
      </w:tc>
      <w:tc>
        <w:tcPr>
          <w:tcW w:w="1286" w:type="pct"/>
          <w:gridSpan w:val="3"/>
          <w:shd w:val="clear" w:color="auto" w:fill="auto"/>
          <w:tcMar>
            <w:top w:w="0" w:type="dxa"/>
          </w:tcMar>
        </w:tcPr>
        <w:p w:rsidRPr="002511D8" w:rsidR="00475A29" w:rsidP="00D94637" w:rsidRDefault="00475A29" w14:paraId="00E02B2A" w14:textId="77777777">
          <w:pPr>
            <w:pStyle w:val="FooterText"/>
            <w:jc w:val="center"/>
          </w:pPr>
        </w:p>
      </w:tc>
      <w:tc>
        <w:tcPr>
          <w:tcW w:w="589" w:type="pct"/>
          <w:shd w:val="clear" w:color="auto" w:fill="auto"/>
          <w:tcMar>
            <w:top w:w="0" w:type="dxa"/>
          </w:tcMar>
        </w:tcPr>
        <w:p w:rsidRPr="00B310DC" w:rsidR="00475A29" w:rsidP="00D94637" w:rsidRDefault="00475A29" w14:paraId="00E02B2B" w14:textId="77777777">
          <w:pPr>
            <w:pStyle w:val="FooterText"/>
            <w:jc w:val="right"/>
          </w:pPr>
        </w:p>
      </w:tc>
    </w:tr>
    <w:tr w:rsidRPr="00D94637" w:rsidR="004F54B2" w:rsidTr="00430704" w14:paraId="00E02B31" w14:textId="77777777">
      <w:trPr>
        <w:jc w:val="center"/>
      </w:trPr>
      <w:tc>
        <w:tcPr>
          <w:tcW w:w="1774" w:type="pct"/>
          <w:shd w:val="clear" w:color="auto" w:fill="auto"/>
        </w:tcPr>
        <w:p w:rsidRPr="00AD7BF2" w:rsidR="00475A29" w:rsidP="00D94637" w:rsidRDefault="00475A29" w14:paraId="00E02B2D" w14:textId="77777777">
          <w:pPr>
            <w:pStyle w:val="FooterText"/>
            <w:spacing w:before="40"/>
          </w:pPr>
        </w:p>
      </w:tc>
      <w:tc>
        <w:tcPr>
          <w:tcW w:w="1455" w:type="pct"/>
          <w:gridSpan w:val="3"/>
          <w:shd w:val="clear" w:color="auto" w:fill="auto"/>
        </w:tcPr>
        <w:p w:rsidRPr="00AD7BF2" w:rsidR="00475A29" w:rsidP="00D204D6" w:rsidRDefault="00475A29" w14:paraId="00E02B2E" w14:textId="77777777">
          <w:pPr>
            <w:pStyle w:val="FooterText"/>
            <w:spacing w:before="40"/>
            <w:jc w:val="center"/>
          </w:pPr>
          <w:r>
            <w:t>TREE.2.B</w:t>
          </w:r>
        </w:p>
      </w:tc>
      <w:tc>
        <w:tcPr>
          <w:tcW w:w="742" w:type="pct"/>
          <w:shd w:val="clear" w:color="auto" w:fill="auto"/>
        </w:tcPr>
        <w:p w:rsidRPr="00D94637" w:rsidR="00475A29" w:rsidP="002F0099" w:rsidRDefault="00475A29" w14:paraId="00E02B2F" w14:textId="77777777">
          <w:pPr>
            <w:pStyle w:val="FooterText"/>
            <w:jc w:val="center"/>
            <w:rPr>
              <w:b/>
              <w:position w:val="-4"/>
              <w:sz w:val="36"/>
            </w:rPr>
          </w:pPr>
        </w:p>
      </w:tc>
      <w:tc>
        <w:tcPr>
          <w:tcW w:w="1029" w:type="pct"/>
          <w:gridSpan w:val="2"/>
          <w:shd w:val="clear" w:color="auto" w:fill="auto"/>
        </w:tcPr>
        <w:p w:rsidRPr="00695BAF" w:rsidR="00475A29" w:rsidP="00D94637" w:rsidRDefault="00475A29" w14:paraId="00E02B30" w14:textId="77777777">
          <w:pPr>
            <w:pStyle w:val="FooterText"/>
            <w:jc w:val="right"/>
            <w:rPr>
              <w:caps/>
              <w:spacing w:val="-20"/>
              <w:sz w:val="16"/>
            </w:rPr>
          </w:pPr>
          <w:r>
            <w:rPr>
              <w:b/>
              <w:caps/>
              <w:spacing w:val="-20"/>
              <w:position w:val="-4"/>
              <w:sz w:val="36"/>
            </w:rPr>
            <w:t>EN‌/FR</w:t>
          </w:r>
        </w:p>
      </w:tc>
    </w:tr>
  </w:tbl>
  <w:p w:rsidR="00475A29" w:rsidRDefault="00475A29" w14:paraId="00E02B32" w14:textId="77777777">
    <w:pPr>
      <w:pStyle w:val="FooterCounci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A29" w:rsidP="005037DB" w:rsidRDefault="00475A29" w14:paraId="00E02ADB" w14:textId="77777777">
      <w:pPr>
        <w:spacing w:line="240" w:lineRule="auto"/>
      </w:pPr>
      <w:r>
        <w:separator/>
      </w:r>
    </w:p>
  </w:footnote>
  <w:footnote w:type="continuationSeparator" w:id="0">
    <w:p w:rsidR="00475A29" w:rsidP="005037DB" w:rsidRDefault="00475A29" w14:paraId="00E02ADC" w14:textId="77777777">
      <w:pPr>
        <w:spacing w:line="240" w:lineRule="auto"/>
      </w:pPr>
      <w:r>
        <w:continuationSeparator/>
      </w:r>
    </w:p>
  </w:footnote>
  <w:footnote w:id="2">
    <w:p w:rsidRPr="000500D7" w:rsidR="00475A29" w:rsidP="000500D7" w:rsidRDefault="00475A29" w14:paraId="00E02B5D" w14:textId="77777777">
      <w:pPr>
        <w:pStyle w:val="FootnoteText"/>
        <w:ind w:left="360" w:hanging="360"/>
        <w:rPr>
          <w:rFonts w:eastAsia="Times New Roman" w:asciiTheme="majorBidi" w:hAnsiTheme="majorBidi" w:cstheme="majorBidi"/>
          <w:lang w:eastAsia="en-GB"/>
        </w:rPr>
      </w:pPr>
      <w:r>
        <w:rPr>
          <w:rStyle w:val="FootnoteReference"/>
        </w:rPr>
        <w:footnoteRef/>
      </w:r>
      <w:r>
        <w:t xml:space="preserve"> </w:t>
      </w:r>
      <w:r>
        <w:tab/>
      </w:r>
      <w:r w:rsidRPr="003A6528">
        <w:rPr>
          <w:rFonts w:eastAsia="Times New Roman" w:asciiTheme="majorBidi" w:hAnsiTheme="majorBidi" w:cstheme="majorBidi"/>
          <w:lang w:eastAsia="en-GB"/>
        </w:rPr>
        <w:t>The</w:t>
      </w:r>
      <w:r w:rsidRPr="003A6528">
        <w:rPr>
          <w:rFonts w:eastAsia="Times New Roman" w:asciiTheme="majorBidi" w:hAnsiTheme="majorBidi" w:cstheme="majorBidi"/>
          <w:lang w:val="en-GB" w:eastAsia="en-GB"/>
        </w:rPr>
        <w:t xml:space="preserve"> </w:t>
      </w:r>
      <w:r w:rsidRPr="000500D7">
        <w:rPr>
          <w:rFonts w:eastAsia="Times New Roman" w:asciiTheme="majorBidi" w:hAnsiTheme="majorBidi" w:cstheme="majorBidi"/>
          <w:lang w:eastAsia="en-GB"/>
        </w:rPr>
        <w:t xml:space="preserve">translation(s) of the opinion may be available on the Interparliamentary EU Information Exchange website (IPEX) at the following address: </w:t>
      </w:r>
      <w:hyperlink w:history="1" r:id="rId1">
        <w:r w:rsidRPr="000500D7">
          <w:rPr>
            <w:rStyle w:val="Hyperlink"/>
            <w:rFonts w:eastAsia="Times New Roman" w:asciiTheme="majorBidi" w:hAnsiTheme="majorBidi" w:cstheme="majorBidi"/>
            <w:lang w:eastAsia="en-GB"/>
          </w:rPr>
          <w:t>https://secure.ipex.eu/IPEXL-WEB/document/COM-2026-0016</w:t>
        </w:r>
      </w:hyperlink>
    </w:p>
    <w:p w:rsidRPr="000500D7" w:rsidR="00475A29" w:rsidP="000A5CC0" w:rsidRDefault="00475A29" w14:paraId="00E02B5E" w14:textId="77777777">
      <w:pPr>
        <w:pStyle w:val="FootnoteText"/>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A29" w:rsidRDefault="00475A29" w14:paraId="00E02B33" w14:textId="77777777">
    <w:pPr>
      <w:pStyle w:val="HeaderCouncilLarge"/>
    </w:pPr>
    <w:r>
      <w: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A29" w:rsidP="00C0594C" w:rsidRDefault="00475A29" w14:paraId="00E02B34" w14:textId="77777777">
    <w:pPr>
      <w:jc w:val="center"/>
    </w:pPr>
    <w:r>
      <w:rPr>
        <w:rFonts w:eastAsia="Times New Roman"/>
        <w:sz w:val="22"/>
      </w:rPr>
      <w:t>– </w:t>
    </w:r>
    <w:r>
      <w:rPr>
        <w:rFonts w:eastAsia="Times New Roman"/>
        <w:sz w:val="22"/>
      </w:rPr>
      <w:fldChar w:fldCharType="begin"/>
    </w:r>
    <w:r>
      <w:rPr>
        <w:rFonts w:eastAsia="Times New Roman"/>
        <w:sz w:val="22"/>
      </w:rPr>
      <w:instrText>PAGE \* MERGEFORMAT</w:instrText>
    </w:r>
    <w:r>
      <w:rPr>
        <w:rFonts w:eastAsia="Times New Roman"/>
        <w:sz w:val="22"/>
      </w:rPr>
      <w:fldChar w:fldCharType="separate"/>
    </w:r>
    <w:r>
      <w:rPr>
        <w:rFonts w:eastAsia="Times New Roman"/>
        <w:noProof/>
        <w:sz w:val="22"/>
      </w:rPr>
      <w:t>2</w:t>
    </w:r>
    <w:r>
      <w:rPr>
        <w:rFonts w:eastAsia="Times New Roman"/>
        <w:sz w:val="22"/>
      </w:rPr>
      <w:fldChar w:fldCharType="end"/>
    </w:r>
    <w:r>
      <w:rPr>
        <w:rFonts w:eastAsia="Times New Roman"/>
        <w:sz w:val="22"/>
      </w:rPr>
      <w:t>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A29" w:rsidP="00C0594C" w:rsidRDefault="00475A29" w14:paraId="00E02B4F" w14:textId="777777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75A29" w:rsidR="00C56B37" w:rsidP="00475A29" w:rsidRDefault="00475A29" w14:paraId="00E02AE0" w14:textId="3FD938AC">
    <w:pPr>
      <w:pStyle w:val="HeaderCouncilLarge"/>
    </w:pPr>
    <w:r>
      <w:t>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A29" w:rsidRDefault="00475A29" w14:paraId="00E02B09" w14:textId="77777777">
    <w:pPr>
      <w:pStyle w:val="HeaderCouncilLarge"/>
    </w:pPr>
    <w: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A29" w:rsidRDefault="00475A29" w14:paraId="00E02B0A" w14:textId="77777777">
    <w:pPr>
      <w:pStyle w:val="HeaderCouncilLarge"/>
    </w:pPr>
    <w: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A29" w:rsidRDefault="00475A29" w14:paraId="00E02B25" w14:textId="77777777">
    <w:pPr>
      <w:pStyle w:val="HeaderCouncil"/>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Pr>
  <w:endnotePr>
    <w:endnote w:id="0"/>
    <w:endnote w:id="1"/>
  </w:endnotePr>
  <w:docVars>
    <w:docVar w:name="DW_DocType" w:val=""/>
    <w:docVar w:name="DW_ProcessingType" w:val=""/>
    <w:docVar w:name="Council" w:val="true"/>
    <w:docVar w:name="DocuWriteMetaData" w:val="&lt;metadataset docuwriteversion=&quot;4.14.2&quot; technicalblockguid=&quot;5568692986073102431&quot;&gt;&#13;&#10;  &lt;metadata key=&quot;md_DocumentLanguages&quot;&gt;&#13;&#10;    &lt;basicdatatypelist&gt;&#13;&#10;      &lt;language key=&quot;EN&quot; text=&quot;EN&quot; /&gt;&#13;&#10;      &lt;language key=&quot;FR&quot; text=&quot;FR&quot; /&gt;&#13;&#10;    &lt;/basicdatatypelist&gt;&#13;&#10;  &lt;/metadata&gt;&#13;&#10;  &lt;metadata key=&quot;md_OriginalLanguages&quot;&gt;&#13;&#10;    &lt;basicdatatypelist&gt;&#13;&#10;      &lt;language key=&quot;EN&quot; text=&quot;EN&quot; /&gt;&#13;&#10;      &lt;language key=&quot;FR&quot; text=&quot;FR&quot; /&gt;&#13;&#10;    &lt;/basicdatatypelist&gt;&#13;&#10;  &lt;/metadata&gt;&#13;&#10;  &lt;metadata key=&quot;md_UniqueHeading&quot;&gt;&#13;&#10;    &lt;basicdatatype&gt;&#13;&#10;      &lt;heading key=&quot;uh_64&quot; text=&quot;COVER NOTE&quot; /&gt;&#13;&#10;    &lt;/basicdatatype&gt;&#13;&#10;  &lt;/metadata&gt;&#13;&#10;  &lt;metadata key=&quot;md_HeadingText&quot;&gt;&#13;&#10;    &lt;headingtext text=&quot;COVER NOTE&quot;&gt;&#13;&#10;      &lt;formattedtext&gt;&#13;&#10;        &lt;xaml text=&quot;COVER NOTE&quot;&gt;&amp;lt;FlowDocument xmlns=&quot;http://schemas.microsoft.com/winfx/2006/xaml/presentation&quot;&amp;gt;&amp;lt;Paragraph&amp;gt;COVER NOTE&amp;lt;/Paragraph&amp;gt;&amp;lt;/FlowDocument&amp;gt;&lt;/xaml&gt;&#13;&#10;      &lt;/formattedtext&gt;&#13;&#10;    &lt;/headingtext&gt;&#13;&#10;  &lt;/metadata&gt;&#13;&#10;  &lt;metadata key=&quot;md_CustomFootnote&quot;&gt;&#13;&#10;    &lt;text&gt;&lt;/text&gt;&#13;&#10;  &lt;/metadata&gt;&#13;&#10;  &lt;metadata key=&quot;md_DocumentGroup&quot;&gt;&#13;&#10;    &lt;basicdatatype&gt;&#13;&#10;      &lt;document_group key=&quot;dg_07&quot; text=&quot;Note&quot; /&gt;&#13;&#10;    &lt;/basicdatatype&gt;&#13;&#10;  &lt;/metadata&gt;&#13;&#10;  &lt;metadata key=&quot;md_DocumentType&quot;&gt;&#13;&#10;    &lt;basicdatatype&gt;&#13;&#10;      &lt;doc_type key=&quot;dt_ST&quot; text=&quot;ST&quot; /&gt;&#13;&#10;    &lt;/basicdatatype&gt;&#13;&#10;  &lt;/metadata&gt;&#13;&#10;  &lt;metadata key=&quot;md_InstitutionalFramework&quot;&gt;&#13;&#10;    &lt;basicdatatype&gt;&#13;&#10;      &lt;framework key=&quot;if_01&quot; text=&quot;Council of the European Union&quot; institution=&quot;instfr_institution&quot; acronym=&quot;instfr_acronym&quot; /&gt;&#13;&#10;    &lt;/basicdatatype&gt;&#13;&#10;  &lt;/metadata&gt;&#13;&#10;  &lt;metadata key=&quot;md_DraftNote&quot; /&gt;&#13;&#10;  &lt;metadata key=&quot;md_DGName&quot; /&gt;&#13;&#10;  &lt;metadata key=&quot;md_ContributingService&quot; /&gt;&#13;&#10;  &lt;metadata key=&quot;md_DocumentLocation&quot;&gt;&#13;&#10;    &lt;basicdatatype&gt;&#13;&#10;      &lt;location key=&quot;loc_01&quot; text=&quot;Brussels&quot; /&gt;&#13;&#10;    &lt;/basicdatatype&gt;&#13;&#10;  &lt;/metadata&gt;&#13;&#10;  &lt;metadata key=&quot;md_DocumentDate&quot;&gt;&#13;&#10;    &lt;text&gt;2026-06-22&lt;/text&gt;&#13;&#10;  &lt;/metadata&gt;&#13;&#10;  &lt;metadata key=&quot;md_Prefix&quot;&gt;&#13;&#10;    &lt;text&gt;&lt;/text&gt;&#13;&#10;  &lt;/metadata&gt;&#13;&#10;  &lt;metadata key=&quot;md_DocumentNumber&quot;&gt;&#13;&#10;    &lt;text&gt;10913&lt;/text&gt;&#13;&#10;  &lt;/metadata&gt;&#13;&#10;  &lt;metadata key=&quot;md_YearDocumentNumber&quot;&gt;&#13;&#10;    &lt;text&gt;2026&lt;/text&gt;&#13;&#10;  &lt;/metadata&gt;&#13;&#10;  &lt;metadata key=&quot;md_Suffixes&quot;&gt;&#13;&#10;    &lt;text&gt;&lt;/text&gt;&#13;&#10;  &lt;/metadata&gt;&#13;&#10;  &lt;metadata key=&quot;md_SuffixLanguagesInvolved&quot;&gt;&#13;&#10;    &lt;text&gt;&lt;/text&gt;&#13;&#10;  &lt;/metadata&gt;&#13;&#10;  &lt;metadata key=&quot;md_FirstRevNumber&quot;&gt;&#13;&#10;    &lt;text&gt;&lt;/text&gt;&#13;&#10;  &lt;/metadata&gt;&#13;&#10;  &lt;metadata key=&quot;md_Distribution&quot;&gt;&#13;&#10;    &lt;basicdatatype&gt;&#13;&#10;      &lt;distribution key=&quot;dis_01&quot; text=&quot;PUBLIC&quot; /&gt;&#13;&#10;    &lt;/basicdatatype&gt;&#13;&#10;  &lt;/metadata&gt;&#13;&#10;  &lt;metadata key=&quot;md_SubjectCodes&quot;&gt;&#13;&#10;    &lt;textlist&gt;&#13;&#10;      &lt;text&gt;TELECOM 339&lt;/text&gt;&#13;&#10;      &lt;text&gt;CYBER 311&lt;/text&gt;&#13;&#10;      &lt;text&gt;COMPET 813&lt;/text&gt;&#13;&#10;      &lt;text&gt;MI 683&lt;/text&gt;&#13;&#10;      &lt;text&gt;FIN 932&lt;/text&gt;&#13;&#10;      &lt;text&gt;ESPACE 109&lt;/text&gt;&#13;&#10;      &lt;text&gt;IA 176&lt;/text&gt;&#13;&#10;      &lt;text&gt;CODEC 1272&lt;/text&gt;&#13;&#10;      &lt;text&gt;INST 263&lt;/text&gt;&#13;&#10;      &lt;text&gt;PARLNAT 137&lt;/text&gt;&#13;&#10;    &lt;/textlist&gt;&#13;&#10;  &lt;/metadata&gt;&#13;&#10;  &lt;metadata key=&quot;md_ThirdPartyDistributionMarkers&quot;&gt;&#13;&#10;    &lt;textlist&gt;&#13;&#10;      &lt;text&gt;PARLNAT&lt;/text&gt;&#13;&#10;    &lt;/textlist&gt;&#13;&#10;  &lt;/metadata&gt;&#13;&#10;  &lt;metadata key=&quot;md_Contact&quot;&gt;&#13;&#10;    &lt;text&gt;&lt;/text&gt;&#13;&#10;  &lt;/metadata&gt;&#13;&#10;  &lt;metadata key=&quot;md_ContactPhoneFax&quot;&gt;&#13;&#10;    &lt;text&gt;&lt;/text&gt;&#13;&#10;  &lt;/metadata&gt;&#13;&#10;  &lt;metadata key=&quot;md_MeetingVenue&quot; /&gt;&#13;&#10;  &lt;metadata key=&quot;md_ProvisionalVersion&quot;&gt;&#13;&#10;    &lt;text&gt;&lt;/text&gt;&#13;&#10;  &lt;/metadata&gt;&#13;&#10;  &lt;metadata key=&quot;md_PresidentInformation&quot; /&gt;&#13;&#10;  &lt;metadata key=&quot;md_MeetingNumber&quot;&gt;&#13;&#10;    &lt;text&gt;&lt;/text&gt;&#13;&#10;  &lt;/metadata&gt;&#13;&#10;  &lt;metadata key=&quot;md_CouncilConfiguration&quot; /&gt;&#13;&#10;  &lt;metadata key=&quot;md_CouncilIssue&quot; /&gt;&#13;&#10;  &lt;metadata key=&quot;md_PhoneNumber&quot;&gt;&#13;&#10;    &lt;text&gt;&lt;/text&gt;&#13;&#10;  &lt;/metadata&gt;&#13;&#10;  &lt;metadata key=&quot;md_TypeOfHeading&quot;&gt;&#13;&#10;    &lt;basicdatatype&gt;&#13;&#10;      &lt;typeofheading key=&quot;typeofhead_06&quot; text=&quot;Other&quot; /&gt;&#13;&#10;    &lt;/basicdatatype&gt;&#13;&#10;  &lt;/metadata&gt;&#13;&#10;  &lt;metadata key=&quot;md_ReplyName&quot; /&gt;&#13;&#10;  &lt;metadata key=&quot;md_EPQuestionsData&quot; /&gt;&#13;&#10;  &lt;metadata key=&quot;md_Deadline&quot; /&gt;&#13;&#10;  &lt;metadata key=&quot;md_InterinstitutionalFiles&quot;&gt;&#13;&#10;    &lt;textlist&gt;&#13;&#10;      &lt;text&gt;2026/0013 (COD)&lt;/text&gt;&#13;&#10;    &lt;/textlist&gt;&#13;&#10;  &lt;/metadata&gt;&#13;&#10;  &lt;metadata key=&quot;md_AdditionalReferences&quot;&gt;&#13;&#10;    &lt;textlist&gt;&#13;&#10;      &lt;text&gt;&lt;/text&gt;&#13;&#10;    &lt;/textlist&gt;&#13;&#10;  &lt;/metadata&gt;&#13;&#10;  &lt;metadata key=&quot;md_LEXNumber&quot;&gt;&#13;&#10;    &lt;text&gt;&lt;/text&gt;&#13;&#10;  &lt;/metadata&gt;&#13;&#10;  &lt;metadata key=&quot;md_SousEmbargo&quot;&gt;&#13;&#10;    &lt;text&gt;&lt;/text&gt;&#13;&#10;  &lt;/metadata&gt;&#13;&#10;  &lt;metadata key=&quot;md_DraftVersion&quot;&gt;&#13;&#10;    &lt;text&gt;&lt;/text&gt;&#13;&#10;  &lt;/metadata&gt;&#13;&#10;  &lt;metadata key=&quot;md_Originator&quot;&gt;&#13;&#10;    &lt;basicdatatype&gt;&#13;&#10;      &lt;xaml text=&quot;The French Senate &quot;&gt;&amp;lt;FlowDocument xmlns=&quot;http://schemas.microsoft.com/winfx/2006/xaml/presentation&quot;&amp;gt;&amp;lt;Paragraph&amp;gt;The French Senate &amp;lt;/Paragraph&amp;gt;&amp;lt;/FlowDocument&amp;gt;&lt;/xaml&gt;&#13;&#10;    &lt;/basicdatatype&gt;&#13;&#10;  &lt;/metadata&gt;&#13;&#10;  &lt;metadata key=&quot;md_Recipient&quot;&gt;&#13;&#10;    &lt;basicdatatype&gt;&#13;&#10;      &lt;xaml text=&quot;The President of the Council of the European Union&quot;&gt;&amp;lt;FlowDocument xmlns=&quot;http://schemas.microsoft.com/winfx/2006/xaml/presentation&quot;&amp;gt;&amp;lt;Paragraph&amp;gt;The President of the Council of the European Union&amp;lt;/Paragraph&amp;gt;&amp;lt;/FlowDocument&amp;gt;&lt;/xaml&gt;&#13;&#10;    &lt;/basicdatatype&gt;&#13;&#10;  &lt;/metadata&gt;&#13;&#10;  &lt;metadata key=&quot;md_DateOfReceipt&quot;&gt;&#13;&#10;    &lt;text&gt;2026-06-15&lt;/text&gt;&#13;&#10;  &lt;/metadata&gt;&#13;&#10;  &lt;metadata key=&quot;md_FreeDate&quot;&gt;&#13;&#10;    &lt;textlist /&gt;&#13;&#10;  &lt;/metadata&gt;&#13;&#10;  &lt;metadata key=&quot;md_PrecedingDocuments&quot;&gt;&#13;&#10;    &lt;textlist /&gt;&#13;&#10;  &lt;/metadata&gt;&#13;&#10;  &lt;metadata key=&quot;md_CommissionDocuments&quot;&gt;&#13;&#10;    &lt;textlist /&gt;&#13;&#10;  &lt;/metadata&gt;&#13;&#10;  &lt;metadata key=&quot;md_DocForDWNDCL&quot; /&gt;&#13;&#10;  &lt;metadata key=&quot;md_Distribution_NewClassification&quot; /&gt;&#13;&#10;  &lt;metadata key=&quot;md_DWNDCLAuthorization&quot; /&gt;&#13;&#10;  &lt;metadata key=&quot;md_DateOfAuthorization&quot; /&gt;&#13;&#10;  &lt;metadata key=&quot;md_MeetingLocation&quot;&gt;&#13;&#10;    &lt;basicdatatype&gt;&#13;&#10;      &lt;location key=&quot;&quot; /&gt;&#13;&#10;    &lt;/basicdatatype&gt;&#13;&#10;  &lt;/metadata&gt;&#13;&#10;  &lt;metadata key=&quot;md_MeetingDate&quot;&gt;&#13;&#10;    &lt;textlist /&gt;&#13;&#10;  &lt;/metadata&gt;&#13;&#10;  &lt;metadata key=&quot;md_DateFormatOr&quot;&gt;&#13;&#10;    &lt;text&gt;&lt;/text&gt;&#13;&#10;  &lt;/metadata&gt;&#13;&#10;  &lt;metadata key=&quot;md_MeetingInformation&quot; /&gt;&#13;&#10;  &lt;metadata key=&quot;md_Item&quot; /&gt;&#13;&#10;  &lt;metadata key=&quot;md_SubjectPrefix&quot; /&gt;&#13;&#10;  &lt;metadata key=&quot;md_Subject&quot;&gt;&#13;&#10;    &lt;xaml text=&quot;Proposal for a REGULATION OF THE EUROPEAN PARLIAMENT AND OF THE COUNCIL on digital networks, amending Regulation (EU) 2015/2120, Directive 2002/58/EC and Decision No 676/2002/EC and repealing Regulation (EU) 2018/1971, Directive (EU) 2018/1972 and Decision No 243/2012/EU (Digital Networks Act) [doc. 5600/26 - COM(2026)16] - Reasoned opinion on the application of the Principles of Subsidiarity and Proportionality&quot;&gt;&amp;lt;FlowDocument xmlns=&quot;http://schemas.microsoft.com/winfx/2006/xaml/presentation&quot;&amp;gt;&amp;lt;Paragraph&amp;gt;Proposal for a REGULATION OF THE EUROPEAN PARLIAMENT AND OF THE COUNCIL on digital networks, amending Regulation (EU) 2015/2120, Directive 2002/58/EC and Decision No 676/2002/EC and repealing Regulation (EU) 2018/1971, Directive (EU) 2018/1972 and Decision No 243/2012/EU (Digital Networks Act)&amp;lt;/Paragraph&amp;gt;&amp;lt;Paragraph&amp;gt;[doc. 5600/26 - COM(2026)16]&amp;lt;/Paragraph&amp;gt;&amp;lt;Paragraph&amp;gt;- Reasoned opinion on the application of the Principles of Subsidiarity and Proportionality&amp;lt;/Paragraph&amp;gt;&amp;lt;/FlowDocument&amp;gt;&lt;/xaml&gt;&#13;&#10;  &lt;/metadata&gt;&#13;&#10;  &lt;metadata key=&quot;md_SubjectFootnote&quot;&gt;&#13;&#10;    &lt;text&gt;&lt;/text&gt;&#13;&#10;  &lt;/metadata&gt;&#13;&#10;  &lt;metadata key=&quot;md_DG&quot;&gt;&#13;&#10;    &lt;text&gt;TREE.2.B&lt;/text&gt;&#13;&#10;  &lt;/metadata&gt;&#13;&#10;  &lt;metadata key=&quot;md_Initials&quot;&gt;&#13;&#10;    &lt;text&gt;&lt;/text&gt;&#13;&#10;  &lt;/metadata&gt;&#13;&#10;  &lt;metadata key=&quot;md_SensitivityLabel&quot;&gt;&#13;&#10;    &lt;basicdatatype&gt;&#13;&#10;      &lt;sensitivity_label key=&quot;senslabel_01&quot; text=&quot;PUBLIC&quot; labelid=&quot;af60b174-6478-47f9-866e-33f097bb6603&quot; siteid=&quot;03ad1c97-0a4d-4e82-8f93-27291a6a0767&quot; isdefault=&quot;false&quot; /&gt;&#13;&#10;    &lt;/basicdatatype&gt;&#13;&#10;  &lt;/metadata&gt;&#13;&#10;  &lt;metadata key=&quot;md_RectifProcedureType&quot;&gt;&#13;&#10;    &lt;basicdatatype&gt;&#13;&#10;      &lt;rectifprocedure key=&quot;&quot; /&gt;&#13;&#10;    &lt;/basicdatatype&gt;&#13;&#10;  &lt;/metadata&gt;&#13;&#10;  &lt;metadata key=&quot;md_RectifLanguagesBase&quot; /&gt;&#13;&#10;  &lt;metadata key=&quot;md_RectifLanguagesConcerned&quot; /&gt;&#13;&#10;  &lt;metadata key=&quot;md_RectifIsLangSpec&quot; /&gt;&#13;&#10;  &lt;metadata key=&quot;md_RectifLangSpecValue&quot; /&gt;&#13;&#10;  &lt;metadata key=&quot;md_RectifNumberOfMistakes&quot; /&gt;&#13;&#10;  &lt;metadata key=&quot;md_RectifHasRemarks&quot; /&gt;&#13;&#10;  &lt;metadata key=&quot;md_RectifUseDocRef&quot; /&gt;&#13;&#10;  &lt;metadata key=&quot;md_RectifDocRefNumber&quot; /&gt;&#13;&#10;  &lt;metadata key=&quot;md_RectifDocRefDate&quot; /&gt;&#13;&#10;  &lt;metadata key=&quot;md_RectifUseOJRef&quot; /&gt;&#13;&#10;  &lt;metadata key=&quot;md_RectifOJRefType&quot; /&gt;&#13;&#10;  &lt;metadata key=&quot;md_RectifOJLRefNumber&quot; /&gt;&#13;&#10;  &lt;metadata key=&quot;md_RectifOJCRefNumber&quot; /&gt;&#13;&#10;  &lt;metadata key=&quot;md_RectifOJLRefDate&quot; /&gt;&#13;&#10;  &lt;metadata key=&quot;md_RectifOJCRefDate&quot; /&gt;&#13;&#10;  &lt;metadata key=&quot;md_RectifOJLRefPage&quot; /&gt;&#13;&#10;  &lt;metadata key=&quot;md_RectifOJCRefPage&quot; /&gt;&#13;&#10;  &lt;metadata key=&quot;md_RectifUseOJCorRef&quot; /&gt;&#13;&#10;  &lt;metadata key=&quot;md_RectifOJCorRefNumber&quot; /&gt;&#13;&#10;  &lt;metadata key=&quot;md_RectifOJCorRefDate&quot; /&gt;&#13;&#10;  &lt;metadata key=&quot;md_RectifOJCorRefPage&quot; /&gt;&#13;&#10;  &lt;metadata key=&quot;md_RectifTimeLimit&quot; /&gt;&#13;&#10;  &lt;metadata key=&quot;md_RectifCodecision&quot; /&gt;&#13;&#10;  &lt;metadata key=&quot;md_RectifCorrectionNewLang&quot; /&gt;&#13;&#10;  &lt;metadata key=&quot;md_RectifAgreement&quot; /&gt;&#13;&#10;  &lt;metadata key=&quot;md_RectifSignature&quot; /&gt;&#13;&#10;  &lt;metadata key=&quot;md_RectifLastMergeDate&quot; /&gt;&#13;&#10;  &lt;metadata key=&quot;md_Rectif_Source1_UniqueHeading&quot; /&gt;&#13;&#10;  &lt;metadata key=&quot;md_Rectif_Source1_DocumentType&quot; /&gt;&#13;&#10;  &lt;metadata key=&quot;md_Rectif_Source1_DocumentNumber&quot; /&gt;&#13;&#10;  &lt;metadata key=&quot;md_Rectif_Source1_YearDocumentNumber&quot; /&gt;&#13;&#10;  &lt;metadata key=&quot;md_Rectif_Source1_Suffixes&quot; /&gt;&#13;&#10;  &lt;metadata key=&quot;md_Rectif_Source2_UniqueHeading&quot; /&gt;&#13;&#10;  &lt;metadata key=&quot;md_Rectif_Source2_DocumentType&quot; /&gt;&#13;&#10;  &lt;metadata key=&quot;md_Rectif_Source2_DocumentNumber&quot; /&gt;&#13;&#10;  &lt;metadata key=&quot;md_Rectif_Source2_YearDocumentNumber&quot; /&gt;&#13;&#10;  &lt;metadata key=&quot;md_Rectif_Source2_Suffixes&quot; /&gt;&#13;&#10;  &lt;metadata key=&quot;md_CoverPageDocWithCouncilFooter&quot;&gt;&#13;&#10;    &lt;text&gt;false&lt;/text&gt;&#13;&#10;  &lt;/metadata&gt;&#13;&#10;  &lt;metadata key=&quot;md_SourceDocLanguage&quot; /&gt;&#13;&#10;  &lt;metadata key=&quot;md_SourceDocType&quot; /&gt;&#13;&#10;  &lt;metadata key=&quot;md_SourceDocTitle&quot; /&gt;&#13;&#10;  &lt;metadata key=&quot;md_SourceDocIsCECDoc&quot;&gt;&#13;&#10;    &lt;text&gt;false&lt;/text&gt;&#13;&#10;  &lt;/metadata&gt;&#13;&#10;  &lt;metadata key=&quot;md_NB1&quot; /&gt;&#13;&#10;  &lt;metadata key=&quot;md_NB2&quot; /&gt;&#13;&#10;  &lt;metadata key=&quot;md_NB3&quot; /&gt;&#13;&#10;  &lt;metadata key=&quot;md_NB4&quot; /&gt;&#13;&#10;  &lt;metadata key=&quot;md_NB5&quot; /&gt;&#13;&#10;  &lt;metadata key=&quot;md_CustomNB&quot; /&gt;&#13;&#10;  &lt;metadata key=&quot;md_Meetings&quot;&gt;&#13;&#10;    &lt;meetings /&gt;&#13;&#10;  &lt;/metadata&gt;&#13;&#10;  &lt;metadata key=&quot;md_VisualRepresentation&quot;&gt;&#13;&#10;    &lt;basicdatatype&gt;&#13;&#10;      &lt;visualrepresentation key=&quot;visrep_02&quot; text=&quot;New visual identity&quot; /&gt;&#13;&#10;    &lt;/basicdatatype&gt;&#13;&#10;  &lt;/metadata&gt;&#13;&#10;  &lt;metadata key=&quot;md_LetterData&quot; /&gt;&#13;&#10;  &lt;metadata key=&quot;md_InstFrSubWordmark&quot;&gt;&#13;&#10;    &lt;xaml text=&quot;&quot;&gt;&amp;lt;FlowDocument xmlns=&quot;http://schemas.microsoft.com/winfx/2006/xaml/presentation&quot;&amp;gt;&amp;lt;Paragraph&amp;gt;&amp;lt;/Paragraph&amp;gt;&amp;lt;/FlowDocument&amp;gt;&lt;/xaml&gt;&#13;&#10;  &lt;/metadata&gt;&#13;&#10;  &lt;metadata key=&quot;md_WorkflowLinkStatus&quot; /&gt;&#13;&#10;  &lt;metadata key=&quot;md_eAgendaLinkStatus&quot; /&gt;&#13;&#10;  &lt;metadata key=&quot;md_Caveat&quot; /&gt;&#13;&#10;  &lt;metadata key=&quot;md_TechnicalKey&quot; /&gt;&#13;&#10;&lt;/metadataset&gt;"/>
    <w:docVar w:name="CoverPageOnWordDoc" w:val="true"/>
    <w:docVar w:name="DW_KeepCompatibilityMode" w:val="true"/>
    <w:docVar w:name="DW_TechnicalBlockHash" w:val="6f914fd96966f49160d07a38ecdac7bfcc55690bdb22743197a103c93f2d8ecb"/>
  </w:docVars>
  <w:rsids>
    <w:rsidRoot w:val="00A86151"/>
    <w:rsid w:val="00052D7C"/>
    <w:rsid w:val="00144FF1"/>
    <w:rsid w:val="001C16E9"/>
    <w:rsid w:val="003558E4"/>
    <w:rsid w:val="003B3627"/>
    <w:rsid w:val="003C184A"/>
    <w:rsid w:val="00443A64"/>
    <w:rsid w:val="0054146C"/>
    <w:rsid w:val="00546796"/>
    <w:rsid w:val="007F499B"/>
    <w:rsid w:val="00854E58"/>
    <w:rsid w:val="00894139"/>
    <w:rsid w:val="00A43C50"/>
    <w:rsid w:val="00A86151"/>
    <w:rsid w:val="00D3039B"/>
    <w:rsid w:val="00D93DF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75C0-6990-4042-BE74-F3D5390DE68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settings>
</file>

<file path=word/styles.xml><?xml version="1.0" encoding="utf-8"?>
<w:styles xmlns:w="http://schemas.openxmlformats.org/wordprocessingml/2006/main">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0FF0"/>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E80D97"/>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80D97"/>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0D97"/>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0D97"/>
    <w:pPr>
      <w:keepNext/>
      <w:keepLines/>
      <w:spacing w:before="80" w:after="40"/>
      <w:outlineLvl w:val="3"/>
    </w:pPr>
    <w:rPr>
      <w:rFonts w:asciiTheme="minorHAnsi" w:hAnsiTheme="min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0D97"/>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0D97"/>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97"/>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97"/>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97"/>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ntReferChar" w:customStyle="1">
    <w:name w:val="EntRefer Char"/>
    <w:basedOn w:val="DefaultParagraphFont"/>
    <w:rsid w:val="00A43C50"/>
    <w:rPr>
      <w:rFonts w:ascii="Arial" w:hAnsi="Arial" w:eastAsia="Times New Roman" w:cs="Arial"/>
      <w:b/>
      <w:kern w:val="0"/>
      <w:sz w:val="23"/>
      <w:szCs w:val="20"/>
      <w:u w:color="606060"/>
      <w:lang w:val="en-GB" w:eastAsia="fr-BE"/>
    </w:rPr>
  </w:style>
  <w:style w:type="paragraph" w:styleId="TBDistrbMarkers" w:customStyle="1">
    <w:name w:val="TBDistrbMarkers"/>
    <w:basedOn w:val="TBEntRefer"/>
    <w:qFormat/>
    <w:rsid w:val="00894139"/>
    <w:pPr>
      <w:tabs>
        <w:tab w:val="left" w:pos="2262"/>
      </w:tabs>
    </w:pPr>
    <w:rPr>
      <w:i/>
      <w:iCs/>
      <w:szCs w:val="23"/>
    </w:rPr>
  </w:style>
  <w:style w:type="paragraph" w:styleId="TBEntACP" w:customStyle="1">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styleId="TBEntInstitACP" w:customStyle="1">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styleId="TBDocumentGroup" w:customStyle="1">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styleId="TBSubjectBold" w:customStyle="1">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styleId="Header">
    <w:name w:val="header"/>
    <w:basedOn w:val="Normal"/>
    <w:link w:val="HeaderChar"/>
    <w:uiPriority w:val="99"/>
    <w:unhideWhenUsed/>
    <w:rsid w:val="005037DB"/>
    <w:pPr>
      <w:tabs>
        <w:tab w:val="center" w:pos="4513"/>
        <w:tab w:val="right" w:pos="9026"/>
      </w:tabs>
      <w:spacing w:line="240" w:lineRule="auto"/>
    </w:pPr>
  </w:style>
  <w:style w:type="character" w:styleId="HeaderChar" w:customStyle="1">
    <w:name w:val="Header Char"/>
    <w:basedOn w:val="DefaultParagraphFont"/>
    <w:link w:val="Header"/>
    <w:uiPriority w:val="99"/>
    <w:rsid w:val="005037DB"/>
    <w:rPr>
      <w:rFonts w:ascii="Times New Roman" w:hAnsi="Times New Roman"/>
      <w:sz w:val="24"/>
    </w:rPr>
  </w:style>
  <w:style w:type="paragraph" w:styleId="Footer">
    <w:name w:val="footer"/>
    <w:basedOn w:val="Normal"/>
    <w:link w:val="FooterChar"/>
    <w:uiPriority w:val="99"/>
    <w:unhideWhenUsed/>
    <w:rsid w:val="005037DB"/>
    <w:pPr>
      <w:tabs>
        <w:tab w:val="center" w:pos="4513"/>
        <w:tab w:val="right" w:pos="9026"/>
      </w:tabs>
      <w:spacing w:line="240" w:lineRule="auto"/>
    </w:pPr>
  </w:style>
  <w:style w:type="character" w:styleId="FooterChar" w:customStyle="1">
    <w:name w:val="Footer Char"/>
    <w:basedOn w:val="DefaultParagraphFont"/>
    <w:link w:val="Footer"/>
    <w:uiPriority w:val="99"/>
    <w:rsid w:val="005037DB"/>
    <w:rPr>
      <w:rFonts w:ascii="Times New Roman" w:hAnsi="Times New Roman"/>
      <w:sz w:val="24"/>
    </w:rPr>
  </w:style>
  <w:style w:type="character" w:styleId="Heading1Char" w:customStyle="1">
    <w:name w:val="Heading 1 Char"/>
    <w:basedOn w:val="DefaultParagraphFont"/>
    <w:link w:val="Heading1"/>
    <w:uiPriority w:val="9"/>
    <w:rsid w:val="00E80D97"/>
    <w:rPr>
      <w:rFonts w:asciiTheme="majorHAnsi" w:hAnsiTheme="majorHAnsi" w:eastAsiaTheme="majorEastAsia" w:cstheme="majorBidi"/>
      <w:color w:val="365F91" w:themeColor="accent1" w:themeShade="BF"/>
      <w:sz w:val="40"/>
      <w:szCs w:val="40"/>
      <w:lang w:val="fr-CA"/>
    </w:rPr>
  </w:style>
  <w:style w:type="character" w:styleId="Heading2Char" w:customStyle="1">
    <w:name w:val="Heading 2 Char"/>
    <w:basedOn w:val="DefaultParagraphFont"/>
    <w:link w:val="Heading2"/>
    <w:uiPriority w:val="9"/>
    <w:semiHidden/>
    <w:rsid w:val="00E80D97"/>
    <w:rPr>
      <w:rFonts w:asciiTheme="majorHAnsi" w:hAnsiTheme="majorHAnsi" w:eastAsiaTheme="majorEastAsia" w:cstheme="majorBidi"/>
      <w:color w:val="365F91" w:themeColor="accent1" w:themeShade="BF"/>
      <w:sz w:val="32"/>
      <w:szCs w:val="32"/>
      <w:lang w:val="fr-CA"/>
    </w:rPr>
  </w:style>
  <w:style w:type="character" w:styleId="Heading3Char" w:customStyle="1">
    <w:name w:val="Heading 3 Char"/>
    <w:basedOn w:val="DefaultParagraphFont"/>
    <w:link w:val="Heading3"/>
    <w:uiPriority w:val="9"/>
    <w:semiHidden/>
    <w:rsid w:val="00E80D97"/>
    <w:rPr>
      <w:rFonts w:eastAsiaTheme="majorEastAsia" w:cstheme="majorBidi"/>
      <w:color w:val="365F91" w:themeColor="accent1" w:themeShade="BF"/>
      <w:sz w:val="28"/>
      <w:szCs w:val="28"/>
      <w:lang w:val="fr-CA"/>
    </w:rPr>
  </w:style>
  <w:style w:type="character" w:styleId="Heading4Char" w:customStyle="1">
    <w:name w:val="Heading 4 Char"/>
    <w:basedOn w:val="DefaultParagraphFont"/>
    <w:link w:val="Heading4"/>
    <w:uiPriority w:val="9"/>
    <w:semiHidden/>
    <w:rsid w:val="00E80D97"/>
    <w:rPr>
      <w:rFonts w:eastAsiaTheme="majorEastAsia" w:cstheme="majorBidi"/>
      <w:i/>
      <w:iCs/>
      <w:color w:val="365F91" w:themeColor="accent1" w:themeShade="BF"/>
      <w:sz w:val="24"/>
      <w:lang w:val="fr-CA"/>
    </w:rPr>
  </w:style>
  <w:style w:type="character" w:styleId="Heading5Char" w:customStyle="1">
    <w:name w:val="Heading 5 Char"/>
    <w:basedOn w:val="DefaultParagraphFont"/>
    <w:link w:val="Heading5"/>
    <w:uiPriority w:val="9"/>
    <w:semiHidden/>
    <w:rsid w:val="00E80D97"/>
    <w:rPr>
      <w:rFonts w:eastAsiaTheme="majorEastAsia" w:cstheme="majorBidi"/>
      <w:color w:val="365F91" w:themeColor="accent1" w:themeShade="BF"/>
      <w:sz w:val="24"/>
      <w:lang w:val="fr-CA"/>
    </w:rPr>
  </w:style>
  <w:style w:type="character" w:styleId="Heading6Char" w:customStyle="1">
    <w:name w:val="Heading 6 Char"/>
    <w:basedOn w:val="DefaultParagraphFont"/>
    <w:link w:val="Heading6"/>
    <w:uiPriority w:val="9"/>
    <w:semiHidden/>
    <w:rsid w:val="00E80D97"/>
    <w:rPr>
      <w:rFonts w:eastAsiaTheme="majorEastAsia" w:cstheme="majorBidi"/>
      <w:i/>
      <w:iCs/>
      <w:color w:val="595959" w:themeColor="text1" w:themeTint="A6"/>
      <w:sz w:val="24"/>
      <w:lang w:val="fr-CA"/>
    </w:rPr>
  </w:style>
  <w:style w:type="character" w:styleId="Heading7Char" w:customStyle="1">
    <w:name w:val="Heading 7 Char"/>
    <w:basedOn w:val="DefaultParagraphFont"/>
    <w:link w:val="Heading7"/>
    <w:uiPriority w:val="9"/>
    <w:semiHidden/>
    <w:rsid w:val="00E80D97"/>
    <w:rPr>
      <w:rFonts w:eastAsiaTheme="majorEastAsia" w:cstheme="majorBidi"/>
      <w:color w:val="595959" w:themeColor="text1" w:themeTint="A6"/>
      <w:sz w:val="24"/>
      <w:lang w:val="fr-CA"/>
    </w:rPr>
  </w:style>
  <w:style w:type="character" w:styleId="Heading8Char" w:customStyle="1">
    <w:name w:val="Heading 8 Char"/>
    <w:basedOn w:val="DefaultParagraphFont"/>
    <w:link w:val="Heading8"/>
    <w:uiPriority w:val="9"/>
    <w:semiHidden/>
    <w:rsid w:val="00E80D97"/>
    <w:rPr>
      <w:rFonts w:eastAsiaTheme="majorEastAsia" w:cstheme="majorBidi"/>
      <w:i/>
      <w:iCs/>
      <w:color w:val="272727" w:themeColor="text1" w:themeTint="D8"/>
      <w:sz w:val="24"/>
      <w:lang w:val="fr-CA"/>
    </w:rPr>
  </w:style>
  <w:style w:type="character" w:styleId="Heading9Char" w:customStyle="1">
    <w:name w:val="Heading 9 Char"/>
    <w:basedOn w:val="DefaultParagraphFont"/>
    <w:link w:val="Heading9"/>
    <w:uiPriority w:val="9"/>
    <w:semiHidden/>
    <w:rsid w:val="00E80D97"/>
    <w:rPr>
      <w:rFonts w:eastAsiaTheme="majorEastAsia" w:cstheme="majorBidi"/>
      <w:color w:val="272727" w:themeColor="text1" w:themeTint="D8"/>
      <w:sz w:val="24"/>
      <w:lang w:val="fr-CA"/>
    </w:rPr>
  </w:style>
  <w:style w:type="paragraph" w:styleId="Title">
    <w:name w:val="Title"/>
    <w:basedOn w:val="Normal"/>
    <w:next w:val="Normal"/>
    <w:link w:val="TitleChar"/>
    <w:uiPriority w:val="10"/>
    <w:qFormat/>
    <w:rsid w:val="00E80D9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80D97"/>
    <w:rPr>
      <w:rFonts w:asciiTheme="majorHAnsi" w:hAnsiTheme="majorHAnsi" w:eastAsiaTheme="majorEastAsia" w:cstheme="majorBidi"/>
      <w:spacing w:val="-10"/>
      <w:kern w:val="28"/>
      <w:sz w:val="56"/>
      <w:szCs w:val="56"/>
      <w:lang w:val="fr-CA"/>
    </w:rPr>
  </w:style>
  <w:style w:type="paragraph" w:styleId="Subtitle">
    <w:name w:val="Subtitle"/>
    <w:basedOn w:val="Normal"/>
    <w:next w:val="Normal"/>
    <w:link w:val="SubtitleChar"/>
    <w:uiPriority w:val="11"/>
    <w:qFormat/>
    <w:rsid w:val="00E80D97"/>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80D97"/>
    <w:rPr>
      <w:rFonts w:eastAsiaTheme="majorEastAsia" w:cstheme="majorBidi"/>
      <w:color w:val="595959" w:themeColor="text1" w:themeTint="A6"/>
      <w:spacing w:val="15"/>
      <w:sz w:val="28"/>
      <w:szCs w:val="28"/>
      <w:lang w:val="fr-CA"/>
    </w:rPr>
  </w:style>
  <w:style w:type="paragraph" w:styleId="Quote">
    <w:name w:val="Quote"/>
    <w:basedOn w:val="Normal"/>
    <w:next w:val="Normal"/>
    <w:link w:val="QuoteChar"/>
    <w:uiPriority w:val="29"/>
    <w:qFormat/>
    <w:rsid w:val="00E80D97"/>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80D97"/>
    <w:rPr>
      <w:rFonts w:ascii="Times New Roman" w:hAnsi="Times New Roman"/>
      <w:i/>
      <w:iCs/>
      <w:color w:val="404040" w:themeColor="text1" w:themeTint="BF"/>
      <w:sz w:val="24"/>
      <w:lang w:val="fr-CA"/>
    </w:rPr>
  </w:style>
  <w:style w:type="paragraph" w:styleId="ListParagraph">
    <w:name w:val="List Paragraph"/>
    <w:basedOn w:val="Normal"/>
    <w:uiPriority w:val="34"/>
    <w:qFormat/>
    <w:rsid w:val="00E80D97"/>
    <w:pPr>
      <w:ind w:left="720"/>
      <w:contextualSpacing/>
    </w:pPr>
  </w:style>
  <w:style w:type="character" w:styleId="IntenseEmphasis">
    <w:name w:val="Intense Emphasis"/>
    <w:basedOn w:val="DefaultParagraphFont"/>
    <w:uiPriority w:val="21"/>
    <w:qFormat/>
    <w:rsid w:val="00E80D97"/>
    <w:rPr>
      <w:i/>
      <w:iCs/>
      <w:color w:val="365F91" w:themeColor="accent1" w:themeShade="BF"/>
    </w:rPr>
  </w:style>
  <w:style w:type="paragraph" w:styleId="IntenseQuote">
    <w:name w:val="Intense Quote"/>
    <w:basedOn w:val="Normal"/>
    <w:next w:val="Normal"/>
    <w:link w:val="IntenseQuoteChar"/>
    <w:uiPriority w:val="30"/>
    <w:qFormat/>
    <w:rsid w:val="00E80D97"/>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E80D97"/>
    <w:rPr>
      <w:rFonts w:ascii="Times New Roman" w:hAnsi="Times New Roman"/>
      <w:i/>
      <w:iCs/>
      <w:color w:val="365F91" w:themeColor="accent1" w:themeShade="BF"/>
      <w:sz w:val="24"/>
      <w:lang w:val="fr-CA"/>
    </w:rPr>
  </w:style>
  <w:style w:type="character" w:styleId="IntenseReference">
    <w:name w:val="Intense Reference"/>
    <w:basedOn w:val="DefaultParagraphFont"/>
    <w:uiPriority w:val="32"/>
    <w:qFormat/>
    <w:rsid w:val="00E80D97"/>
    <w:rPr>
      <w:b/>
      <w:bCs/>
      <w:smallCaps/>
      <w:color w:val="365F91" w:themeColor="accent1" w:themeShade="BF"/>
      <w:spacing w:val="5"/>
    </w:rPr>
  </w:style>
  <w:style w:type="paragraph" w:styleId="NoSpacing">
    <w:name w:val="No Spacing"/>
    <w:uiPriority w:val="1"/>
    <w:qFormat/>
    <w:rsid w:val="007E0FF0"/>
    <w:pPr>
      <w:spacing w:after="0" w:line="240" w:lineRule="auto"/>
    </w:pPr>
    <w:rPr>
      <w:rFonts w:ascii="Times New Roman" w:hAnsi="Times New Roman"/>
      <w:sz w:val="24"/>
    </w:rPr>
  </w:style>
  <w:style w:type="paragraph" w:styleId="TBEntInstit" w:customStyle="1">
    <w:name w:val="TBEntInstit"/>
    <w:basedOn w:val="TechnicalBlockBase"/>
    <w:link w:val="EntInstitChar"/>
    <w:rsid w:val="000A5CC0"/>
    <w:pPr>
      <w:spacing w:before="0" w:after="60" w:line="240" w:lineRule="auto"/>
      <w:ind w:left="0" w:right="0"/>
      <w:jc w:val="right"/>
    </w:pPr>
    <w:rPr>
      <w:rFonts w:ascii="Arial" w:hAnsi="Arial"/>
      <w:i w:val="0"/>
      <w:dstrike w:val="0"/>
      <w:color w:val="auto"/>
      <w:w w:val="100"/>
      <w:sz w:val="23"/>
      <w:u w:val="none"/>
    </w:rPr>
  </w:style>
  <w:style w:type="paragraph" w:styleId="TBEntRefer" w:customStyle="1">
    <w:name w:val="TBEntRefer"/>
    <w:basedOn w:val="TechnicalBlockBase"/>
    <w:rsid w:val="000A5CC0"/>
    <w:pPr>
      <w:spacing w:before="0" w:after="0" w:line="240" w:lineRule="auto"/>
      <w:ind w:left="0" w:right="0"/>
    </w:pPr>
    <w:rPr>
      <w:rFonts w:ascii="Arial" w:hAnsi="Arial"/>
      <w:i w:val="0"/>
      <w:dstrike w:val="0"/>
      <w:color w:val="auto"/>
      <w:w w:val="100"/>
      <w:sz w:val="23"/>
      <w:u w:val="none"/>
    </w:rPr>
  </w:style>
  <w:style w:type="paragraph" w:styleId="TBEntReferNew" w:customStyle="1">
    <w:name w:val="TBEntReferNew"/>
    <w:basedOn w:val="TechnicalBlockBase"/>
    <w:rsid w:val="000A5CC0"/>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styleId="TBInstitution" w:customStyle="1">
    <w:name w:val="TBInstitution"/>
    <w:basedOn w:val="TechnicalBlockBase"/>
    <w:rsid w:val="000A5CC0"/>
    <w:pPr>
      <w:spacing w:before="0" w:after="28" w:line="204" w:lineRule="auto"/>
      <w:ind w:left="0" w:right="0"/>
    </w:pPr>
    <w:rPr>
      <w:rFonts w:ascii="Arial" w:hAnsi="Arial"/>
      <w:i w:val="0"/>
      <w:dstrike w:val="0"/>
      <w:color w:val="626262"/>
      <w:spacing w:val="4"/>
      <w:w w:val="100"/>
      <w:sz w:val="24"/>
      <w:szCs w:val="23"/>
      <w:u w:val="none"/>
    </w:rPr>
  </w:style>
  <w:style w:type="paragraph" w:styleId="TBNormalTechnicalBlock" w:customStyle="1">
    <w:name w:val="TBNormalTechnicalBlock"/>
    <w:basedOn w:val="TechnicalBlockBase"/>
    <w:rsid w:val="000A5CC0"/>
    <w:pPr>
      <w:spacing w:before="0" w:after="0" w:line="216" w:lineRule="auto"/>
      <w:ind w:left="0" w:right="0"/>
      <w:contextualSpacing/>
    </w:pPr>
    <w:rPr>
      <w:rFonts w:ascii="Arial" w:hAnsi="Arial"/>
      <w:i w:val="0"/>
      <w:dstrike w:val="0"/>
      <w:color w:val="auto"/>
      <w:w w:val="100"/>
      <w:sz w:val="23"/>
      <w:szCs w:val="23"/>
      <w:u w:val="none"/>
    </w:rPr>
  </w:style>
  <w:style w:type="paragraph" w:styleId="TBInstitutionSubwordmark" w:customStyle="1">
    <w:name w:val="TBInstitutionSubwordmark"/>
    <w:basedOn w:val="TechnicalBlockBase"/>
    <w:rsid w:val="000A5CC0"/>
    <w:pPr>
      <w:spacing w:before="0" w:after="0" w:line="204" w:lineRule="auto"/>
      <w:ind w:left="0" w:right="0"/>
    </w:pPr>
    <w:rPr>
      <w:rFonts w:ascii="Arial" w:hAnsi="Arial"/>
      <w:b w:val="0"/>
      <w:i w:val="0"/>
      <w:dstrike w:val="0"/>
      <w:color w:val="626262"/>
      <w:spacing w:val="4"/>
      <w:w w:val="100"/>
      <w:sz w:val="24"/>
      <w:u w:val="none"/>
    </w:rPr>
  </w:style>
  <w:style w:type="paragraph" w:styleId="TBSousEmbargo" w:customStyle="1">
    <w:name w:val="TBSousEmbargo"/>
    <w:basedOn w:val="TechnicalBlockBase"/>
    <w:qFormat/>
    <w:rsid w:val="000A5CC0"/>
    <w:pPr>
      <w:spacing w:before="360" w:after="360" w:line="240" w:lineRule="auto"/>
      <w:ind w:left="0" w:right="0"/>
      <w:jc w:val="center"/>
    </w:pPr>
    <w:rPr>
      <w:rFonts w:ascii="Arial" w:hAnsi="Arial"/>
      <w:i w:val="0"/>
      <w:dstrike w:val="0"/>
      <w:color w:val="auto"/>
      <w:w w:val="100"/>
      <w:sz w:val="23"/>
      <w:szCs w:val="23"/>
      <w:u w:val="double"/>
    </w:rPr>
  </w:style>
  <w:style w:type="character" w:styleId="EntInstitChar" w:customStyle="1">
    <w:name w:val="EntInstit Char"/>
    <w:basedOn w:val="DefaultParagraphFont"/>
    <w:link w:val="TBEntInstit"/>
    <w:rsid w:val="000A5CC0"/>
    <w:rPr>
      <w:rFonts w:ascii="Arial" w:hAnsi="Arial" w:eastAsia="Times New Roman" w:cs="Arial"/>
      <w:b/>
      <w:sz w:val="23"/>
      <w:szCs w:val="20"/>
      <w:u w:color="606060"/>
      <w:lang w:eastAsia="fr-BE"/>
    </w:rPr>
  </w:style>
  <w:style w:type="paragraph" w:styleId="TBSubjectTable" w:customStyle="1">
    <w:name w:val="TBSubjectTable"/>
    <w:basedOn w:val="TechnicalBlockBase"/>
    <w:rsid w:val="000A5CC0"/>
    <w:pPr>
      <w:widowControl/>
      <w:spacing w:before="40" w:after="40" w:line="240" w:lineRule="auto"/>
      <w:ind w:left="0" w:right="0"/>
    </w:pPr>
    <w:rPr>
      <w:rFonts w:ascii="Arial" w:hAnsi="Arial"/>
      <w:b w:val="0"/>
      <w:i w:val="0"/>
      <w:dstrike w:val="0"/>
      <w:color w:val="auto"/>
      <w:w w:val="100"/>
      <w:sz w:val="23"/>
      <w:u w:val="none"/>
    </w:rPr>
  </w:style>
  <w:style w:type="paragraph" w:styleId="TBHeadingTable" w:customStyle="1">
    <w:name w:val="TBHeadingTable"/>
    <w:basedOn w:val="TechnicalBlockBase"/>
    <w:rsid w:val="000A5CC0"/>
    <w:pPr>
      <w:widowControl/>
      <w:spacing w:before="240" w:after="40" w:line="240" w:lineRule="auto"/>
      <w:ind w:left="0" w:right="0"/>
    </w:pPr>
    <w:rPr>
      <w:rFonts w:ascii="Arial" w:hAnsi="Arial"/>
      <w:i w:val="0"/>
      <w:dstrike w:val="0"/>
      <w:color w:val="auto"/>
      <w:w w:val="100"/>
      <w:sz w:val="23"/>
      <w:u w:val="none"/>
    </w:rPr>
  </w:style>
  <w:style w:type="paragraph" w:styleId="TBSubjectText" w:customStyle="1">
    <w:name w:val="TBSubjectText"/>
    <w:basedOn w:val="TechnicalBlockBase"/>
    <w:qFormat/>
    <w:rsid w:val="000A5CC0"/>
    <w:pPr>
      <w:widowControl/>
      <w:spacing w:before="40" w:after="40" w:line="240" w:lineRule="auto"/>
      <w:ind w:left="0" w:right="0"/>
    </w:pPr>
    <w:rPr>
      <w:rFonts w:ascii="Arial" w:hAnsi="Arial"/>
      <w:b w:val="0"/>
      <w:i w:val="0"/>
      <w:dstrike w:val="0"/>
      <w:color w:val="auto"/>
      <w:w w:val="100"/>
      <w:sz w:val="23"/>
      <w:u w:val="none"/>
    </w:rPr>
  </w:style>
  <w:style w:type="paragraph" w:styleId="TechnicalBlockBase" w:customStyle="1">
    <w:name w:val="TechnicalBlockBase"/>
    <w:link w:val="TechnicalBlockBaseChar"/>
    <w:rsid w:val="000A5CC0"/>
    <w:pPr>
      <w:widowControl w:val="0"/>
      <w:spacing w:before="140" w:after="140" w:line="185" w:lineRule="auto"/>
      <w:ind w:left="260" w:right="260"/>
    </w:pPr>
    <w:rPr>
      <w:rFonts w:ascii="Arial New Roman" w:hAnsi="Arial New Roman" w:eastAsia="Times New Roman" w:cs="Arial"/>
      <w:b/>
      <w:i/>
      <w:dstrike/>
      <w:color w:val="606060"/>
      <w:w w:val="98"/>
      <w:sz w:val="10"/>
      <w:szCs w:val="20"/>
      <w:u w:val="words" w:color="606060"/>
      <w:lang w:eastAsia="fr-BE"/>
    </w:rPr>
  </w:style>
  <w:style w:type="character" w:styleId="TechnicalBlockBaseChar" w:customStyle="1">
    <w:name w:val="TechnicalBlockBase Char"/>
    <w:basedOn w:val="EntInstitChar"/>
    <w:link w:val="TechnicalBlockBase"/>
    <w:rsid w:val="000A5CC0"/>
    <w:rPr>
      <w:rFonts w:ascii="Arial New Roman" w:hAnsi="Arial New Roman" w:eastAsia="Times New Roman" w:cs="Arial"/>
      <w:b/>
      <w:i/>
      <w:dstrike/>
      <w:color w:val="606060"/>
      <w:w w:val="98"/>
      <w:sz w:val="10"/>
      <w:szCs w:val="20"/>
      <w:u w:val="words" w:color="606060"/>
      <w:lang w:eastAsia="fr-BE"/>
    </w:rPr>
  </w:style>
  <w:style w:type="paragraph" w:styleId="EntText" w:customStyle="1">
    <w:name w:val="EntText"/>
    <w:basedOn w:val="Normal"/>
    <w:rsid w:val="00817271"/>
    <w:pPr>
      <w:spacing w:before="120" w:after="120"/>
    </w:pPr>
    <w:rPr>
      <w:rFonts w:cs="Times New Roman"/>
    </w:rPr>
  </w:style>
  <w:style w:type="paragraph" w:styleId="Lignefinal" w:customStyle="1">
    <w:name w:val="Ligne final"/>
    <w:basedOn w:val="Normal"/>
    <w:next w:val="Normal"/>
    <w:rsid w:val="00817271"/>
    <w:pPr>
      <w:pBdr>
        <w:bottom w:val="single" w:color="000000" w:sz="4" w:space="0"/>
      </w:pBdr>
      <w:spacing w:before="360" w:after="120"/>
      <w:ind w:left="3400" w:right="3400"/>
      <w:jc w:val="center"/>
    </w:pPr>
    <w:rPr>
      <w:rFonts w:cs="Times New Roman"/>
      <w:b/>
    </w:rPr>
  </w:style>
  <w:style w:type="character" w:styleId="Marker" w:customStyle="1">
    <w:name w:val="Marker"/>
    <w:basedOn w:val="DefaultParagraphFont"/>
    <w:rsid w:val="00817271"/>
    <w:rPr>
      <w:color w:val="0000FF"/>
      <w:bdr w:val="none" w:color="auto" w:sz="0" w:space="0"/>
      <w:shd w:val="clear" w:color="auto" w:fill="auto"/>
    </w:rPr>
  </w:style>
  <w:style w:type="paragraph" w:styleId="pj" w:customStyle="1">
    <w:name w:val="p.j."/>
    <w:basedOn w:val="Normal"/>
    <w:link w:val="pjChar"/>
    <w:rsid w:val="00817271"/>
    <w:pPr>
      <w:spacing w:before="1200" w:after="120" w:line="240" w:lineRule="auto"/>
      <w:ind w:left="1440" w:hanging="1440"/>
    </w:pPr>
    <w:rPr>
      <w:rFonts w:cs="Times New Roman"/>
    </w:rPr>
  </w:style>
  <w:style w:type="character" w:styleId="pjChar" w:customStyle="1">
    <w:name w:val="p.j. Char"/>
    <w:basedOn w:val="DefaultParagraphFont"/>
    <w:link w:val="pj"/>
    <w:rsid w:val="00817271"/>
    <w:rPr>
      <w:rFonts w:ascii="Times New Roman" w:hAnsi="Times New Roman" w:cs="Times New Roman"/>
      <w:sz w:val="24"/>
    </w:rPr>
  </w:style>
  <w:style w:type="paragraph" w:styleId="nbbordered" w:customStyle="1">
    <w:name w:val="nb bordered"/>
    <w:basedOn w:val="Normal"/>
    <w:link w:val="nbborderedChar"/>
    <w:rsid w:val="00817271"/>
    <w:pPr>
      <w:pBdr>
        <w:top w:val="single" w:color="auto" w:sz="4" w:space="1"/>
        <w:left w:val="single" w:color="auto" w:sz="4" w:space="4"/>
        <w:bottom w:val="single" w:color="auto" w:sz="4" w:space="1"/>
        <w:right w:val="single" w:color="auto" w:sz="4" w:space="4"/>
        <w:between w:val="single" w:color="auto" w:sz="4" w:space="0"/>
      </w:pBdr>
      <w:spacing w:after="160" w:line="240" w:lineRule="auto"/>
      <w:ind w:left="480" w:hanging="480"/>
    </w:pPr>
    <w:rPr>
      <w:rFonts w:cs="Times New Roman"/>
      <w:b/>
    </w:rPr>
  </w:style>
  <w:style w:type="character" w:styleId="nbborderedChar" w:customStyle="1">
    <w:name w:val="nb bordered Char"/>
    <w:basedOn w:val="DefaultParagraphFont"/>
    <w:link w:val="nbbordered"/>
    <w:rsid w:val="00817271"/>
    <w:rPr>
      <w:rFonts w:ascii="Times New Roman" w:hAnsi="Times New Roman" w:cs="Times New Roman"/>
      <w:b/>
      <w:sz w:val="24"/>
    </w:rPr>
  </w:style>
  <w:style w:type="paragraph" w:styleId="HeaderCouncil" w:customStyle="1">
    <w:name w:val="Header Council"/>
    <w:basedOn w:val="Normal"/>
    <w:link w:val="HeaderCouncilChar"/>
    <w:rsid w:val="00817271"/>
    <w:rPr>
      <w:rFonts w:ascii="Times New Roman" w:hAnsi="Times New Roman" w:cs="Times New Roman"/>
      <w:sz w:val="2"/>
    </w:rPr>
    <w:pPr>
      <w:spacing w:before="0" w:after="0"/>
    </w:pPr>
  </w:style>
  <w:style w:type="character" w:styleId="HeaderCouncilChar" w:customStyle="1">
    <w:name w:val="Header Council Char"/>
    <w:basedOn w:val="pjChar"/>
    <w:link w:val="HeaderCouncil"/>
    <w:rsid w:val="00817271"/>
    <w:rPr>
      <w:rFonts w:ascii="Times New Roman" w:hAnsi="Times New Roman" w:cs="Times New Roman"/>
      <w:sz w:val="2"/>
    </w:rPr>
  </w:style>
  <w:style w:type="paragraph" w:styleId="HeaderCouncilLarge" w:customStyle="1">
    <w:name w:val="Header Council Large"/>
    <w:basedOn w:val="Normal"/>
    <w:link w:val="HeaderCouncilLargeChar"/>
    <w:rsid w:val="00817271"/>
    <w:pPr>
      <w:spacing w:before="0" w:after="440"/>
    </w:pPr>
    <w:rPr>
      <w:rFonts w:ascii="Times New Roman" w:hAnsi="Times New Roman" w:cs="Times New Roman"/>
      <w:sz w:val="2"/>
    </w:rPr>
  </w:style>
  <w:style w:type="character" w:styleId="HeaderCouncilLargeChar" w:customStyle="1">
    <w:name w:val="Header Council Large Char"/>
    <w:basedOn w:val="pjChar"/>
    <w:link w:val="HeaderCouncilLarge"/>
    <w:rsid w:val="00817271"/>
    <w:rPr>
      <w:rFonts w:ascii="Times New Roman" w:hAnsi="Times New Roman" w:cs="Times New Roman"/>
      <w:sz w:val="2"/>
    </w:rPr>
  </w:style>
  <w:style w:type="paragraph" w:styleId="FooterCouncil" w:customStyle="1">
    <w:name w:val="Footer Council"/>
    <w:basedOn w:val="Normal"/>
    <w:link w:val="FooterCouncilChar"/>
    <w:rsid w:val="00817271"/>
    <w:rPr>
      <w:rFonts w:ascii="Times New Roman" w:hAnsi="Times New Roman" w:cs="Times New Roman"/>
      <w:sz w:val="2"/>
    </w:rPr>
    <w:pPr>
      <w:spacing w:before="0" w:after="0"/>
    </w:pPr>
  </w:style>
  <w:style w:type="character" w:styleId="FooterCouncilChar" w:customStyle="1">
    <w:name w:val="Footer Council Char"/>
    <w:basedOn w:val="pjChar"/>
    <w:link w:val="FooterCouncil"/>
    <w:rsid w:val="00817271"/>
    <w:rPr>
      <w:rFonts w:ascii="Times New Roman" w:hAnsi="Times New Roman" w:cs="Times New Roman"/>
      <w:sz w:val="2"/>
    </w:rPr>
  </w:style>
  <w:style w:type="paragraph" w:styleId="FooterText" w:customStyle="1">
    <w:name w:val="Footer Text"/>
    <w:basedOn w:val="Normal"/>
    <w:rsid w:val="00817271"/>
    <w:pPr>
      <w:spacing w:before="0" w:after="0" w:line="240" w:lineRule="auto"/>
    </w:pPr>
    <w:rPr>
      <w:rFonts w:ascii="Times New Roman" w:hAnsi="Times New Roman" w:eastAsia="Times New Roman" w:cs="Times New Roman"/>
      <w:szCs w:val="24"/>
      <w:sz w:val="24"/>
      <w:color w:val="auto"/>
    </w:rPr>
  </w:style>
  <w:style w:type="character" w:styleId="PlaceholderText">
    <w:name w:val="Placeholder Text"/>
    <w:basedOn w:val="DefaultParagraphFont"/>
    <w:uiPriority w:val="99"/>
    <w:semiHidden/>
    <w:rsid w:val="00817271"/>
    <w:rPr>
      <w:color w:val="808080"/>
    </w:rPr>
  </w:style>
  <w:style w:type="paragraph" w:styleId="FootnoteText">
    <w:name w:val="footnote text"/>
    <w:basedOn w:val="Normal"/>
    <w:link w:val="FootnoteTextChar"/>
    <w:uiPriority w:val="99"/>
    <w:semiHidden/>
    <w:unhideWhenUsed/>
    <w:rsid w:val="000A5CC0"/>
    <w:pPr>
      <w:spacing w:line="240" w:lineRule="auto"/>
    </w:pPr>
    <w:rPr>
      <w:rFonts w:asciiTheme="minorHAnsi" w:hAnsiTheme="minorHAnsi"/>
      <w:sz w:val="20"/>
      <w:szCs w:val="20"/>
      <w:lang w:val="en-US"/>
    </w:rPr>
  </w:style>
  <w:style w:type="character" w:styleId="FootnoteTextChar" w:customStyle="1">
    <w:name w:val="Footnote Text Char"/>
    <w:basedOn w:val="DefaultParagraphFont"/>
    <w:link w:val="FootnoteText"/>
    <w:uiPriority w:val="99"/>
    <w:semiHidden/>
    <w:rsid w:val="000A5CC0"/>
    <w:rPr>
      <w:sz w:val="20"/>
      <w:szCs w:val="20"/>
      <w:lang w:val="en-US"/>
    </w:rPr>
  </w:style>
  <w:style w:type="character" w:styleId="FootnoteReference">
    <w:name w:val="footnote reference"/>
    <w:basedOn w:val="DefaultParagraphFont"/>
    <w:uiPriority w:val="99"/>
    <w:semiHidden/>
    <w:unhideWhenUsed/>
    <w:rsid w:val="000A5CC0"/>
    <w:rPr>
      <w:vertAlign w:val="superscript"/>
    </w:rPr>
  </w:style>
  <w:style w:type="character" w:styleId="Hyperlink">
    <w:name w:val="Hyperlink"/>
    <w:basedOn w:val="DefaultParagraphFont"/>
    <w:uiPriority w:val="99"/>
    <w:unhideWhenUsed/>
    <w:rsid w:val="000A5CC0"/>
    <w:rPr>
      <w:color w:val="0000FF" w:themeColor="hyperlink"/>
      <w:u w:val="single"/>
    </w:rPr>
  </w:style>
  <w:style w:type="character" w:styleId="FollowedHyperlink">
    <w:name w:val="FollowedHyperlink"/>
    <w:basedOn w:val="DefaultParagraphFont"/>
    <w:uiPriority w:val="99"/>
    <w:semiHidden/>
    <w:unhideWhenUsed/>
    <w:rsid w:val="000A5CC0"/>
    <w:rPr>
      <w:color w:val="800080" w:themeColor="followedHyperlink"/>
      <w:u w:val="single"/>
    </w:rPr>
  </w:style>
  <w:style w:type="character" w:styleId="UnresolvedMention">
    <w:name w:val="Unresolved Mention"/>
    <w:basedOn w:val="DefaultParagraphFont"/>
    <w:uiPriority w:val="99"/>
    <w:semiHidden/>
    <w:unhideWhenUsed/>
    <w:rsid w:val="000500D7"/>
    <w:rPr>
      <w:color w:val="605E5C"/>
      <w:shd w:val="clear" w:color="auto" w:fill="E1DFDD"/>
    </w:rPr>
  </w:style>
  <w:style w:type="paragraph" w:styleId="LoiTexte" w:customStyle="1">
    <w:name w:val="* Loi Texte"/>
    <w:basedOn w:val="Normal"/>
    <w:rsid w:val="00E212D2"/>
    <w:pPr>
      <w:tabs>
        <w:tab w:val="right" w:leader="dot" w:pos="7371"/>
      </w:tabs>
      <w:overflowPunct w:val="0"/>
      <w:autoSpaceDE w:val="0"/>
      <w:autoSpaceDN w:val="0"/>
      <w:adjustRightInd w:val="0"/>
      <w:spacing w:after="240" w:line="240" w:lineRule="auto"/>
      <w:ind w:firstLine="510"/>
      <w:jc w:val="both"/>
      <w:textAlignment w:val="baseline"/>
    </w:pPr>
    <w:rPr>
      <w:rFonts w:cs="Times New Roman"/>
      <w:bCs/>
      <w:sz w:val="28"/>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4e1045d545c74cf5" Type="http://schemas.openxmlformats.org/officeDocument/2006/relationships/fontTable" Target="/word/fontTable.xml"/><Relationship Id="R82d25b9376b74f35" Type="http://schemas.openxmlformats.org/officeDocument/2006/relationships/footer" Target="/word/footer1.xml"/><Relationship Id="R3988003de50d4650" Type="http://schemas.openxmlformats.org/officeDocument/2006/relationships/header" Target="/word/header5.xml"/><Relationship Id="R11b3ebd8907d4198" Type="http://schemas.openxmlformats.org/officeDocument/2006/relationships/footer" Target="/word/footer4.xml"/><Relationship Id="Re11dd14cbdb5419f" Type="http://schemas.openxmlformats.org/officeDocument/2006/relationships/header" Target="/word/header8.xml"/><Relationship Id="R0255dc187d2a40e3" Type="http://schemas.openxmlformats.org/officeDocument/2006/relationships/footer" Target="/word/footer10.xml"/><Relationship Id="rId3" Type="http://schemas.openxmlformats.org/officeDocument/2006/relationships/customXml" Target="../customXml/item3.xml"/><Relationship Id="R8a0e9050935747e2" Type="http://schemas.openxmlformats.org/officeDocument/2006/relationships/endnotes" Target="/word/endnotes.xml"/><Relationship Id="R22ef94090d7d4c6c" Type="http://schemas.openxmlformats.org/officeDocument/2006/relationships/webSettings" Target="/word/webSettings.xml"/><Relationship Id="R300797f8386b4dab" Type="http://schemas.openxmlformats.org/officeDocument/2006/relationships/image" Target="/media/image.bin"/><Relationship Id="R702350ebd37e4678" Type="http://schemas.openxmlformats.org/officeDocument/2006/relationships/footer" Target="/word/footer2.xml"/><Relationship Id="Rcc7b26ca1096475d" Type="http://schemas.openxmlformats.org/officeDocument/2006/relationships/header" Target="/word/header4.xml"/><Relationship Id="Rc7a76e1661674afc" Type="http://schemas.openxmlformats.org/officeDocument/2006/relationships/footer" Target="/word/footer7.xml"/><Relationship Id="R98e1ce3f3793457a" Type="http://schemas.openxmlformats.org/officeDocument/2006/relationships/glossaryDocument" Target="/word/glossary/document.xml"/><Relationship Id="Rdafd41d4b2dd401d" Type="http://schemas.openxmlformats.org/officeDocument/2006/relationships/styles" Target="/word/styles.xml"/><Relationship Id="R1abef0733c814093" Type="http://schemas.openxmlformats.org/officeDocument/2006/relationships/header" Target="/word/header7.xml"/><Relationship Id="rId2" Type="http://schemas.openxmlformats.org/officeDocument/2006/relationships/customXml" Target="../customXml/item2.xml"/><Relationship Id="R95849588d32b41e0" Type="http://schemas.openxmlformats.org/officeDocument/2006/relationships/header" Target="/word/header2.xml"/><Relationship Id="R47b8f93c11c848bd" Type="http://schemas.openxmlformats.org/officeDocument/2006/relationships/header" Target="/word/header3.xml"/><Relationship Id="R94ad5c5caa4949ef" Type="http://schemas.openxmlformats.org/officeDocument/2006/relationships/header" Target="/word/header6.xml"/><Relationship Id="R515f5a748619471e" Type="http://schemas.openxmlformats.org/officeDocument/2006/relationships/header" Target="/word/header9.xml"/><Relationship Id="R4bba08b6d1734d12" Type="http://schemas.openxmlformats.org/officeDocument/2006/relationships/header" Target="/word/header10.xml"/><Relationship Id="Rbf73f3eaf55f4739" Type="http://schemas.openxmlformats.org/officeDocument/2006/relationships/header" Target="/word/header12.xml"/><Relationship Id="Rb5714d18b0fb4f57" Type="http://schemas.openxmlformats.org/officeDocument/2006/relationships/footer" Target="/word/footer11.xml"/><Relationship Id="rId1" Type="http://schemas.openxmlformats.org/officeDocument/2006/relationships/customXml" Target="../customXml/item1.xml"/><Relationship Id="Re471cfe2da474112" Type="http://schemas.openxmlformats.org/officeDocument/2006/relationships/footer" Target="/word/footer5.xml"/><Relationship Id="R3eb592a2755c4eb8" Type="http://schemas.openxmlformats.org/officeDocument/2006/relationships/footer" Target="/word/footer9.xml"/><Relationship Id="R12668a71ada444a6" Type="http://schemas.openxmlformats.org/officeDocument/2006/relationships/header" Target="/word/header11.xml"/><Relationship Id="Rfd13eac396b44a35" Type="http://schemas.openxmlformats.org/officeDocument/2006/relationships/footer" Target="/word/footer12.xml"/><Relationship Id="R4290c808ad4c4230" Type="http://schemas.openxmlformats.org/officeDocument/2006/relationships/theme" Target="/word/theme/theme1.xml"/><Relationship Id="Rc7f02391135e4076" Type="http://schemas.openxmlformats.org/officeDocument/2006/relationships/header" Target="/word/header1.xml"/><Relationship Id="R30d586bc2b2c4284" Type="http://schemas.openxmlformats.org/officeDocument/2006/relationships/footer" Target="/word/footer3.xml"/><Relationship Id="Ra4c8fbd488924254" Type="http://schemas.openxmlformats.org/officeDocument/2006/relationships/footer" Target="/word/footer6.xml"/><Relationship Id="R5b0b33f63bee4d8d" Type="http://schemas.openxmlformats.org/officeDocument/2006/relationships/settings" Target="/word/settings.xml"/><Relationship Id="Rcb974cd22a37499b" Type="http://schemas.openxmlformats.org/officeDocument/2006/relationships/footnotes" Target="/word/footnotes.xml"/><Relationship Id="R6550d1ee119e45ec" Type="http://schemas.openxmlformats.org/officeDocument/2006/relationships/footer" Target="/word/footer8.xml"/></Relationships>
</file>

<file path=word/_rels/footnotes.xml.rels>&#65279;<?xml version="1.0" encoding="utf-8"?><Relationships xmlns="http://schemas.openxmlformats.org/package/2006/relationships"><Relationship Type="http://schemas.openxmlformats.org/officeDocument/2006/relationships/hyperlink" Target="https://secure.ipex.eu/IPEXL-WEB/document/COM-2026-0016" TargetMode="External" Id="rId1" /></Relationships>
</file>

<file path=word/glossary/_rels/document.xml.rels>&#65279;<?xml version="1.0" encoding="utf-8"?><Relationships xmlns="http://schemas.openxmlformats.org/package/2006/relationships"><Relationship Type="http://schemas.openxmlformats.org/officeDocument/2006/relationships/styles" Target="/word/glossary/styles2.xml" Id="Rcb101d1428304753" /><Relationship Type="http://schemas.openxmlformats.org/officeDocument/2006/relationships/fontTable" Target="/word/glossary/fontTable2.xml" Id="R76a05f7e324246a7" /><Relationship Type="http://schemas.openxmlformats.org/officeDocument/2006/relationships/settings" Target="/word/glossary/settings2.xml" Id="R791687e5dd214a95" /><Relationship Type="http://schemas.openxmlformats.org/officeDocument/2006/relationships/webSettings" Target="/word/glossary/webSettings2.xml" Id="R016500ceee244a4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3"/>
    <w:rsid w:val="00052D7C"/>
    <w:rsid w:val="001C16E9"/>
    <w:rsid w:val="00204F40"/>
    <w:rsid w:val="003C184A"/>
    <w:rsid w:val="00854E58"/>
    <w:rsid w:val="00AE26B2"/>
    <w:rsid w:val="00BE3D84"/>
    <w:rsid w:val="00F06283"/>
    <w:rsid w:val="00F7397D"/>
    <w:rsid w:val="00FB40E5"/>
    <w:rsid w:val="00FD46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w="http://schemas.openxmlformats.org/wordprocessingml/2006/main">
  <w:docDefaults>
    <w:rPrDefault>
      <w:rPr>
        <w:rFonts w:asciiTheme="minorHAnsi" w:eastAsiaTheme="minorEastAsia" w:hAnsiTheme="minorHAnsi" w:cstheme="minorBidi"/>
        <w:kern w:val="2"/>
        <w:sz w:val="24"/>
        <w:szCs w:val="24"/>
        <w:lang w:val="en-DE" w:eastAsia="en-DE" w:bidi="ar-SA"/>
        <ligatures xmlns:p5="http://schemas.microsoft.com/office/word/2010/wordml" xmlns="http://schemas.microsoft.com/office/word/2010/wordml" p5: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F40"/>
  </w:style>
  <w:style w:type="paragraph" w:customStyle="1" w:styleId="31D171189C114B72B562FE2E692AC3DA">
    <w:name w:val="31D171189C114B72B562FE2E692AC3DA"/>
    <w:rsid w:val="00204F40"/>
  </w:style>
  <w:style w:type="paragraph" w:customStyle="1" w:styleId="FAFF4D83BC0D420D80432E832230CD77">
    <w:name w:val="FAFF4D83BC0D420D80432E832230CD77"/>
    <w:rsid w:val="00204F40"/>
  </w:style>
  <w:style w:type="paragraph" w:customStyle="1" w:styleId="AD34A4746DF24748901240EC2DF08255">
    <w:name w:val="AD34A4746DF24748901240EC2DF08255"/>
    <w:rsid w:val="00204F40"/>
  </w:style>
  <w:style w:type="paragraph" w:customStyle="1" w:styleId="E529135A90A84228BBA2B8420EBE77CD">
    <w:name w:val="E529135A90A84228BBA2B8420EBE77CD"/>
    <w:rsid w:val="00204F40"/>
  </w:style>
  <w:style w:type="paragraph" w:customStyle="1" w:styleId="726225DD8F0B4803B0F16376880E9602">
    <w:name w:val="726225DD8F0B4803B0F16376880E9602"/>
    <w:rsid w:val="00204F40"/>
  </w:style>
  <w:style w:type="paragraph" w:customStyle="1" w:styleId="75CDEDA639364A179BD59B6F4A3E160F">
    <w:name w:val="75CDEDA639364A179BD59B6F4A3E160F"/>
    <w:rsid w:val="00204F40"/>
  </w:style>
  <w:style w:type="paragraph" w:customStyle="1" w:styleId="A9B9F296C1744C32A726DC3F343ACBD2">
    <w:name w:val="A9B9F296C1744C32A726DC3F343ACBD2"/>
    <w:rsid w:val="003A5677"/>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35A70D7A9DA44587CF3FC6B64A4D5A" ma:contentTypeVersion="0" ma:contentTypeDescription="Create a new document." ma:contentTypeScope="" ma:versionID="98fa55e05d87d4e941f420ff2851c5b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E1B4B-FD6F-44B8-BFC2-05AE9FFCEE3B}"/>
</file>

<file path=customXml/itemProps2.xml><?xml version="1.0" encoding="utf-8"?>
<ds:datastoreItem xmlns:ds="http://schemas.openxmlformats.org/officeDocument/2006/customXml" ds:itemID="{1DC13862-3794-49B1-921A-83DD84E9876E}"/>
</file>

<file path=customXml/itemProps3.xml><?xml version="1.0" encoding="utf-8"?>
<ds:datastoreItem xmlns:ds="http://schemas.openxmlformats.org/officeDocument/2006/customXml" ds:itemID="{772D5772-272A-4BC5-8E3A-94E4406AF0DF}"/>
</file>

<file path=docProps/app.xml><?xml version="1.0" encoding="utf-8"?>
<Properties xmlns="http://schemas.openxmlformats.org/officeDocument/2006/extended-properties" xmlns:vt="http://schemas.openxmlformats.org/officeDocument/2006/docPropsVTypes">
  <Template>Normal.dotm</Template>
  <TotalTime>13</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DOLINAR Marjeta</dc:creator>
  <cp:keywords/>
  <dc:description/>
  <cp:lastModifiedBy>Marjeta%20DOLINAR</cp:lastModifiedBy>
  <cp:revision>6</cp:revision>
  <dcterms:created xsi:type="dcterms:W3CDTF">2025-01-29T14:25:00Z</dcterms:created>
  <dcterms:modified xsi:type="dcterms:W3CDTF">2025-01-29T21:13:00Z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0b174-6478-47f9-866e-33f097bb6603_Enabled">
    <vt:lpwstr>true</vt:lpwstr>
  </property>
  <property fmtid="{D5CDD505-2E9C-101B-9397-08002B2CF9AE}" pid="3" name="MSIP_Label_af60b174-6478-47f9-866e-33f097bb6603_SetDate">
    <vt:lpwstr>2026-06-22T07:33:20Z</vt:lpwstr>
  </property>
  <property fmtid="{D5CDD505-2E9C-101B-9397-08002B2CF9AE}" pid="4" name="MSIP_Label_af60b174-6478-47f9-866e-33f097bb6603_Method">
    <vt:lpwstr>Privileged</vt:lpwstr>
  </property>
  <property fmtid="{D5CDD505-2E9C-101B-9397-08002B2CF9AE}" pid="5" name="MSIP_Label_af60b174-6478-47f9-866e-33f097bb6603_Name">
    <vt:lpwstr>GSCEU - PUBLIC Label</vt:lpwstr>
  </property>
  <property fmtid="{D5CDD505-2E9C-101B-9397-08002B2CF9AE}" pid="6" name="MSIP_Label_af60b174-6478-47f9-866e-33f097bb6603_SiteId">
    <vt:lpwstr>03ad1c97-0a4d-4e82-8f93-27291a6a0767</vt:lpwstr>
  </property>
  <property fmtid="{D5CDD505-2E9C-101B-9397-08002B2CF9AE}" pid="7" name="MSIP_Label_af60b174-6478-47f9-866e-33f097bb6603_ActionId">
    <vt:lpwstr>084F11E1-6C8D-4405-B782-C0714F842605</vt:lpwstr>
  </property>
  <property fmtid="{D5CDD505-2E9C-101B-9397-08002B2CF9AE}" pid="8" name="MSIP_Label_af60b174-6478-47f9-866e-33f097bb6603_ContentBits">
    <vt:lpwstr>0</vt:lpwstr>
  </property>
  <property fmtid="{D5CDD505-2E9C-101B-9397-08002B2CF9AE}" pid="9" name="Last edited using">
    <vt:lpwstr>DocuWrite Toolbox 1.29.0 (CoverpageUpdate)</vt:lpwstr>
  </property>
  <property fmtid="{D5CDD505-2E9C-101B-9397-08002B2CF9AE}" pid="10" name="ContentTypeId">
    <vt:lpwstr>0x010100BA35A70D7A9DA44587CF3FC6B64A4D5A</vt:lpwstr>
  </property>
</Properties>
</file>