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7249" w14:textId="77777777" w:rsidR="00A54F9C" w:rsidRPr="00657C6C" w:rsidRDefault="00A54F9C" w:rsidP="003539C0">
      <w:pPr>
        <w:spacing w:after="0" w:line="240" w:lineRule="auto"/>
        <w:jc w:val="both"/>
        <w:rPr>
          <w:rFonts w:ascii="Times New Roman" w:hAnsi="Times New Roman" w:cs="Times New Roman"/>
          <w:b/>
          <w:bCs/>
          <w:sz w:val="24"/>
          <w:szCs w:val="24"/>
        </w:rPr>
      </w:pPr>
      <w:r w:rsidRPr="00657C6C">
        <w:rPr>
          <w:rFonts w:ascii="Times New Roman" w:hAnsi="Times New Roman" w:cs="Times New Roman"/>
          <w:b/>
          <w:bCs/>
          <w:sz w:val="24"/>
          <w:szCs w:val="24"/>
        </w:rPr>
        <w:t>Lisa 3.</w:t>
      </w:r>
    </w:p>
    <w:p w14:paraId="7D48BFA6" w14:textId="5166C1D8" w:rsidR="00BF56C5" w:rsidRPr="00657C6C" w:rsidRDefault="00A54F9C" w:rsidP="003539C0">
      <w:pPr>
        <w:spacing w:line="240" w:lineRule="auto"/>
        <w:jc w:val="both"/>
        <w:rPr>
          <w:rFonts w:ascii="Times New Roman" w:hAnsi="Times New Roman" w:cs="Times New Roman"/>
          <w:b/>
          <w:bCs/>
          <w:sz w:val="24"/>
          <w:szCs w:val="24"/>
        </w:rPr>
      </w:pPr>
      <w:r w:rsidRPr="00657C6C">
        <w:rPr>
          <w:rFonts w:ascii="Times New Roman" w:hAnsi="Times New Roman" w:cs="Times New Roman"/>
          <w:b/>
          <w:bCs/>
          <w:sz w:val="24"/>
          <w:szCs w:val="24"/>
        </w:rPr>
        <w:t xml:space="preserve">Kaasamistabel: Ettepanekud Eesti seisukohtadele Euroopa Komisjoni 16. juulil 2025 avaldatud ettepanekule </w:t>
      </w:r>
      <w:r w:rsidR="001007EC" w:rsidRPr="001007EC">
        <w:rPr>
          <w:rFonts w:ascii="Times New Roman" w:hAnsi="Times New Roman" w:cs="Times New Roman"/>
          <w:b/>
          <w:bCs/>
          <w:sz w:val="24"/>
          <w:szCs w:val="24"/>
        </w:rPr>
        <w:t xml:space="preserve">instrumendi </w:t>
      </w:r>
      <w:r w:rsidR="001007EC">
        <w:rPr>
          <w:rFonts w:ascii="Times New Roman" w:hAnsi="Times New Roman" w:cs="Times New Roman"/>
          <w:b/>
          <w:bCs/>
          <w:sz w:val="24"/>
          <w:szCs w:val="24"/>
        </w:rPr>
        <w:t>„</w:t>
      </w:r>
      <w:r w:rsidRPr="00657C6C">
        <w:rPr>
          <w:rFonts w:ascii="Times New Roman" w:hAnsi="Times New Roman" w:cs="Times New Roman"/>
          <w:b/>
          <w:bCs/>
          <w:sz w:val="24"/>
          <w:szCs w:val="24"/>
        </w:rPr>
        <w:t>Globaal</w:t>
      </w:r>
      <w:r w:rsidR="001007EC">
        <w:rPr>
          <w:rFonts w:ascii="Times New Roman" w:hAnsi="Times New Roman" w:cs="Times New Roman"/>
          <w:b/>
          <w:bCs/>
          <w:sz w:val="24"/>
          <w:szCs w:val="24"/>
        </w:rPr>
        <w:t>n</w:t>
      </w:r>
      <w:r w:rsidRPr="00657C6C">
        <w:rPr>
          <w:rFonts w:ascii="Times New Roman" w:hAnsi="Times New Roman" w:cs="Times New Roman"/>
          <w:b/>
          <w:bCs/>
          <w:sz w:val="24"/>
          <w:szCs w:val="24"/>
        </w:rPr>
        <w:t>e Euroopa</w:t>
      </w:r>
      <w:r w:rsidR="001007EC">
        <w:rPr>
          <w:rFonts w:ascii="Times New Roman" w:hAnsi="Times New Roman" w:cs="Times New Roman"/>
          <w:b/>
          <w:bCs/>
          <w:sz w:val="24"/>
          <w:szCs w:val="24"/>
        </w:rPr>
        <w:t>“</w:t>
      </w:r>
      <w:r w:rsidRPr="00657C6C">
        <w:rPr>
          <w:rFonts w:ascii="Times New Roman" w:hAnsi="Times New Roman" w:cs="Times New Roman"/>
          <w:b/>
          <w:bCs/>
          <w:sz w:val="24"/>
          <w:szCs w:val="24"/>
        </w:rPr>
        <w:t xml:space="preserve"> loomiseks, mis on osa Euroopa Liidu pikaajalise eelarve ettepanekust perioodiks 2028–2034, mis hakkab katma </w:t>
      </w:r>
      <w:r w:rsidR="00DF712F" w:rsidRPr="00DF712F">
        <w:rPr>
          <w:rFonts w:ascii="Times New Roman" w:hAnsi="Times New Roman" w:cs="Times New Roman"/>
          <w:b/>
          <w:bCs/>
          <w:sz w:val="24"/>
          <w:szCs w:val="24"/>
        </w:rPr>
        <w:t xml:space="preserve">ELi laienemis-, naabrus-, rahvusvaheliste partnerluste ja humanitaarabi poliitikat </w:t>
      </w:r>
      <w:r w:rsidR="003539C0" w:rsidRPr="00657C6C">
        <w:rPr>
          <w:rFonts w:ascii="Times New Roman" w:hAnsi="Times New Roman" w:cs="Times New Roman"/>
          <w:b/>
          <w:bCs/>
          <w:sz w:val="24"/>
          <w:szCs w:val="24"/>
        </w:rPr>
        <w:t>ning mille alla</w:t>
      </w:r>
      <w:r w:rsidRPr="00657C6C">
        <w:rPr>
          <w:rFonts w:ascii="Times New Roman" w:hAnsi="Times New Roman" w:cs="Times New Roman"/>
          <w:b/>
          <w:bCs/>
          <w:sz w:val="24"/>
          <w:szCs w:val="24"/>
        </w:rPr>
        <w:t xml:space="preserve"> </w:t>
      </w:r>
      <w:r w:rsidR="00C309B9" w:rsidRPr="00657C6C">
        <w:rPr>
          <w:rFonts w:ascii="Times New Roman" w:hAnsi="Times New Roman" w:cs="Times New Roman"/>
          <w:b/>
          <w:bCs/>
          <w:sz w:val="24"/>
          <w:szCs w:val="24"/>
        </w:rPr>
        <w:t xml:space="preserve">kuuluvad </w:t>
      </w:r>
      <w:r w:rsidRPr="00657C6C">
        <w:rPr>
          <w:rFonts w:ascii="Times New Roman" w:hAnsi="Times New Roman" w:cs="Times New Roman"/>
          <w:b/>
          <w:bCs/>
          <w:sz w:val="24"/>
          <w:szCs w:val="24"/>
        </w:rPr>
        <w:t>varasema ELi 2021-2027 eelarveperioodi naabrusp</w:t>
      </w:r>
      <w:r w:rsidR="00DF712F">
        <w:rPr>
          <w:rFonts w:ascii="Times New Roman" w:hAnsi="Times New Roman" w:cs="Times New Roman"/>
          <w:b/>
          <w:bCs/>
          <w:sz w:val="24"/>
          <w:szCs w:val="24"/>
        </w:rPr>
        <w:t>iirkonna</w:t>
      </w:r>
      <w:r w:rsidRPr="00657C6C">
        <w:rPr>
          <w:rFonts w:ascii="Times New Roman" w:hAnsi="Times New Roman" w:cs="Times New Roman"/>
          <w:b/>
          <w:bCs/>
          <w:sz w:val="24"/>
          <w:szCs w:val="24"/>
        </w:rPr>
        <w:t xml:space="preserve">, arengu- ja rahvusvahelise koostöö </w:t>
      </w:r>
      <w:r w:rsidR="00010C3E">
        <w:rPr>
          <w:rFonts w:ascii="Times New Roman" w:hAnsi="Times New Roman" w:cs="Times New Roman"/>
          <w:b/>
          <w:bCs/>
          <w:sz w:val="24"/>
          <w:szCs w:val="24"/>
        </w:rPr>
        <w:t>instrument</w:t>
      </w:r>
      <w:r w:rsidRPr="00657C6C">
        <w:rPr>
          <w:rFonts w:ascii="Times New Roman" w:hAnsi="Times New Roman" w:cs="Times New Roman"/>
          <w:b/>
          <w:bCs/>
          <w:sz w:val="24"/>
          <w:szCs w:val="24"/>
        </w:rPr>
        <w:t xml:space="preserve"> (NDICI</w:t>
      </w:r>
      <w:r w:rsidR="00DF712F">
        <w:rPr>
          <w:rFonts w:ascii="Times New Roman" w:hAnsi="Times New Roman" w:cs="Times New Roman"/>
          <w:b/>
          <w:bCs/>
          <w:sz w:val="24"/>
          <w:szCs w:val="24"/>
        </w:rPr>
        <w:t>/</w:t>
      </w:r>
      <w:r w:rsidRPr="00657C6C">
        <w:rPr>
          <w:rFonts w:ascii="Times New Roman" w:hAnsi="Times New Roman" w:cs="Times New Roman"/>
          <w:b/>
          <w:bCs/>
          <w:sz w:val="24"/>
          <w:szCs w:val="24"/>
        </w:rPr>
        <w:t>Globa</w:t>
      </w:r>
      <w:r w:rsidR="00DF712F">
        <w:rPr>
          <w:rFonts w:ascii="Times New Roman" w:hAnsi="Times New Roman" w:cs="Times New Roman"/>
          <w:b/>
          <w:bCs/>
          <w:sz w:val="24"/>
          <w:szCs w:val="24"/>
        </w:rPr>
        <w:t>a</w:t>
      </w:r>
      <w:r w:rsidRPr="00657C6C">
        <w:rPr>
          <w:rFonts w:ascii="Times New Roman" w:hAnsi="Times New Roman" w:cs="Times New Roman"/>
          <w:b/>
          <w:bCs/>
          <w:sz w:val="24"/>
          <w:szCs w:val="24"/>
        </w:rPr>
        <w:t>l</w:t>
      </w:r>
      <w:r w:rsidR="00DF712F">
        <w:rPr>
          <w:rFonts w:ascii="Times New Roman" w:hAnsi="Times New Roman" w:cs="Times New Roman"/>
          <w:b/>
          <w:bCs/>
          <w:sz w:val="24"/>
          <w:szCs w:val="24"/>
        </w:rPr>
        <w:t>ne</w:t>
      </w:r>
      <w:r w:rsidRPr="00657C6C">
        <w:rPr>
          <w:rFonts w:ascii="Times New Roman" w:hAnsi="Times New Roman" w:cs="Times New Roman"/>
          <w:b/>
          <w:bCs/>
          <w:sz w:val="24"/>
          <w:szCs w:val="24"/>
        </w:rPr>
        <w:t xml:space="preserve"> Euro</w:t>
      </w:r>
      <w:r w:rsidR="00DF712F">
        <w:rPr>
          <w:rFonts w:ascii="Times New Roman" w:hAnsi="Times New Roman" w:cs="Times New Roman"/>
          <w:b/>
          <w:bCs/>
          <w:sz w:val="24"/>
          <w:szCs w:val="24"/>
        </w:rPr>
        <w:t>o</w:t>
      </w:r>
      <w:r w:rsidRPr="00657C6C">
        <w:rPr>
          <w:rFonts w:ascii="Times New Roman" w:hAnsi="Times New Roman" w:cs="Times New Roman"/>
          <w:b/>
          <w:bCs/>
          <w:sz w:val="24"/>
          <w:szCs w:val="24"/>
        </w:rPr>
        <w:t>p</w:t>
      </w:r>
      <w:r w:rsidR="00DF712F">
        <w:rPr>
          <w:rFonts w:ascii="Times New Roman" w:hAnsi="Times New Roman" w:cs="Times New Roman"/>
          <w:b/>
          <w:bCs/>
          <w:sz w:val="24"/>
          <w:szCs w:val="24"/>
        </w:rPr>
        <w:t>a</w:t>
      </w:r>
      <w:r w:rsidRPr="00657C6C">
        <w:rPr>
          <w:rFonts w:ascii="Times New Roman" w:hAnsi="Times New Roman" w:cs="Times New Roman"/>
          <w:b/>
          <w:bCs/>
          <w:sz w:val="24"/>
          <w:szCs w:val="24"/>
        </w:rPr>
        <w:t xml:space="preserve">), ühinemiseelse abi </w:t>
      </w:r>
      <w:r w:rsidR="00010C3E">
        <w:rPr>
          <w:rFonts w:ascii="Times New Roman" w:hAnsi="Times New Roman" w:cs="Times New Roman"/>
          <w:b/>
          <w:bCs/>
          <w:sz w:val="24"/>
          <w:szCs w:val="24"/>
        </w:rPr>
        <w:t>instrument</w:t>
      </w:r>
      <w:r w:rsidRPr="00657C6C">
        <w:rPr>
          <w:rFonts w:ascii="Times New Roman" w:hAnsi="Times New Roman" w:cs="Times New Roman"/>
          <w:b/>
          <w:bCs/>
          <w:sz w:val="24"/>
          <w:szCs w:val="24"/>
        </w:rPr>
        <w:t xml:space="preserve"> (IPA III), humanitaar</w:t>
      </w:r>
      <w:r w:rsidR="00995A4D">
        <w:rPr>
          <w:rFonts w:ascii="Times New Roman" w:hAnsi="Times New Roman" w:cs="Times New Roman"/>
          <w:b/>
          <w:bCs/>
          <w:sz w:val="24"/>
          <w:szCs w:val="24"/>
        </w:rPr>
        <w:t xml:space="preserve">abi </w:t>
      </w:r>
      <w:r w:rsidRPr="00657C6C">
        <w:rPr>
          <w:rFonts w:ascii="Times New Roman" w:hAnsi="Times New Roman" w:cs="Times New Roman"/>
          <w:b/>
          <w:bCs/>
          <w:sz w:val="24"/>
          <w:szCs w:val="24"/>
        </w:rPr>
        <w:t>instrumen</w:t>
      </w:r>
      <w:r w:rsidR="00DF712F">
        <w:rPr>
          <w:rFonts w:ascii="Times New Roman" w:hAnsi="Times New Roman" w:cs="Times New Roman"/>
          <w:b/>
          <w:bCs/>
          <w:sz w:val="24"/>
          <w:szCs w:val="24"/>
        </w:rPr>
        <w:t>t</w:t>
      </w:r>
      <w:r w:rsidR="00995A4D">
        <w:rPr>
          <w:rFonts w:ascii="Times New Roman" w:hAnsi="Times New Roman" w:cs="Times New Roman"/>
          <w:b/>
          <w:bCs/>
          <w:sz w:val="24"/>
          <w:szCs w:val="24"/>
        </w:rPr>
        <w:t xml:space="preserve">, </w:t>
      </w:r>
      <w:r w:rsidR="00995A4D" w:rsidRPr="00995A4D">
        <w:rPr>
          <w:rFonts w:ascii="Times New Roman" w:hAnsi="Times New Roman" w:cs="Times New Roman"/>
          <w:b/>
          <w:bCs/>
          <w:sz w:val="24"/>
          <w:szCs w:val="24"/>
        </w:rPr>
        <w:t>Ukraina rahastu, Lääne-Balkani reformi- ja kasvurahastu</w:t>
      </w:r>
      <w:r w:rsidR="00AC660C">
        <w:rPr>
          <w:rFonts w:ascii="Times New Roman" w:hAnsi="Times New Roman" w:cs="Times New Roman"/>
          <w:b/>
          <w:bCs/>
          <w:sz w:val="24"/>
          <w:szCs w:val="24"/>
        </w:rPr>
        <w:t xml:space="preserve"> ning</w:t>
      </w:r>
      <w:r w:rsidR="00995A4D" w:rsidRPr="00995A4D">
        <w:rPr>
          <w:rFonts w:ascii="Times New Roman" w:hAnsi="Times New Roman" w:cs="Times New Roman"/>
          <w:b/>
          <w:bCs/>
          <w:sz w:val="24"/>
          <w:szCs w:val="24"/>
        </w:rPr>
        <w:t xml:space="preserve"> Moldova Vabariigi reformi- ja kasvurahastu</w:t>
      </w:r>
      <w:r w:rsidR="003539C0" w:rsidRPr="00657C6C">
        <w:rPr>
          <w:rFonts w:ascii="Times New Roman" w:hAnsi="Times New Roman" w:cs="Times New Roman"/>
          <w:b/>
          <w:bCs/>
          <w:sz w:val="24"/>
          <w:szCs w:val="24"/>
        </w:rPr>
        <w:t>.</w:t>
      </w:r>
      <w:r w:rsidRPr="00657C6C">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4248"/>
        <w:gridCol w:w="5528"/>
        <w:gridCol w:w="4394"/>
      </w:tblGrid>
      <w:tr w:rsidR="00BF56C5" w:rsidRPr="00657C6C" w14:paraId="079CE5A7" w14:textId="77777777" w:rsidTr="00010C3E">
        <w:tc>
          <w:tcPr>
            <w:tcW w:w="4248" w:type="dxa"/>
            <w:shd w:val="clear" w:color="auto" w:fill="95DCF7" w:themeFill="accent4" w:themeFillTint="66"/>
          </w:tcPr>
          <w:p w14:paraId="3B7B7B32" w14:textId="0D38739C" w:rsidR="00BF56C5" w:rsidRPr="00657C6C" w:rsidRDefault="00BF56C5" w:rsidP="003539C0">
            <w:pPr>
              <w:jc w:val="both"/>
              <w:rPr>
                <w:rFonts w:ascii="Times New Roman" w:hAnsi="Times New Roman" w:cs="Times New Roman"/>
                <w:b/>
                <w:bCs/>
                <w:sz w:val="24"/>
                <w:szCs w:val="24"/>
              </w:rPr>
            </w:pPr>
            <w:r w:rsidRPr="00657C6C">
              <w:rPr>
                <w:rFonts w:ascii="Times New Roman" w:hAnsi="Times New Roman" w:cs="Times New Roman"/>
                <w:b/>
                <w:bCs/>
                <w:sz w:val="24"/>
                <w:szCs w:val="24"/>
              </w:rPr>
              <w:t>Märkuse esitaja</w:t>
            </w:r>
          </w:p>
        </w:tc>
        <w:tc>
          <w:tcPr>
            <w:tcW w:w="5528" w:type="dxa"/>
            <w:shd w:val="clear" w:color="auto" w:fill="95DCF7" w:themeFill="accent4" w:themeFillTint="66"/>
          </w:tcPr>
          <w:p w14:paraId="0B31F3D3" w14:textId="5D1B5710" w:rsidR="00BF56C5" w:rsidRPr="00657C6C" w:rsidRDefault="00BF56C5" w:rsidP="003539C0">
            <w:pPr>
              <w:jc w:val="both"/>
              <w:rPr>
                <w:rFonts w:ascii="Times New Roman" w:hAnsi="Times New Roman" w:cs="Times New Roman"/>
                <w:b/>
                <w:bCs/>
                <w:sz w:val="24"/>
                <w:szCs w:val="24"/>
              </w:rPr>
            </w:pPr>
            <w:r w:rsidRPr="00657C6C">
              <w:rPr>
                <w:rFonts w:ascii="Times New Roman" w:hAnsi="Times New Roman" w:cs="Times New Roman"/>
                <w:b/>
                <w:bCs/>
                <w:sz w:val="24"/>
                <w:szCs w:val="24"/>
              </w:rPr>
              <w:t>Märkuse sisu</w:t>
            </w:r>
          </w:p>
        </w:tc>
        <w:tc>
          <w:tcPr>
            <w:tcW w:w="4394" w:type="dxa"/>
            <w:shd w:val="clear" w:color="auto" w:fill="95DCF7" w:themeFill="accent4" w:themeFillTint="66"/>
          </w:tcPr>
          <w:p w14:paraId="1663A425" w14:textId="535CD8BB" w:rsidR="00BF56C5" w:rsidRPr="00657C6C" w:rsidRDefault="00BF56C5" w:rsidP="003539C0">
            <w:pPr>
              <w:jc w:val="both"/>
              <w:rPr>
                <w:rFonts w:ascii="Times New Roman" w:hAnsi="Times New Roman" w:cs="Times New Roman"/>
                <w:b/>
                <w:bCs/>
                <w:sz w:val="24"/>
                <w:szCs w:val="24"/>
              </w:rPr>
            </w:pPr>
            <w:r w:rsidRPr="00657C6C">
              <w:rPr>
                <w:rFonts w:ascii="Times New Roman" w:hAnsi="Times New Roman" w:cs="Times New Roman"/>
                <w:b/>
                <w:bCs/>
                <w:sz w:val="24"/>
                <w:szCs w:val="24"/>
              </w:rPr>
              <w:t>Kommentaar</w:t>
            </w:r>
          </w:p>
        </w:tc>
      </w:tr>
      <w:tr w:rsidR="00BF56C5" w:rsidRPr="00657C6C" w14:paraId="442B5FCD" w14:textId="77777777" w:rsidTr="00010C3E">
        <w:trPr>
          <w:trHeight w:val="1268"/>
        </w:trPr>
        <w:tc>
          <w:tcPr>
            <w:tcW w:w="4248" w:type="dxa"/>
          </w:tcPr>
          <w:p w14:paraId="2922F2B7" w14:textId="4675B68A" w:rsidR="00BF56C5" w:rsidRPr="00657C6C" w:rsidRDefault="00BF56C5" w:rsidP="003539C0">
            <w:pPr>
              <w:jc w:val="both"/>
              <w:rPr>
                <w:rFonts w:ascii="Times New Roman" w:hAnsi="Times New Roman" w:cs="Times New Roman"/>
                <w:sz w:val="24"/>
                <w:szCs w:val="24"/>
              </w:rPr>
            </w:pPr>
            <w:r w:rsidRPr="00657C6C">
              <w:rPr>
                <w:rFonts w:ascii="Times New Roman" w:hAnsi="Times New Roman" w:cs="Times New Roman"/>
                <w:sz w:val="24"/>
                <w:szCs w:val="24"/>
              </w:rPr>
              <w:t>Siseministeerium</w:t>
            </w:r>
          </w:p>
        </w:tc>
        <w:tc>
          <w:tcPr>
            <w:tcW w:w="5528" w:type="dxa"/>
          </w:tcPr>
          <w:p w14:paraId="2A5D01C7" w14:textId="77777777" w:rsidR="000C1939" w:rsidRDefault="000C1939" w:rsidP="003539C0">
            <w:pPr>
              <w:jc w:val="both"/>
              <w:rPr>
                <w:rFonts w:ascii="Times New Roman" w:hAnsi="Times New Roman" w:cs="Times New Roman"/>
                <w:sz w:val="24"/>
                <w:szCs w:val="24"/>
              </w:rPr>
            </w:pPr>
            <w:r w:rsidRPr="000C1939">
              <w:rPr>
                <w:rFonts w:ascii="Times New Roman" w:hAnsi="Times New Roman" w:cs="Times New Roman"/>
                <w:sz w:val="24"/>
                <w:szCs w:val="24"/>
              </w:rPr>
              <w:t xml:space="preserve">Siseministeerium toetab määruse ettepanekut, kuna see omab laialdast positiivset mõju, eriti kodanikuühiskonna arendamise valdkonnas. Euroopa Liidu (edaspidi: EL) välistegevuse raames jääb inimõiguste, demokraatia ja kodanikuühiskonna organisatsioonide toetamine prioriteediks. Toetust antakse nii piirkondlike kui ka ülemaailmsete programmide kaudu, järgides arengukoostöö tõhususe põhimõtteid ning tagades kodanikuühiskonna organisatsioonide ja kohalike omavalitsuste kaasamise poliitikakujundusse ja kestliku arengu eesmärkide elluviimisse. EL toetab kodanikuühiskonna tegutsemiseks soodsat keskkonda, tagades juurdepääsu teabele ja võimaluse osaleda otsustusprotsessides. Vajaduse korral võib toetus olla paindlik ja kiire, sealhulgas ilma avaliku taotlusvooruta, näiteks kriisiolukordades või inimõiguste kaitsjate toetamiseks. Toetust on võimalik anda ka organisatsioonidele, kellel puudub juriidiline isikustatus vastavalt siseriiklikule õigusele. Lisaks eelmainitule soovib Siseministeerium juhtida tähelepanu kahele üldisele aspektile: </w:t>
            </w:r>
          </w:p>
          <w:p w14:paraId="788A29CA" w14:textId="67723333" w:rsidR="000C1939" w:rsidRPr="000C1939" w:rsidRDefault="000C1939" w:rsidP="000C1939">
            <w:pPr>
              <w:pStyle w:val="ListParagraph"/>
              <w:numPr>
                <w:ilvl w:val="0"/>
                <w:numId w:val="3"/>
              </w:numPr>
              <w:jc w:val="both"/>
              <w:rPr>
                <w:rFonts w:ascii="Times New Roman" w:hAnsi="Times New Roman" w:cs="Times New Roman"/>
                <w:sz w:val="24"/>
                <w:szCs w:val="24"/>
              </w:rPr>
            </w:pPr>
            <w:r w:rsidRPr="000C1939">
              <w:rPr>
                <w:rFonts w:ascii="Times New Roman" w:hAnsi="Times New Roman" w:cs="Times New Roman"/>
                <w:b/>
                <w:bCs/>
                <w:sz w:val="24"/>
                <w:szCs w:val="24"/>
              </w:rPr>
              <w:t>Koostoime teiste instrumentidega</w:t>
            </w:r>
            <w:r w:rsidRPr="000C1939">
              <w:rPr>
                <w:rFonts w:ascii="Times New Roman" w:hAnsi="Times New Roman" w:cs="Times New Roman"/>
                <w:sz w:val="24"/>
                <w:szCs w:val="24"/>
              </w:rPr>
              <w:t xml:space="preserve"> </w:t>
            </w:r>
          </w:p>
          <w:p w14:paraId="7022F17C" w14:textId="17EBB77B" w:rsidR="000C1939" w:rsidRDefault="000C1939" w:rsidP="000C1939">
            <w:pPr>
              <w:jc w:val="both"/>
              <w:rPr>
                <w:rFonts w:ascii="Times New Roman" w:hAnsi="Times New Roman" w:cs="Times New Roman"/>
                <w:sz w:val="24"/>
                <w:szCs w:val="24"/>
              </w:rPr>
            </w:pPr>
            <w:r w:rsidRPr="000C1939">
              <w:rPr>
                <w:rFonts w:ascii="Times New Roman" w:hAnsi="Times New Roman" w:cs="Times New Roman"/>
                <w:sz w:val="24"/>
                <w:szCs w:val="24"/>
              </w:rPr>
              <w:t xml:space="preserve">Määruse eelnõu kohaselt toetab Globaalse Euroopa instrument tegevusi, mida saab toetada ka riigiplaaniga hõlmatud toetusmehhanismidest: ränne, varjupaik, </w:t>
            </w:r>
            <w:r w:rsidRPr="000C1939">
              <w:rPr>
                <w:rFonts w:ascii="Times New Roman" w:hAnsi="Times New Roman" w:cs="Times New Roman"/>
                <w:sz w:val="24"/>
                <w:szCs w:val="24"/>
              </w:rPr>
              <w:lastRenderedPageBreak/>
              <w:t xml:space="preserve">julgeolek. Kuna Euroopa Komisjoni määruste eelnõud 2025/0540 (toetus varjupaiga, rände ja integratsiooni valdkonnale; AMIF), 2025/0541 (toetus Schengeni alale, integreeritud piirihaldusele ja viisapoliitikale; BMVI) ja 2025/0542 (toetus sisejulgeoleku valdkonnale; ISF) toetavad tegevusi ka kolmandates riikides, on vaja suuremat selgust, kuidas Globaalse Euroopa instrumendid ja eelmainitud määruste eelnõud omavahel suhestuvad. </w:t>
            </w:r>
          </w:p>
          <w:p w14:paraId="17E415A7" w14:textId="241F6F87" w:rsidR="000C1939" w:rsidRPr="000C1939" w:rsidRDefault="000C1939" w:rsidP="000C1939">
            <w:pPr>
              <w:pStyle w:val="ListParagraph"/>
              <w:numPr>
                <w:ilvl w:val="0"/>
                <w:numId w:val="3"/>
              </w:numPr>
              <w:jc w:val="both"/>
              <w:rPr>
                <w:rFonts w:ascii="Times New Roman" w:hAnsi="Times New Roman" w:cs="Times New Roman"/>
                <w:sz w:val="24"/>
                <w:szCs w:val="24"/>
              </w:rPr>
            </w:pPr>
            <w:r w:rsidRPr="000C1939">
              <w:rPr>
                <w:rFonts w:ascii="Times New Roman" w:hAnsi="Times New Roman" w:cs="Times New Roman"/>
                <w:b/>
                <w:bCs/>
                <w:sz w:val="24"/>
                <w:szCs w:val="24"/>
              </w:rPr>
              <w:t>Toetuste õiguspärane kasutus</w:t>
            </w:r>
            <w:r w:rsidRPr="000C1939">
              <w:rPr>
                <w:rFonts w:ascii="Times New Roman" w:hAnsi="Times New Roman" w:cs="Times New Roman"/>
                <w:sz w:val="24"/>
                <w:szCs w:val="24"/>
              </w:rPr>
              <w:t xml:space="preserve"> </w:t>
            </w:r>
          </w:p>
          <w:p w14:paraId="3CC60F0D" w14:textId="4BF883C6" w:rsidR="00BF56C5" w:rsidRPr="000C1939" w:rsidRDefault="000C1939" w:rsidP="000C1939">
            <w:pPr>
              <w:jc w:val="both"/>
              <w:rPr>
                <w:rFonts w:ascii="Times New Roman" w:hAnsi="Times New Roman" w:cs="Times New Roman"/>
                <w:sz w:val="24"/>
                <w:szCs w:val="24"/>
              </w:rPr>
            </w:pPr>
            <w:r w:rsidRPr="000C1939">
              <w:rPr>
                <w:rFonts w:ascii="Times New Roman" w:hAnsi="Times New Roman" w:cs="Times New Roman"/>
                <w:sz w:val="24"/>
                <w:szCs w:val="24"/>
              </w:rPr>
              <w:t>Globaalse Euroopa instrumendiga seatud eesmärgid on ambitsioonikad ja asjakohased, mille tarvis eraldatakse programmile märkimisväärne eelarve. Selle puhul on oluline tagada tõhusaid järelevalve- ja kontrollimise mehhanisme, mis aitavad maandada korruptsiooniohte väljaspool EL-i ning tagada järelevalve rahade õiguspärase kasutamise üle.</w:t>
            </w:r>
          </w:p>
        </w:tc>
        <w:tc>
          <w:tcPr>
            <w:tcW w:w="4394" w:type="dxa"/>
          </w:tcPr>
          <w:p w14:paraId="6D9B12D8" w14:textId="1EA8AE96" w:rsidR="00943A60" w:rsidRDefault="00943A60" w:rsidP="003539C0">
            <w:pPr>
              <w:jc w:val="both"/>
              <w:rPr>
                <w:rFonts w:ascii="Times New Roman" w:hAnsi="Times New Roman" w:cs="Times New Roman"/>
                <w:sz w:val="24"/>
                <w:szCs w:val="24"/>
              </w:rPr>
            </w:pPr>
            <w:bookmarkStart w:id="0" w:name="_Hlk214624529"/>
            <w:r>
              <w:rPr>
                <w:rFonts w:ascii="Times New Roman" w:hAnsi="Times New Roman" w:cs="Times New Roman"/>
                <w:sz w:val="24"/>
                <w:szCs w:val="24"/>
              </w:rPr>
              <w:lastRenderedPageBreak/>
              <w:t xml:space="preserve">Nõustume </w:t>
            </w:r>
            <w:r w:rsidR="006608B4">
              <w:rPr>
                <w:rFonts w:ascii="Times New Roman" w:hAnsi="Times New Roman" w:cs="Times New Roman"/>
                <w:sz w:val="24"/>
                <w:szCs w:val="24"/>
              </w:rPr>
              <w:t>märkusega</w:t>
            </w:r>
            <w:r>
              <w:rPr>
                <w:rFonts w:ascii="Times New Roman" w:hAnsi="Times New Roman" w:cs="Times New Roman"/>
                <w:sz w:val="24"/>
                <w:szCs w:val="24"/>
              </w:rPr>
              <w:t xml:space="preserve"> inimõiguste, demokraatia ja kodanikuühiskonna organisatsioonide toetamise ja toetuste õiguspärase kasutamise osas ning oleme püüdnud </w:t>
            </w:r>
            <w:r w:rsidR="00F63388">
              <w:rPr>
                <w:rFonts w:ascii="Times New Roman" w:hAnsi="Times New Roman" w:cs="Times New Roman"/>
                <w:sz w:val="24"/>
                <w:szCs w:val="24"/>
              </w:rPr>
              <w:t xml:space="preserve">neid </w:t>
            </w:r>
            <w:r>
              <w:rPr>
                <w:rFonts w:ascii="Times New Roman" w:hAnsi="Times New Roman" w:cs="Times New Roman"/>
                <w:sz w:val="24"/>
                <w:szCs w:val="24"/>
              </w:rPr>
              <w:t>kajastada ka instrumendi seletuskirjas.</w:t>
            </w:r>
          </w:p>
          <w:p w14:paraId="153C44E2" w14:textId="2B8880E6" w:rsidR="00BF56C5" w:rsidRPr="00340F1C" w:rsidRDefault="00943A60" w:rsidP="003539C0">
            <w:pPr>
              <w:jc w:val="both"/>
              <w:rPr>
                <w:rFonts w:ascii="Times New Roman" w:hAnsi="Times New Roman" w:cs="Times New Roman"/>
                <w:sz w:val="24"/>
                <w:szCs w:val="24"/>
              </w:rPr>
            </w:pPr>
            <w:r>
              <w:rPr>
                <w:rFonts w:ascii="Times New Roman" w:hAnsi="Times New Roman" w:cs="Times New Roman"/>
                <w:sz w:val="24"/>
                <w:szCs w:val="24"/>
              </w:rPr>
              <w:t xml:space="preserve">Koostoime osas teiste instrumentidega peame vajalikuks välja tuua, et </w:t>
            </w:r>
            <w:r w:rsidR="00340F1C">
              <w:rPr>
                <w:rFonts w:ascii="Times New Roman" w:hAnsi="Times New Roman" w:cs="Times New Roman"/>
                <w:sz w:val="24"/>
                <w:szCs w:val="24"/>
              </w:rPr>
              <w:t xml:space="preserve">Globaalse Euroopa instrument on 90% ulatuses ODA (ametlik arenguabi) põhine instrument. OECD DAC reeglite kohaselt saab ODA kuludeks liigitada </w:t>
            </w:r>
            <w:r w:rsidR="00F63388">
              <w:rPr>
                <w:rFonts w:ascii="Times New Roman" w:hAnsi="Times New Roman" w:cs="Times New Roman"/>
                <w:sz w:val="24"/>
                <w:szCs w:val="24"/>
              </w:rPr>
              <w:t xml:space="preserve">kulusid </w:t>
            </w:r>
            <w:r w:rsidR="00340F1C">
              <w:rPr>
                <w:rFonts w:ascii="Times New Roman" w:hAnsi="Times New Roman" w:cs="Times New Roman"/>
                <w:sz w:val="24"/>
                <w:szCs w:val="24"/>
              </w:rPr>
              <w:t>migratsiooni</w:t>
            </w:r>
            <w:r w:rsidR="00F63388">
              <w:rPr>
                <w:rFonts w:ascii="Times New Roman" w:hAnsi="Times New Roman" w:cs="Times New Roman"/>
                <w:sz w:val="24"/>
                <w:szCs w:val="24"/>
              </w:rPr>
              <w:t xml:space="preserve"> </w:t>
            </w:r>
            <w:r w:rsidR="00340F1C">
              <w:rPr>
                <w:rFonts w:ascii="Times New Roman" w:hAnsi="Times New Roman" w:cs="Times New Roman"/>
                <w:sz w:val="24"/>
                <w:szCs w:val="24"/>
              </w:rPr>
              <w:t>vallas, mille põhieesmärgiks on toetada partnerriigi arengut, vähenda</w:t>
            </w:r>
            <w:r w:rsidR="00F63388">
              <w:rPr>
                <w:rFonts w:ascii="Times New Roman" w:hAnsi="Times New Roman" w:cs="Times New Roman"/>
                <w:sz w:val="24"/>
                <w:szCs w:val="24"/>
              </w:rPr>
              <w:t>maks</w:t>
            </w:r>
            <w:r w:rsidR="00340F1C">
              <w:rPr>
                <w:rFonts w:ascii="Times New Roman" w:hAnsi="Times New Roman" w:cs="Times New Roman"/>
                <w:sz w:val="24"/>
                <w:szCs w:val="24"/>
              </w:rPr>
              <w:t xml:space="preserve"> riigist alguse saava migratsiooni mõjusid doonorriikides. Näiteks on ODA rahastuse toel võimalik adresseerida migratsiooni juurpõhjuseid:</w:t>
            </w:r>
            <w:r w:rsidR="00F63388">
              <w:rPr>
                <w:rFonts w:ascii="Times New Roman" w:hAnsi="Times New Roman" w:cs="Times New Roman"/>
                <w:sz w:val="24"/>
                <w:szCs w:val="24"/>
              </w:rPr>
              <w:t xml:space="preserve"> </w:t>
            </w:r>
            <w:r w:rsidR="00340F1C">
              <w:rPr>
                <w:rFonts w:ascii="Times New Roman" w:hAnsi="Times New Roman" w:cs="Times New Roman"/>
                <w:sz w:val="24"/>
                <w:szCs w:val="24"/>
              </w:rPr>
              <w:t>tugevdada tervishoiu</w:t>
            </w:r>
            <w:r w:rsidR="00F63388">
              <w:rPr>
                <w:rFonts w:ascii="Times New Roman" w:hAnsi="Times New Roman" w:cs="Times New Roman"/>
                <w:sz w:val="24"/>
                <w:szCs w:val="24"/>
              </w:rPr>
              <w:t xml:space="preserve"> </w:t>
            </w:r>
            <w:r w:rsidR="00340F1C">
              <w:rPr>
                <w:rFonts w:ascii="Times New Roman" w:hAnsi="Times New Roman" w:cs="Times New Roman"/>
                <w:sz w:val="24"/>
                <w:szCs w:val="24"/>
              </w:rPr>
              <w:t>valdkonda, haridussüsteemi, parandada inimeste elujärge jne, kuid mitte suurendada otseselt piirivalve võimekust (nt läbi piiritaristu ehituse).</w:t>
            </w:r>
            <w:r w:rsidR="00933BCB">
              <w:rPr>
                <w:rFonts w:ascii="Times New Roman" w:hAnsi="Times New Roman" w:cs="Times New Roman"/>
                <w:sz w:val="24"/>
                <w:szCs w:val="24"/>
              </w:rPr>
              <w:t xml:space="preserve"> Samas on Globaal</w:t>
            </w:r>
            <w:r w:rsidR="006F3E39">
              <w:rPr>
                <w:rFonts w:ascii="Times New Roman" w:hAnsi="Times New Roman" w:cs="Times New Roman"/>
                <w:sz w:val="24"/>
                <w:szCs w:val="24"/>
              </w:rPr>
              <w:t>s</w:t>
            </w:r>
            <w:r w:rsidR="00933BCB">
              <w:rPr>
                <w:rFonts w:ascii="Times New Roman" w:hAnsi="Times New Roman" w:cs="Times New Roman"/>
                <w:sz w:val="24"/>
                <w:szCs w:val="24"/>
              </w:rPr>
              <w:t xml:space="preserve">e Euroopa </w:t>
            </w:r>
            <w:r w:rsidR="006F3E39">
              <w:rPr>
                <w:rFonts w:ascii="Times New Roman" w:hAnsi="Times New Roman" w:cs="Times New Roman"/>
                <w:sz w:val="24"/>
                <w:szCs w:val="24"/>
              </w:rPr>
              <w:t xml:space="preserve">instrument </w:t>
            </w:r>
            <w:r w:rsidR="00933BCB">
              <w:rPr>
                <w:rFonts w:ascii="Times New Roman" w:hAnsi="Times New Roman" w:cs="Times New Roman"/>
                <w:sz w:val="24"/>
                <w:szCs w:val="24"/>
              </w:rPr>
              <w:t>sidunud varasemast selgemalt migratsiooni- ning välis</w:t>
            </w:r>
            <w:r w:rsidR="006F3E39">
              <w:rPr>
                <w:rFonts w:ascii="Times New Roman" w:hAnsi="Times New Roman" w:cs="Times New Roman"/>
                <w:sz w:val="24"/>
                <w:szCs w:val="24"/>
              </w:rPr>
              <w:t xml:space="preserve">rahastuse </w:t>
            </w:r>
            <w:r w:rsidR="00933BCB">
              <w:rPr>
                <w:rFonts w:ascii="Times New Roman" w:hAnsi="Times New Roman" w:cs="Times New Roman"/>
                <w:sz w:val="24"/>
                <w:szCs w:val="24"/>
              </w:rPr>
              <w:t>poliitika</w:t>
            </w:r>
            <w:r w:rsidR="006F3E39">
              <w:rPr>
                <w:rFonts w:ascii="Times New Roman" w:hAnsi="Times New Roman" w:cs="Times New Roman"/>
                <w:sz w:val="24"/>
                <w:szCs w:val="24"/>
              </w:rPr>
              <w:t>d</w:t>
            </w:r>
            <w:r w:rsidR="00933BCB">
              <w:rPr>
                <w:rFonts w:ascii="Times New Roman" w:hAnsi="Times New Roman" w:cs="Times New Roman"/>
                <w:sz w:val="24"/>
                <w:szCs w:val="24"/>
              </w:rPr>
              <w:t>.</w:t>
            </w:r>
            <w:bookmarkEnd w:id="0"/>
            <w:r w:rsidR="00933BCB">
              <w:rPr>
                <w:rFonts w:ascii="Times New Roman" w:hAnsi="Times New Roman" w:cs="Times New Roman"/>
                <w:sz w:val="24"/>
                <w:szCs w:val="24"/>
              </w:rPr>
              <w:t xml:space="preserve"> Vastavalt instrumendi </w:t>
            </w:r>
            <w:r w:rsidR="00933BCB">
              <w:rPr>
                <w:rFonts w:ascii="Times New Roman" w:hAnsi="Times New Roman" w:cs="Times New Roman"/>
                <w:sz w:val="24"/>
                <w:szCs w:val="24"/>
              </w:rPr>
              <w:lastRenderedPageBreak/>
              <w:t>regulatsiooni artikl</w:t>
            </w:r>
            <w:r w:rsidR="006F3E39">
              <w:rPr>
                <w:rFonts w:ascii="Times New Roman" w:hAnsi="Times New Roman" w:cs="Times New Roman"/>
                <w:sz w:val="24"/>
                <w:szCs w:val="24"/>
              </w:rPr>
              <w:t>ile</w:t>
            </w:r>
            <w:r w:rsidR="00933BCB">
              <w:rPr>
                <w:rFonts w:ascii="Times New Roman" w:hAnsi="Times New Roman" w:cs="Times New Roman"/>
                <w:sz w:val="24"/>
                <w:szCs w:val="24"/>
              </w:rPr>
              <w:t xml:space="preserve"> 12, on võimalik peatada rahastust partnerriigile, </w:t>
            </w:r>
            <w:r w:rsidR="006F3E39">
              <w:rPr>
                <w:rFonts w:ascii="Times New Roman" w:hAnsi="Times New Roman" w:cs="Times New Roman"/>
                <w:sz w:val="24"/>
                <w:szCs w:val="24"/>
              </w:rPr>
              <w:t>kellel</w:t>
            </w:r>
            <w:r w:rsidR="00933BCB">
              <w:rPr>
                <w:rFonts w:ascii="Times New Roman" w:hAnsi="Times New Roman" w:cs="Times New Roman"/>
                <w:sz w:val="24"/>
                <w:szCs w:val="24"/>
              </w:rPr>
              <w:t xml:space="preserve"> esineb märkimisväärseid puudujääke</w:t>
            </w:r>
            <w:r w:rsidR="009C2077">
              <w:rPr>
                <w:rFonts w:ascii="Times New Roman" w:hAnsi="Times New Roman" w:cs="Times New Roman"/>
                <w:sz w:val="24"/>
                <w:szCs w:val="24"/>
              </w:rPr>
              <w:t xml:space="preserve"> oma kodanike tagasivõtmise osas</w:t>
            </w:r>
            <w:r w:rsidR="008611AF">
              <w:rPr>
                <w:rFonts w:ascii="Times New Roman" w:hAnsi="Times New Roman" w:cs="Times New Roman"/>
                <w:sz w:val="24"/>
                <w:szCs w:val="24"/>
              </w:rPr>
              <w:t xml:space="preserve"> vastavalt määrustele 810/2009 ja 2018/1806, mis käsitlevad viisareegleid. </w:t>
            </w:r>
          </w:p>
        </w:tc>
      </w:tr>
      <w:tr w:rsidR="00BF56C5" w:rsidRPr="00657C6C" w14:paraId="3B6C93BE" w14:textId="77777777" w:rsidTr="00010C3E">
        <w:trPr>
          <w:trHeight w:val="1120"/>
        </w:trPr>
        <w:tc>
          <w:tcPr>
            <w:tcW w:w="4248" w:type="dxa"/>
          </w:tcPr>
          <w:p w14:paraId="1AEB8847" w14:textId="7FA6AA3B" w:rsidR="00BF56C5" w:rsidRPr="00657C6C" w:rsidRDefault="00BF56C5" w:rsidP="003539C0">
            <w:pPr>
              <w:jc w:val="both"/>
              <w:rPr>
                <w:rFonts w:ascii="Times New Roman" w:hAnsi="Times New Roman" w:cs="Times New Roman"/>
                <w:sz w:val="24"/>
                <w:szCs w:val="24"/>
              </w:rPr>
            </w:pPr>
            <w:r w:rsidRPr="00657C6C">
              <w:rPr>
                <w:rFonts w:ascii="Times New Roman" w:hAnsi="Times New Roman" w:cs="Times New Roman"/>
                <w:sz w:val="24"/>
                <w:szCs w:val="24"/>
              </w:rPr>
              <w:lastRenderedPageBreak/>
              <w:t>Kliimaministeerium</w:t>
            </w:r>
          </w:p>
        </w:tc>
        <w:tc>
          <w:tcPr>
            <w:tcW w:w="5528" w:type="dxa"/>
          </w:tcPr>
          <w:p w14:paraId="4B95479C" w14:textId="77777777" w:rsidR="002D1B2D" w:rsidRPr="002D1B2D" w:rsidRDefault="002D1B2D" w:rsidP="002D1B2D">
            <w:pPr>
              <w:jc w:val="both"/>
              <w:rPr>
                <w:rFonts w:ascii="Times New Roman" w:hAnsi="Times New Roman" w:cs="Times New Roman"/>
                <w:sz w:val="24"/>
                <w:szCs w:val="24"/>
              </w:rPr>
            </w:pPr>
            <w:r w:rsidRPr="002D1B2D">
              <w:rPr>
                <w:rFonts w:ascii="Times New Roman" w:hAnsi="Times New Roman" w:cs="Times New Roman"/>
                <w:sz w:val="24"/>
                <w:szCs w:val="24"/>
              </w:rPr>
              <w:t xml:space="preserve">Kliimaministeerium toetab Globaalse Euroopa instrumendi raames kliima- ja </w:t>
            </w:r>
          </w:p>
          <w:p w14:paraId="38E910D3" w14:textId="77777777" w:rsidR="002D1B2D" w:rsidRPr="002D1B2D" w:rsidRDefault="002D1B2D" w:rsidP="002D1B2D">
            <w:pPr>
              <w:jc w:val="both"/>
              <w:rPr>
                <w:rFonts w:ascii="Times New Roman" w:hAnsi="Times New Roman" w:cs="Times New Roman"/>
                <w:sz w:val="24"/>
                <w:szCs w:val="24"/>
              </w:rPr>
            </w:pPr>
            <w:r w:rsidRPr="002D1B2D">
              <w:rPr>
                <w:rFonts w:ascii="Times New Roman" w:hAnsi="Times New Roman" w:cs="Times New Roman"/>
                <w:sz w:val="24"/>
                <w:szCs w:val="24"/>
              </w:rPr>
              <w:t xml:space="preserve">keskkonnaeesmärkide saavutamise toetamist väljaspool Euroopa Liitu, nagu on välja toodud </w:t>
            </w:r>
          </w:p>
          <w:p w14:paraId="603750BB" w14:textId="77777777" w:rsidR="002D1B2D" w:rsidRPr="002D1B2D" w:rsidRDefault="002D1B2D" w:rsidP="002D1B2D">
            <w:pPr>
              <w:jc w:val="both"/>
              <w:rPr>
                <w:rFonts w:ascii="Times New Roman" w:hAnsi="Times New Roman" w:cs="Times New Roman"/>
                <w:sz w:val="24"/>
                <w:szCs w:val="24"/>
              </w:rPr>
            </w:pPr>
            <w:r w:rsidRPr="002D1B2D">
              <w:rPr>
                <w:rFonts w:ascii="Times New Roman" w:hAnsi="Times New Roman" w:cs="Times New Roman"/>
                <w:sz w:val="24"/>
                <w:szCs w:val="24"/>
              </w:rPr>
              <w:t xml:space="preserve">Euroopa Komisjoni ettepanekus. Peame seda vajalikuks globaalsete eesmärkide saavutamiseks </w:t>
            </w:r>
          </w:p>
          <w:p w14:paraId="45210D38" w14:textId="77777777" w:rsidR="002D1B2D" w:rsidRPr="002D1B2D" w:rsidRDefault="002D1B2D" w:rsidP="002D1B2D">
            <w:pPr>
              <w:jc w:val="both"/>
              <w:rPr>
                <w:rFonts w:ascii="Times New Roman" w:hAnsi="Times New Roman" w:cs="Times New Roman"/>
                <w:sz w:val="24"/>
                <w:szCs w:val="24"/>
              </w:rPr>
            </w:pPr>
            <w:r w:rsidRPr="002D1B2D">
              <w:rPr>
                <w:rFonts w:ascii="Times New Roman" w:hAnsi="Times New Roman" w:cs="Times New Roman"/>
                <w:sz w:val="24"/>
                <w:szCs w:val="24"/>
              </w:rPr>
              <w:t xml:space="preserve">nimetatud valdkondades, sealhulgas Pariisi kliimakokkuleppe ning ÜRO kestliku arengu </w:t>
            </w:r>
          </w:p>
          <w:p w14:paraId="2004FDC7" w14:textId="77777777" w:rsidR="002D1B2D" w:rsidRPr="002D1B2D" w:rsidRDefault="002D1B2D" w:rsidP="002D1B2D">
            <w:pPr>
              <w:jc w:val="both"/>
              <w:rPr>
                <w:rFonts w:ascii="Times New Roman" w:hAnsi="Times New Roman" w:cs="Times New Roman"/>
                <w:sz w:val="24"/>
                <w:szCs w:val="24"/>
              </w:rPr>
            </w:pPr>
            <w:r w:rsidRPr="002D1B2D">
              <w:rPr>
                <w:rFonts w:ascii="Times New Roman" w:hAnsi="Times New Roman" w:cs="Times New Roman"/>
                <w:sz w:val="24"/>
                <w:szCs w:val="24"/>
              </w:rPr>
              <w:t xml:space="preserve">eesmärkide täitmiseks. Samuti toetame algatuses keskendumist kriitilistele toormetele, </w:t>
            </w:r>
          </w:p>
          <w:p w14:paraId="7A888C5D" w14:textId="77777777" w:rsidR="002D1B2D" w:rsidRPr="002D1B2D" w:rsidRDefault="002D1B2D" w:rsidP="002D1B2D">
            <w:pPr>
              <w:jc w:val="both"/>
              <w:rPr>
                <w:rFonts w:ascii="Times New Roman" w:hAnsi="Times New Roman" w:cs="Times New Roman"/>
                <w:sz w:val="24"/>
                <w:szCs w:val="24"/>
              </w:rPr>
            </w:pPr>
            <w:r w:rsidRPr="002D1B2D">
              <w:rPr>
                <w:rFonts w:ascii="Times New Roman" w:hAnsi="Times New Roman" w:cs="Times New Roman"/>
                <w:sz w:val="24"/>
                <w:szCs w:val="24"/>
              </w:rPr>
              <w:t xml:space="preserve">energeetikale, digitaliseerimisele ja transpordialasele koostööle ning peame oluliseks Ukraina </w:t>
            </w:r>
          </w:p>
          <w:p w14:paraId="58D7C9C2" w14:textId="637DBA27" w:rsidR="00BF56C5" w:rsidRPr="00657C6C" w:rsidRDefault="002D1B2D" w:rsidP="002D1B2D">
            <w:pPr>
              <w:jc w:val="both"/>
              <w:rPr>
                <w:rFonts w:ascii="Times New Roman" w:hAnsi="Times New Roman" w:cs="Times New Roman"/>
                <w:b/>
                <w:bCs/>
                <w:sz w:val="24"/>
                <w:szCs w:val="24"/>
              </w:rPr>
            </w:pPr>
            <w:r w:rsidRPr="002D1B2D">
              <w:rPr>
                <w:rFonts w:ascii="Times New Roman" w:hAnsi="Times New Roman" w:cs="Times New Roman"/>
                <w:sz w:val="24"/>
                <w:szCs w:val="24"/>
              </w:rPr>
              <w:t>abistamist.</w:t>
            </w:r>
          </w:p>
        </w:tc>
        <w:tc>
          <w:tcPr>
            <w:tcW w:w="4394" w:type="dxa"/>
          </w:tcPr>
          <w:p w14:paraId="6963F9A1" w14:textId="3AF44F1B" w:rsidR="00BF56C5" w:rsidRPr="0092406D" w:rsidRDefault="0092406D" w:rsidP="003539C0">
            <w:pPr>
              <w:jc w:val="both"/>
              <w:rPr>
                <w:rFonts w:ascii="Times New Roman" w:hAnsi="Times New Roman" w:cs="Times New Roman"/>
                <w:sz w:val="24"/>
                <w:szCs w:val="24"/>
              </w:rPr>
            </w:pPr>
            <w:r w:rsidRPr="0092406D">
              <w:rPr>
                <w:rFonts w:ascii="Times New Roman" w:hAnsi="Times New Roman" w:cs="Times New Roman"/>
                <w:sz w:val="24"/>
                <w:szCs w:val="24"/>
              </w:rPr>
              <w:t xml:space="preserve">Arvestame </w:t>
            </w:r>
            <w:r w:rsidR="006608B4">
              <w:rPr>
                <w:rFonts w:ascii="Times New Roman" w:hAnsi="Times New Roman" w:cs="Times New Roman"/>
                <w:sz w:val="24"/>
                <w:szCs w:val="24"/>
              </w:rPr>
              <w:t>märkuse</w:t>
            </w:r>
            <w:r>
              <w:rPr>
                <w:rFonts w:ascii="Times New Roman" w:hAnsi="Times New Roman" w:cs="Times New Roman"/>
                <w:sz w:val="24"/>
                <w:szCs w:val="24"/>
              </w:rPr>
              <w:t xml:space="preserve">ga </w:t>
            </w:r>
            <w:bookmarkStart w:id="1" w:name="_Hlk214625499"/>
            <w:r>
              <w:rPr>
                <w:rFonts w:ascii="Times New Roman" w:hAnsi="Times New Roman" w:cs="Times New Roman"/>
                <w:sz w:val="24"/>
                <w:szCs w:val="24"/>
              </w:rPr>
              <w:t xml:space="preserve">määruse eelnõu esialgsete mõjude analüüsi kokkuvõttes </w:t>
            </w:r>
            <w:bookmarkEnd w:id="1"/>
            <w:r w:rsidR="0093003A">
              <w:rPr>
                <w:rFonts w:ascii="Times New Roman" w:hAnsi="Times New Roman" w:cs="Times New Roman"/>
                <w:sz w:val="24"/>
                <w:szCs w:val="24"/>
              </w:rPr>
              <w:t>ning on kajastatud</w:t>
            </w:r>
            <w:r>
              <w:rPr>
                <w:rFonts w:ascii="Times New Roman" w:hAnsi="Times New Roman" w:cs="Times New Roman"/>
                <w:sz w:val="24"/>
                <w:szCs w:val="24"/>
              </w:rPr>
              <w:t xml:space="preserve"> seisukoh</w:t>
            </w:r>
            <w:r w:rsidR="0093003A">
              <w:rPr>
                <w:rFonts w:ascii="Times New Roman" w:hAnsi="Times New Roman" w:cs="Times New Roman"/>
                <w:sz w:val="24"/>
                <w:szCs w:val="24"/>
              </w:rPr>
              <w:t>tade</w:t>
            </w:r>
            <w:r w:rsidR="00AE5E91">
              <w:rPr>
                <w:rFonts w:ascii="Times New Roman" w:hAnsi="Times New Roman" w:cs="Times New Roman"/>
                <w:sz w:val="24"/>
                <w:szCs w:val="24"/>
              </w:rPr>
              <w:t>s</w:t>
            </w:r>
            <w:r w:rsidR="0093003A">
              <w:rPr>
                <w:rFonts w:ascii="Times New Roman" w:hAnsi="Times New Roman" w:cs="Times New Roman"/>
                <w:sz w:val="24"/>
                <w:szCs w:val="24"/>
              </w:rPr>
              <w:t xml:space="preserve"> 5.11</w:t>
            </w:r>
            <w:r>
              <w:rPr>
                <w:rFonts w:ascii="Times New Roman" w:hAnsi="Times New Roman" w:cs="Times New Roman"/>
                <w:sz w:val="24"/>
                <w:szCs w:val="24"/>
              </w:rPr>
              <w:t>.</w:t>
            </w:r>
            <w:r w:rsidR="00AE5E91">
              <w:rPr>
                <w:rFonts w:ascii="Times New Roman" w:hAnsi="Times New Roman" w:cs="Times New Roman"/>
                <w:sz w:val="24"/>
                <w:szCs w:val="24"/>
              </w:rPr>
              <w:t xml:space="preserve"> Ukraina toetami</w:t>
            </w:r>
            <w:r w:rsidR="00B40609">
              <w:rPr>
                <w:rFonts w:ascii="Times New Roman" w:hAnsi="Times New Roman" w:cs="Times New Roman"/>
                <w:sz w:val="24"/>
                <w:szCs w:val="24"/>
              </w:rPr>
              <w:t>se olulisus</w:t>
            </w:r>
            <w:r w:rsidR="00AE5E91">
              <w:rPr>
                <w:rFonts w:ascii="Times New Roman" w:hAnsi="Times New Roman" w:cs="Times New Roman"/>
                <w:sz w:val="24"/>
                <w:szCs w:val="24"/>
              </w:rPr>
              <w:t xml:space="preserve"> on </w:t>
            </w:r>
            <w:r w:rsidR="00B40609">
              <w:rPr>
                <w:rFonts w:ascii="Times New Roman" w:hAnsi="Times New Roman" w:cs="Times New Roman"/>
                <w:sz w:val="24"/>
                <w:szCs w:val="24"/>
              </w:rPr>
              <w:t>välja toodud</w:t>
            </w:r>
            <w:r w:rsidR="00AE5E91">
              <w:rPr>
                <w:rFonts w:ascii="Times New Roman" w:hAnsi="Times New Roman" w:cs="Times New Roman"/>
                <w:sz w:val="24"/>
                <w:szCs w:val="24"/>
              </w:rPr>
              <w:t xml:space="preserve"> seisukohas 5.2.</w:t>
            </w:r>
            <w:r>
              <w:rPr>
                <w:rFonts w:ascii="Times New Roman" w:hAnsi="Times New Roman" w:cs="Times New Roman"/>
                <w:sz w:val="24"/>
                <w:szCs w:val="24"/>
              </w:rPr>
              <w:t xml:space="preserve"> </w:t>
            </w:r>
          </w:p>
        </w:tc>
      </w:tr>
      <w:tr w:rsidR="00BF56C5" w:rsidRPr="00657C6C" w14:paraId="4E7EDB9B" w14:textId="77777777" w:rsidTr="00266860">
        <w:trPr>
          <w:trHeight w:val="991"/>
        </w:trPr>
        <w:tc>
          <w:tcPr>
            <w:tcW w:w="4248" w:type="dxa"/>
          </w:tcPr>
          <w:p w14:paraId="4F6CBC56" w14:textId="255E591B" w:rsidR="00BF56C5" w:rsidRPr="00657C6C" w:rsidRDefault="00BF56C5" w:rsidP="003539C0">
            <w:pPr>
              <w:jc w:val="both"/>
              <w:rPr>
                <w:rFonts w:ascii="Times New Roman" w:hAnsi="Times New Roman" w:cs="Times New Roman"/>
                <w:sz w:val="24"/>
                <w:szCs w:val="24"/>
              </w:rPr>
            </w:pPr>
            <w:r w:rsidRPr="00657C6C">
              <w:rPr>
                <w:rFonts w:ascii="Times New Roman" w:hAnsi="Times New Roman" w:cs="Times New Roman"/>
                <w:sz w:val="24"/>
                <w:szCs w:val="24"/>
              </w:rPr>
              <w:lastRenderedPageBreak/>
              <w:t>Justiits- ja Digiministeerium</w:t>
            </w:r>
          </w:p>
        </w:tc>
        <w:tc>
          <w:tcPr>
            <w:tcW w:w="5528" w:type="dxa"/>
          </w:tcPr>
          <w:p w14:paraId="6D4B1856" w14:textId="77777777" w:rsidR="008D3466" w:rsidRPr="008D3466" w:rsidRDefault="008D3466" w:rsidP="008D3466">
            <w:pPr>
              <w:jc w:val="both"/>
              <w:rPr>
                <w:rFonts w:ascii="Times New Roman" w:hAnsi="Times New Roman" w:cs="Times New Roman"/>
                <w:sz w:val="24"/>
                <w:szCs w:val="24"/>
              </w:rPr>
            </w:pPr>
            <w:r w:rsidRPr="008D3466">
              <w:rPr>
                <w:rFonts w:ascii="Times New Roman" w:hAnsi="Times New Roman" w:cs="Times New Roman"/>
                <w:sz w:val="24"/>
                <w:szCs w:val="24"/>
              </w:rPr>
              <w:t>Toetame Euroopa Liidu (EL) välistegevuse puhul põhiõiguste ja õigusriigi põhimõtetest lähtumist. Euroopa Liidu välistegevuse üks üldeesmärkidest on demokraatia, õigusriigi ning inimõiguste ja põhivabaduste austamise edendamine (vt EL lepingu artikli 3 lõige 5 ning artiklid 8 ja 21). Need põhimõtted moodustavad ühtlasi Euroopa integratsiooni alusväärtused ning seetõttu on nende edendamine väljaspool liitu lahutamatult seotud ELi enda legitiimsuse ja usaldusväärsusega rahvusvahelisel areenil. Need ei ole pelgalt poliitilised deklaratsioonid, vaid tingimused kestliku arengu, stabiilsuse ja rahu tagamiseks ja seeläbi investeerimiskindluse saavutamiseks partnerriikides.</w:t>
            </w:r>
          </w:p>
          <w:p w14:paraId="74F19D77" w14:textId="77777777" w:rsidR="008D3466" w:rsidRPr="008D3466" w:rsidRDefault="008D3466" w:rsidP="008D3466">
            <w:pPr>
              <w:jc w:val="both"/>
              <w:rPr>
                <w:rFonts w:ascii="Times New Roman" w:hAnsi="Times New Roman" w:cs="Times New Roman"/>
                <w:sz w:val="24"/>
                <w:szCs w:val="24"/>
              </w:rPr>
            </w:pPr>
            <w:r w:rsidRPr="008D3466">
              <w:rPr>
                <w:rFonts w:ascii="Times New Roman" w:hAnsi="Times New Roman" w:cs="Times New Roman"/>
                <w:sz w:val="24"/>
                <w:szCs w:val="24"/>
              </w:rPr>
              <w:t>Kavandatav instrument „Global Europe“</w:t>
            </w:r>
            <w:r w:rsidRPr="008D3466">
              <w:rPr>
                <w:rFonts w:ascii="Times New Roman" w:hAnsi="Times New Roman" w:cs="Times New Roman"/>
                <w:sz w:val="24"/>
                <w:szCs w:val="24"/>
                <w:vertAlign w:val="superscript"/>
              </w:rPr>
              <w:footnoteReference w:customMarkFollows="1" w:id="1"/>
              <w:t>[1]</w:t>
            </w:r>
            <w:r w:rsidRPr="008D3466">
              <w:rPr>
                <w:rFonts w:ascii="Times New Roman" w:hAnsi="Times New Roman" w:cs="Times New Roman"/>
                <w:sz w:val="24"/>
                <w:szCs w:val="24"/>
              </w:rPr>
              <w:t xml:space="preserve"> näib olevat tõhus raamistik, mille kaudu EL neid eesmärke oma välissuhetes saab edendada. See toetab neid eesmärke süsteemselt ja õigusriigi seisukohast põhjendatult, ühendades liidu väärtuspõhise välispoliitika ning strateegilised huvid.</w:t>
            </w:r>
          </w:p>
          <w:p w14:paraId="7432D2BE" w14:textId="77777777" w:rsidR="008D3466" w:rsidRPr="008D3466" w:rsidRDefault="008D3466" w:rsidP="008D3466">
            <w:pPr>
              <w:jc w:val="both"/>
              <w:rPr>
                <w:rFonts w:ascii="Times New Roman" w:hAnsi="Times New Roman" w:cs="Times New Roman"/>
                <w:sz w:val="24"/>
                <w:szCs w:val="24"/>
              </w:rPr>
            </w:pPr>
            <w:r w:rsidRPr="008D3466">
              <w:rPr>
                <w:rFonts w:ascii="Times New Roman" w:hAnsi="Times New Roman" w:cs="Times New Roman"/>
                <w:sz w:val="24"/>
                <w:szCs w:val="24"/>
              </w:rPr>
              <w:t>„Global Europe“ määruse ettepaneku artikli 9 kohaselt püüab liit edendada, arendada ja tugevdada demokraatia, hea valitsemistava ja õigusriigi põhimõtteid ning inimõiguste ja põhivabaduste austamist. Seejuures on oluline tagada partnerriikide ja -piirkondade ning kodanikuühiskonna kaasamine ning avatud dialoog. Niisugune kaasatus toetab läbipaistvust, suurendab avaliku võimu vastutust ja aitab kujundada õigusriiki alt üles.</w:t>
            </w:r>
          </w:p>
          <w:p w14:paraId="5CCBAE3F" w14:textId="77777777" w:rsidR="008D3466" w:rsidRPr="008D3466" w:rsidRDefault="008D3466" w:rsidP="008D3466">
            <w:pPr>
              <w:jc w:val="both"/>
              <w:rPr>
                <w:rFonts w:ascii="Times New Roman" w:hAnsi="Times New Roman" w:cs="Times New Roman"/>
                <w:sz w:val="24"/>
                <w:szCs w:val="24"/>
              </w:rPr>
            </w:pPr>
            <w:r w:rsidRPr="008D3466">
              <w:rPr>
                <w:rFonts w:ascii="Times New Roman" w:hAnsi="Times New Roman" w:cs="Times New Roman"/>
                <w:sz w:val="24"/>
                <w:szCs w:val="24"/>
              </w:rPr>
              <w:lastRenderedPageBreak/>
              <w:t>Õigusriigi aspektist saab instrumendi puhul välja tuua ka järelevalve- ja kontrollimehhanismide selguse. Komisjonile antud rakenduspädevus vastavalt Euroopa Parlamendi ja Nõukogu määrusele (EL) nr 182/2011 tagab, et rakendusmeetmed võetakse vastu ühtsetes tingimustes, liikmesriikide osalusel ja läbipaistvalt. See tugevdab õiguskindlust ning tagab, et liidu väärtused ja õigusriigi põhimõtted on kaitstud ka kriisiolukordades, kus võib tekkida oht rahule, demokraatiale või põhiõigustele. Komisjonile antud pädevus võtta vastu viivitamatult kohaldatavaid rakendusakte on õiguspoliitiliselt põhjendatud erand, mille eesmärk on kaitsta liidu põhiväärtusi olukordades, kus viivitus ohustaks nende elluviimist.</w:t>
            </w:r>
          </w:p>
          <w:p w14:paraId="4E37B5E6" w14:textId="1D42D6F5" w:rsidR="008D3466" w:rsidRPr="008D3466" w:rsidRDefault="008D3466" w:rsidP="008D3466">
            <w:pPr>
              <w:jc w:val="both"/>
              <w:rPr>
                <w:rFonts w:ascii="Times New Roman" w:hAnsi="Times New Roman" w:cs="Times New Roman"/>
                <w:sz w:val="24"/>
                <w:szCs w:val="24"/>
              </w:rPr>
            </w:pPr>
            <w:r w:rsidRPr="008D3466">
              <w:rPr>
                <w:rFonts w:ascii="Times New Roman" w:hAnsi="Times New Roman" w:cs="Times New Roman"/>
                <w:sz w:val="24"/>
                <w:szCs w:val="24"/>
              </w:rPr>
              <w:t>Eelnevat arvestades võib järeldada, et instrument „Global Europe“ on vahend, mis võimaldab tagada, et Euroopa Liit jääks rahvusvahelisel areenil väärtuspõhiseks, õiguspäraseks ja usaldusväärseks tegutsejaks, kelle tegevus toetab demokraatlikke institutsioone, inimõigusi ja õigusriigi kestlikkust üleilmselt. </w:t>
            </w:r>
          </w:p>
          <w:p w14:paraId="198200B1" w14:textId="4E4CBCCA" w:rsidR="00BF56C5" w:rsidRPr="008D3466" w:rsidRDefault="008D3466" w:rsidP="008D3466">
            <w:pPr>
              <w:jc w:val="both"/>
              <w:rPr>
                <w:rFonts w:ascii="Times New Roman" w:hAnsi="Times New Roman" w:cs="Times New Roman"/>
                <w:sz w:val="24"/>
                <w:szCs w:val="24"/>
              </w:rPr>
            </w:pPr>
            <w:r w:rsidRPr="008D3466">
              <w:rPr>
                <w:rFonts w:ascii="Times New Roman" w:hAnsi="Times New Roman" w:cs="Times New Roman"/>
                <w:sz w:val="24"/>
                <w:szCs w:val="24"/>
              </w:rPr>
              <w:t xml:space="preserve">Tervitame  Global Gateway strateegia arvestamist „Global Europe“ instrumendis ja rõhutame turvalise ning kvaliteetse digitaalse taristu – eelkõige võrkude ja andmekeskuste – kriitilist rolli partnerriikide säästva arengu ja vastupanuvõime edendamisel. Leiame, et instrumendi rakendamine peaks olema sujuv ja tulemustele orienteeritud, minimeerides bürokraatiat ja toetades kindlalt ELi väärtusi, mis tagab instumendi mõjususe. Siia hulka kuulub kooskõla ELi 5G tööriistakasti turvaeesmärkide ja  Euroopa Komisjoni veealuste kaablite turvalisuse soovitustega, tagades </w:t>
            </w:r>
            <w:r w:rsidRPr="008D3466">
              <w:rPr>
                <w:rFonts w:ascii="Times New Roman" w:hAnsi="Times New Roman" w:cs="Times New Roman"/>
                <w:sz w:val="24"/>
                <w:szCs w:val="24"/>
              </w:rPr>
              <w:lastRenderedPageBreak/>
              <w:t>andmete suveräänsuse, võrgu terviklikkuse ja usaldusväärse ühenduvuse.</w:t>
            </w:r>
          </w:p>
        </w:tc>
        <w:tc>
          <w:tcPr>
            <w:tcW w:w="4394" w:type="dxa"/>
          </w:tcPr>
          <w:p w14:paraId="790D10F3" w14:textId="42EC1932" w:rsidR="00A60FAF" w:rsidRDefault="00173337" w:rsidP="00010C3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Oleme </w:t>
            </w:r>
            <w:r w:rsidR="00117FF2">
              <w:rPr>
                <w:rFonts w:ascii="Times New Roman" w:hAnsi="Times New Roman" w:cs="Times New Roman"/>
                <w:sz w:val="24"/>
                <w:szCs w:val="24"/>
              </w:rPr>
              <w:t>märkuse</w:t>
            </w:r>
            <w:r>
              <w:rPr>
                <w:rFonts w:ascii="Times New Roman" w:hAnsi="Times New Roman" w:cs="Times New Roman"/>
                <w:sz w:val="24"/>
                <w:szCs w:val="24"/>
              </w:rPr>
              <w:t>ga arvestanud määruse eelnõu esialgsete mõjude analüüsi kokkuvõttes</w:t>
            </w:r>
            <w:r w:rsidR="00DE047F">
              <w:rPr>
                <w:rFonts w:ascii="Times New Roman" w:hAnsi="Times New Roman" w:cs="Times New Roman"/>
                <w:sz w:val="24"/>
                <w:szCs w:val="24"/>
              </w:rPr>
              <w:t xml:space="preserve"> ja </w:t>
            </w:r>
            <w:r w:rsidR="00A60FAF">
              <w:rPr>
                <w:rFonts w:ascii="Times New Roman" w:hAnsi="Times New Roman" w:cs="Times New Roman"/>
                <w:sz w:val="24"/>
                <w:szCs w:val="24"/>
              </w:rPr>
              <w:t xml:space="preserve">järgmistes </w:t>
            </w:r>
            <w:r w:rsidR="00DE047F">
              <w:rPr>
                <w:rFonts w:ascii="Times New Roman" w:hAnsi="Times New Roman" w:cs="Times New Roman"/>
                <w:sz w:val="24"/>
                <w:szCs w:val="24"/>
              </w:rPr>
              <w:t>seisukoh</w:t>
            </w:r>
            <w:r w:rsidR="00A60FAF">
              <w:rPr>
                <w:rFonts w:ascii="Times New Roman" w:hAnsi="Times New Roman" w:cs="Times New Roman"/>
                <w:sz w:val="24"/>
                <w:szCs w:val="24"/>
              </w:rPr>
              <w:t xml:space="preserve">tades: </w:t>
            </w:r>
          </w:p>
          <w:p w14:paraId="00D404B2" w14:textId="5D61C86C" w:rsidR="00173337" w:rsidRDefault="00A60FAF" w:rsidP="00173337">
            <w:pPr>
              <w:spacing w:before="120"/>
              <w:jc w:val="both"/>
              <w:rPr>
                <w:rFonts w:ascii="Times New Roman" w:hAnsi="Times New Roman" w:cs="Times New Roman"/>
                <w:sz w:val="24"/>
                <w:szCs w:val="24"/>
              </w:rPr>
            </w:pPr>
            <w:r>
              <w:rPr>
                <w:rFonts w:ascii="Times New Roman" w:hAnsi="Times New Roman" w:cs="Times New Roman"/>
                <w:sz w:val="24"/>
                <w:szCs w:val="24"/>
              </w:rPr>
              <w:t>5.</w:t>
            </w:r>
            <w:r w:rsidR="007A5779">
              <w:rPr>
                <w:rFonts w:ascii="Times New Roman" w:hAnsi="Times New Roman" w:cs="Times New Roman"/>
                <w:sz w:val="24"/>
                <w:szCs w:val="24"/>
              </w:rPr>
              <w:t>6</w:t>
            </w:r>
            <w:r>
              <w:rPr>
                <w:rFonts w:ascii="Times New Roman" w:hAnsi="Times New Roman" w:cs="Times New Roman"/>
                <w:sz w:val="24"/>
                <w:szCs w:val="24"/>
              </w:rPr>
              <w:t>, kus muuhulgas peame oluliseks EL väliskoostöö vahenditest toetada demokraatia, õigusriigi ja inimõiguste edendamist;</w:t>
            </w:r>
          </w:p>
          <w:p w14:paraId="2B614AC9" w14:textId="280A209D" w:rsidR="00BF56C5" w:rsidRPr="00A60FAF" w:rsidRDefault="00A60FAF" w:rsidP="00173337">
            <w:pPr>
              <w:spacing w:before="120"/>
              <w:jc w:val="both"/>
              <w:rPr>
                <w:rFonts w:ascii="Times New Roman" w:hAnsi="Times New Roman" w:cs="Times New Roman"/>
                <w:b/>
                <w:bCs/>
                <w:sz w:val="24"/>
                <w:szCs w:val="24"/>
              </w:rPr>
            </w:pPr>
            <w:r>
              <w:rPr>
                <w:rFonts w:ascii="Times New Roman" w:hAnsi="Times New Roman" w:cs="Times New Roman"/>
                <w:sz w:val="24"/>
                <w:szCs w:val="24"/>
              </w:rPr>
              <w:t>5.</w:t>
            </w:r>
            <w:r w:rsidR="00702FAE">
              <w:rPr>
                <w:rFonts w:ascii="Times New Roman" w:hAnsi="Times New Roman" w:cs="Times New Roman"/>
                <w:sz w:val="24"/>
                <w:szCs w:val="24"/>
              </w:rPr>
              <w:t>9</w:t>
            </w:r>
            <w:r>
              <w:rPr>
                <w:rFonts w:ascii="Times New Roman" w:hAnsi="Times New Roman" w:cs="Times New Roman"/>
                <w:sz w:val="24"/>
                <w:szCs w:val="24"/>
              </w:rPr>
              <w:t xml:space="preserve">, mis puudutab partnerriikide kestliku arengu terviklikku toetamist ning kvaliteetse digitaalse taristu rajamist.  </w:t>
            </w:r>
          </w:p>
        </w:tc>
      </w:tr>
      <w:tr w:rsidR="00BF56C5" w:rsidRPr="00657C6C" w14:paraId="374FCD82" w14:textId="77777777" w:rsidTr="00010C3E">
        <w:trPr>
          <w:trHeight w:val="1139"/>
        </w:trPr>
        <w:tc>
          <w:tcPr>
            <w:tcW w:w="4248" w:type="dxa"/>
          </w:tcPr>
          <w:p w14:paraId="416CDF36" w14:textId="54EEDE80" w:rsidR="00BF56C5" w:rsidRPr="00657C6C" w:rsidRDefault="00BF56C5" w:rsidP="003539C0">
            <w:pPr>
              <w:jc w:val="both"/>
              <w:rPr>
                <w:rFonts w:ascii="Times New Roman" w:hAnsi="Times New Roman" w:cs="Times New Roman"/>
                <w:sz w:val="24"/>
                <w:szCs w:val="24"/>
              </w:rPr>
            </w:pPr>
            <w:r w:rsidRPr="00657C6C">
              <w:rPr>
                <w:rFonts w:ascii="Times New Roman" w:hAnsi="Times New Roman" w:cs="Times New Roman"/>
                <w:sz w:val="24"/>
                <w:szCs w:val="24"/>
              </w:rPr>
              <w:lastRenderedPageBreak/>
              <w:t>Sotsiaalministeerium</w:t>
            </w:r>
          </w:p>
        </w:tc>
        <w:tc>
          <w:tcPr>
            <w:tcW w:w="5528" w:type="dxa"/>
          </w:tcPr>
          <w:p w14:paraId="08BBE16E" w14:textId="4BB75EF8" w:rsidR="00BF56C5" w:rsidRPr="00D7468D" w:rsidRDefault="00D7468D" w:rsidP="003539C0">
            <w:pPr>
              <w:jc w:val="both"/>
              <w:rPr>
                <w:rFonts w:ascii="Times New Roman" w:hAnsi="Times New Roman" w:cs="Times New Roman"/>
                <w:sz w:val="24"/>
                <w:szCs w:val="24"/>
              </w:rPr>
            </w:pPr>
            <w:r w:rsidRPr="00D7468D">
              <w:rPr>
                <w:rFonts w:ascii="Times New Roman" w:hAnsi="Times New Roman" w:cs="Times New Roman"/>
                <w:sz w:val="24"/>
                <w:szCs w:val="24"/>
              </w:rPr>
              <w:t>Sotsiaalministeerium on määrusega tutvunud ning täiendavaid küsimusi, tähelepanekuid ega ettepanekuid ei ole. Toetame Global Europe instrumendi lähenemist, mis arvestab käesoleva perioodi kogemusi ja esile kerkinud väljakutseid. Eelarve ja selle jaotuse osas puudub Sotsiaalministeeriumil pädevus hinnangu andmiseks. Eesti jaoks olulised teemad on selgelt esile toodud, sh seonduvalt Ukraina ja teiste riikide võimalikuga liitumisega.</w:t>
            </w:r>
          </w:p>
        </w:tc>
        <w:tc>
          <w:tcPr>
            <w:tcW w:w="4394" w:type="dxa"/>
          </w:tcPr>
          <w:p w14:paraId="2AC3DF07" w14:textId="34B51727" w:rsidR="00BF56C5" w:rsidRPr="009C493B" w:rsidRDefault="009C493B" w:rsidP="003539C0">
            <w:pPr>
              <w:jc w:val="both"/>
              <w:rPr>
                <w:rFonts w:ascii="Times New Roman" w:hAnsi="Times New Roman" w:cs="Times New Roman"/>
                <w:sz w:val="24"/>
                <w:szCs w:val="24"/>
              </w:rPr>
            </w:pPr>
            <w:r w:rsidRPr="009C493B">
              <w:rPr>
                <w:rFonts w:ascii="Times New Roman" w:hAnsi="Times New Roman" w:cs="Times New Roman"/>
                <w:sz w:val="24"/>
                <w:szCs w:val="24"/>
              </w:rPr>
              <w:t>Arvestame</w:t>
            </w:r>
            <w:r>
              <w:rPr>
                <w:rFonts w:ascii="Times New Roman" w:hAnsi="Times New Roman" w:cs="Times New Roman"/>
                <w:sz w:val="24"/>
                <w:szCs w:val="24"/>
              </w:rPr>
              <w:t xml:space="preserve"> </w:t>
            </w:r>
            <w:r w:rsidR="00117FF2">
              <w:rPr>
                <w:rFonts w:ascii="Times New Roman" w:hAnsi="Times New Roman" w:cs="Times New Roman"/>
                <w:sz w:val="24"/>
                <w:szCs w:val="24"/>
              </w:rPr>
              <w:t>märkuse</w:t>
            </w:r>
            <w:r>
              <w:rPr>
                <w:rFonts w:ascii="Times New Roman" w:hAnsi="Times New Roman" w:cs="Times New Roman"/>
                <w:sz w:val="24"/>
                <w:szCs w:val="24"/>
              </w:rPr>
              <w:t xml:space="preserve">ga. Ukraina toetamine ja EL laienemine on kajastatud seisukohtades 5.2 ja 5.3. </w:t>
            </w:r>
          </w:p>
        </w:tc>
      </w:tr>
      <w:tr w:rsidR="00BF56C5" w:rsidRPr="00657C6C" w14:paraId="6624A477" w14:textId="77777777" w:rsidTr="00010C3E">
        <w:trPr>
          <w:trHeight w:val="899"/>
        </w:trPr>
        <w:tc>
          <w:tcPr>
            <w:tcW w:w="4248" w:type="dxa"/>
          </w:tcPr>
          <w:p w14:paraId="2080E33A" w14:textId="469C2702" w:rsidR="00BF56C5" w:rsidRPr="00657C6C" w:rsidRDefault="00BF56C5" w:rsidP="003539C0">
            <w:pPr>
              <w:jc w:val="both"/>
              <w:rPr>
                <w:rFonts w:ascii="Times New Roman" w:hAnsi="Times New Roman" w:cs="Times New Roman"/>
                <w:sz w:val="24"/>
                <w:szCs w:val="24"/>
              </w:rPr>
            </w:pPr>
            <w:r w:rsidRPr="00657C6C">
              <w:rPr>
                <w:rFonts w:ascii="Times New Roman" w:hAnsi="Times New Roman" w:cs="Times New Roman"/>
                <w:sz w:val="24"/>
                <w:szCs w:val="24"/>
              </w:rPr>
              <w:t>Regionaal- ja Põllumajandusministeerium</w:t>
            </w:r>
          </w:p>
        </w:tc>
        <w:tc>
          <w:tcPr>
            <w:tcW w:w="5528" w:type="dxa"/>
          </w:tcPr>
          <w:p w14:paraId="0B99F7DF" w14:textId="3F4768B0" w:rsidR="00BF56C5" w:rsidRPr="00D7468D" w:rsidRDefault="00D7468D" w:rsidP="003539C0">
            <w:pPr>
              <w:jc w:val="both"/>
              <w:rPr>
                <w:rFonts w:ascii="Times New Roman" w:hAnsi="Times New Roman" w:cs="Times New Roman"/>
                <w:sz w:val="24"/>
                <w:szCs w:val="24"/>
              </w:rPr>
            </w:pPr>
            <w:r w:rsidRPr="00D7468D">
              <w:rPr>
                <w:rFonts w:ascii="Times New Roman" w:hAnsi="Times New Roman" w:cs="Times New Roman"/>
                <w:sz w:val="24"/>
                <w:szCs w:val="24"/>
              </w:rPr>
              <w:t>REMil ettepanekuid ei ole</w:t>
            </w:r>
            <w:r w:rsidR="00010C3E">
              <w:rPr>
                <w:rFonts w:ascii="Times New Roman" w:hAnsi="Times New Roman" w:cs="Times New Roman"/>
                <w:sz w:val="24"/>
                <w:szCs w:val="24"/>
              </w:rPr>
              <w:t>.</w:t>
            </w:r>
          </w:p>
        </w:tc>
        <w:tc>
          <w:tcPr>
            <w:tcW w:w="4394" w:type="dxa"/>
          </w:tcPr>
          <w:p w14:paraId="2CC6EAA6" w14:textId="77777777" w:rsidR="00BF56C5" w:rsidRPr="00657C6C" w:rsidRDefault="00BF56C5" w:rsidP="003539C0">
            <w:pPr>
              <w:jc w:val="both"/>
              <w:rPr>
                <w:rFonts w:ascii="Times New Roman" w:hAnsi="Times New Roman" w:cs="Times New Roman"/>
                <w:b/>
                <w:bCs/>
                <w:sz w:val="24"/>
                <w:szCs w:val="24"/>
              </w:rPr>
            </w:pPr>
          </w:p>
        </w:tc>
      </w:tr>
      <w:tr w:rsidR="00BF56C5" w:rsidRPr="00657C6C" w14:paraId="692993BD" w14:textId="77777777" w:rsidTr="00010C3E">
        <w:trPr>
          <w:trHeight w:val="1402"/>
        </w:trPr>
        <w:tc>
          <w:tcPr>
            <w:tcW w:w="4248" w:type="dxa"/>
          </w:tcPr>
          <w:p w14:paraId="2C9AF34E" w14:textId="35BD437D" w:rsidR="00BF56C5" w:rsidRPr="00657C6C" w:rsidRDefault="00BF56C5" w:rsidP="00BF56C5">
            <w:pPr>
              <w:rPr>
                <w:rFonts w:ascii="Times New Roman" w:hAnsi="Times New Roman" w:cs="Times New Roman"/>
                <w:sz w:val="24"/>
                <w:szCs w:val="24"/>
              </w:rPr>
            </w:pPr>
            <w:bookmarkStart w:id="2" w:name="_Hlk215235847"/>
            <w:r w:rsidRPr="00657C6C">
              <w:rPr>
                <w:rFonts w:ascii="Times New Roman" w:hAnsi="Times New Roman" w:cs="Times New Roman"/>
                <w:sz w:val="24"/>
                <w:szCs w:val="24"/>
              </w:rPr>
              <w:t>Majandus- ja Kommunikatsiooniministeerium</w:t>
            </w:r>
          </w:p>
        </w:tc>
        <w:tc>
          <w:tcPr>
            <w:tcW w:w="5528" w:type="dxa"/>
          </w:tcPr>
          <w:p w14:paraId="1C6033FF" w14:textId="2BC8E638" w:rsidR="00F6578D" w:rsidRPr="00ED7D99" w:rsidRDefault="00F6578D" w:rsidP="00F6578D">
            <w:pPr>
              <w:jc w:val="both"/>
              <w:rPr>
                <w:rFonts w:ascii="Times New Roman" w:hAnsi="Times New Roman" w:cs="Times New Roman"/>
                <w:sz w:val="24"/>
                <w:szCs w:val="24"/>
              </w:rPr>
            </w:pPr>
            <w:r w:rsidRPr="00D64583">
              <w:rPr>
                <w:rFonts w:ascii="Times New Roman" w:hAnsi="Times New Roman" w:cs="Times New Roman"/>
                <w:b/>
                <w:bCs/>
                <w:sz w:val="24"/>
                <w:szCs w:val="24"/>
              </w:rPr>
              <w:t>1.</w:t>
            </w:r>
            <w:r>
              <w:rPr>
                <w:rFonts w:ascii="Times New Roman" w:hAnsi="Times New Roman" w:cs="Times New Roman"/>
                <w:sz w:val="24"/>
                <w:szCs w:val="24"/>
              </w:rPr>
              <w:t xml:space="preserve"> </w:t>
            </w:r>
            <w:r w:rsidR="00A969FF">
              <w:rPr>
                <w:rFonts w:ascii="Times New Roman" w:hAnsi="Times New Roman" w:cs="Times New Roman"/>
                <w:sz w:val="24"/>
                <w:szCs w:val="24"/>
              </w:rPr>
              <w:t>T</w:t>
            </w:r>
            <w:r w:rsidRPr="00ED7D99">
              <w:rPr>
                <w:rFonts w:ascii="Times New Roman" w:hAnsi="Times New Roman" w:cs="Times New Roman"/>
                <w:sz w:val="24"/>
                <w:szCs w:val="24"/>
              </w:rPr>
              <w:t>oeta</w:t>
            </w:r>
            <w:r w:rsidR="00A969FF">
              <w:rPr>
                <w:rFonts w:ascii="Times New Roman" w:hAnsi="Times New Roman" w:cs="Times New Roman"/>
                <w:sz w:val="24"/>
                <w:szCs w:val="24"/>
              </w:rPr>
              <w:t>me</w:t>
            </w:r>
            <w:r w:rsidRPr="00ED7D99">
              <w:rPr>
                <w:rFonts w:ascii="Times New Roman" w:hAnsi="Times New Roman" w:cs="Times New Roman"/>
                <w:sz w:val="24"/>
                <w:szCs w:val="24"/>
              </w:rPr>
              <w:t xml:space="preserve"> Global Europe algatuse eesmärki koondada seni killustunud välistegevuse rahastusvahendid ühtse ja paindliku instrumendi alla, mis tugevdab ELi strateegilist mõju ja võimekust reageerida</w:t>
            </w:r>
            <w:r>
              <w:rPr>
                <w:rFonts w:ascii="Times New Roman" w:hAnsi="Times New Roman" w:cs="Times New Roman"/>
                <w:sz w:val="24"/>
                <w:szCs w:val="24"/>
              </w:rPr>
              <w:t xml:space="preserve"> nii sisemistele, kui välistele</w:t>
            </w:r>
            <w:r w:rsidRPr="00ED7D99">
              <w:rPr>
                <w:rFonts w:ascii="Times New Roman" w:hAnsi="Times New Roman" w:cs="Times New Roman"/>
                <w:sz w:val="24"/>
                <w:szCs w:val="24"/>
              </w:rPr>
              <w:t xml:space="preserve"> kriisidele.</w:t>
            </w:r>
          </w:p>
          <w:p w14:paraId="31B78665" w14:textId="77777777" w:rsidR="00F6578D" w:rsidRPr="00ED7D99" w:rsidRDefault="00F6578D" w:rsidP="00F6578D">
            <w:pPr>
              <w:jc w:val="both"/>
              <w:rPr>
                <w:rFonts w:ascii="Times New Roman" w:hAnsi="Times New Roman" w:cs="Times New Roman"/>
                <w:sz w:val="24"/>
                <w:szCs w:val="24"/>
              </w:rPr>
            </w:pPr>
            <w:r w:rsidRPr="00ED7D99">
              <w:rPr>
                <w:rFonts w:ascii="Times New Roman" w:hAnsi="Times New Roman" w:cs="Times New Roman"/>
                <w:sz w:val="24"/>
                <w:szCs w:val="24"/>
              </w:rPr>
              <w:t xml:space="preserve">Oluline on, et uus instrument looks </w:t>
            </w:r>
            <w:r w:rsidRPr="00ED7D99">
              <w:rPr>
                <w:rFonts w:ascii="Times New Roman" w:hAnsi="Times New Roman" w:cs="Times New Roman"/>
                <w:b/>
                <w:bCs/>
                <w:sz w:val="24"/>
                <w:szCs w:val="24"/>
              </w:rPr>
              <w:t>selgema silla</w:t>
            </w:r>
            <w:r>
              <w:rPr>
                <w:rFonts w:ascii="Times New Roman" w:hAnsi="Times New Roman" w:cs="Times New Roman"/>
                <w:b/>
                <w:bCs/>
                <w:sz w:val="24"/>
                <w:szCs w:val="24"/>
              </w:rPr>
              <w:t>, konkreetsemad puutepunktid</w:t>
            </w:r>
            <w:r w:rsidRPr="00ED7D99">
              <w:rPr>
                <w:rFonts w:ascii="Times New Roman" w:hAnsi="Times New Roman" w:cs="Times New Roman"/>
                <w:b/>
                <w:bCs/>
                <w:sz w:val="24"/>
                <w:szCs w:val="24"/>
              </w:rPr>
              <w:t xml:space="preserve"> ELi välistegevuse ja sisemise konkurentsivõime poliitikate</w:t>
            </w:r>
            <w:r w:rsidRPr="00ED7D99">
              <w:rPr>
                <w:rFonts w:ascii="Times New Roman" w:hAnsi="Times New Roman" w:cs="Times New Roman"/>
                <w:sz w:val="24"/>
                <w:szCs w:val="24"/>
              </w:rPr>
              <w:t xml:space="preserve"> vahele (sh Euroopa konkurentsivõime fond – </w:t>
            </w:r>
            <w:r w:rsidRPr="00ED7D99">
              <w:rPr>
                <w:rFonts w:ascii="Times New Roman" w:hAnsi="Times New Roman" w:cs="Times New Roman"/>
                <w:b/>
                <w:bCs/>
                <w:sz w:val="24"/>
                <w:szCs w:val="24"/>
              </w:rPr>
              <w:t>ECF</w:t>
            </w:r>
            <w:r w:rsidRPr="00ED7D99">
              <w:rPr>
                <w:rFonts w:ascii="Times New Roman" w:hAnsi="Times New Roman" w:cs="Times New Roman"/>
                <w:sz w:val="24"/>
                <w:szCs w:val="24"/>
              </w:rPr>
              <w:t>).</w:t>
            </w:r>
            <w:r>
              <w:rPr>
                <w:rFonts w:ascii="Times New Roman" w:hAnsi="Times New Roman" w:cs="Times New Roman"/>
                <w:sz w:val="24"/>
                <w:szCs w:val="24"/>
              </w:rPr>
              <w:t xml:space="preserve"> Kas MFF fondide vahelise sünkroniseerimise jaoks luuakse ka vajalikud mehhanismid</w:t>
            </w:r>
            <w:r w:rsidRPr="00ED7D99">
              <w:rPr>
                <w:rFonts w:ascii="Times New Roman" w:hAnsi="Times New Roman" w:cs="Times New Roman"/>
                <w:sz w:val="24"/>
                <w:szCs w:val="24"/>
              </w:rPr>
              <w:t>, mis võimaldaksid</w:t>
            </w:r>
            <w:r>
              <w:rPr>
                <w:rFonts w:ascii="Times New Roman" w:hAnsi="Times New Roman" w:cs="Times New Roman"/>
                <w:sz w:val="24"/>
                <w:szCs w:val="24"/>
              </w:rPr>
              <w:t xml:space="preserve"> nt</w:t>
            </w:r>
            <w:r w:rsidRPr="00ED7D99">
              <w:rPr>
                <w:rFonts w:ascii="Times New Roman" w:hAnsi="Times New Roman" w:cs="Times New Roman"/>
                <w:sz w:val="24"/>
                <w:szCs w:val="24"/>
              </w:rPr>
              <w:t xml:space="preserve"> </w:t>
            </w:r>
            <w:r w:rsidRPr="00ED7D99">
              <w:rPr>
                <w:rFonts w:ascii="Times New Roman" w:hAnsi="Times New Roman" w:cs="Times New Roman"/>
                <w:b/>
                <w:bCs/>
                <w:sz w:val="24"/>
                <w:szCs w:val="24"/>
              </w:rPr>
              <w:t>Global Europe ja ECF-i vahel projektipõhist koordineerimist</w:t>
            </w:r>
            <w:r w:rsidRPr="00ED7D99">
              <w:rPr>
                <w:rFonts w:ascii="Times New Roman" w:hAnsi="Times New Roman" w:cs="Times New Roman"/>
                <w:sz w:val="24"/>
                <w:szCs w:val="24"/>
              </w:rPr>
              <w:t xml:space="preserve"> – nt ühine platvorm või aruandlusvoog strateegiliste investeeringute jälgimiseks kolmandates riikides</w:t>
            </w:r>
            <w:r>
              <w:rPr>
                <w:rFonts w:ascii="Times New Roman" w:hAnsi="Times New Roman" w:cs="Times New Roman"/>
                <w:sz w:val="24"/>
                <w:szCs w:val="24"/>
              </w:rPr>
              <w:t>?</w:t>
            </w:r>
          </w:p>
          <w:p w14:paraId="68AB927A" w14:textId="77777777" w:rsidR="00F6578D" w:rsidRPr="00ED7D99" w:rsidRDefault="00F6578D" w:rsidP="00F6578D">
            <w:pPr>
              <w:jc w:val="both"/>
              <w:rPr>
                <w:rFonts w:ascii="Times New Roman" w:hAnsi="Times New Roman" w:cs="Times New Roman"/>
                <w:sz w:val="24"/>
                <w:szCs w:val="24"/>
              </w:rPr>
            </w:pPr>
            <w:r w:rsidRPr="00ED7D99">
              <w:rPr>
                <w:rFonts w:ascii="Times New Roman" w:hAnsi="Times New Roman" w:cs="Times New Roman"/>
                <w:sz w:val="24"/>
                <w:szCs w:val="24"/>
              </w:rPr>
              <w:lastRenderedPageBreak/>
              <w:t xml:space="preserve">MKM peab oluliseks, et </w:t>
            </w:r>
            <w:r>
              <w:rPr>
                <w:rFonts w:ascii="Times New Roman" w:hAnsi="Times New Roman" w:cs="Times New Roman"/>
                <w:sz w:val="24"/>
                <w:szCs w:val="24"/>
              </w:rPr>
              <w:t>„</w:t>
            </w:r>
            <w:r w:rsidRPr="00ED7D99">
              <w:rPr>
                <w:rFonts w:ascii="Times New Roman" w:hAnsi="Times New Roman" w:cs="Times New Roman"/>
                <w:b/>
                <w:bCs/>
                <w:sz w:val="24"/>
                <w:szCs w:val="24"/>
              </w:rPr>
              <w:t>Team Europe</w:t>
            </w:r>
            <w:r>
              <w:rPr>
                <w:rFonts w:ascii="Times New Roman" w:hAnsi="Times New Roman" w:cs="Times New Roman"/>
                <w:b/>
                <w:bCs/>
                <w:sz w:val="24"/>
                <w:szCs w:val="24"/>
              </w:rPr>
              <w:t>“</w:t>
            </w:r>
            <w:r w:rsidRPr="00ED7D99">
              <w:rPr>
                <w:rFonts w:ascii="Times New Roman" w:hAnsi="Times New Roman" w:cs="Times New Roman"/>
                <w:sz w:val="24"/>
                <w:szCs w:val="24"/>
              </w:rPr>
              <w:t xml:space="preserve"> lähenemist </w:t>
            </w:r>
            <w:r w:rsidRPr="37BBA72F">
              <w:rPr>
                <w:rFonts w:ascii="Times New Roman" w:hAnsi="Times New Roman" w:cs="Times New Roman"/>
                <w:sz w:val="24"/>
                <w:szCs w:val="24"/>
              </w:rPr>
              <w:t>täiendab</w:t>
            </w:r>
            <w:r w:rsidRPr="00ED7D99">
              <w:rPr>
                <w:rFonts w:ascii="Times New Roman" w:hAnsi="Times New Roman" w:cs="Times New Roman"/>
                <w:sz w:val="24"/>
                <w:szCs w:val="24"/>
              </w:rPr>
              <w:t xml:space="preserve"> tugevam ettevõtete kaasamine</w:t>
            </w:r>
            <w:r w:rsidRPr="20BA5EE3">
              <w:rPr>
                <w:rFonts w:ascii="Times New Roman" w:hAnsi="Times New Roman" w:cs="Times New Roman"/>
                <w:sz w:val="24"/>
                <w:szCs w:val="24"/>
              </w:rPr>
              <w:t xml:space="preserve"> </w:t>
            </w:r>
            <w:r w:rsidRPr="682EE8E0">
              <w:rPr>
                <w:rFonts w:ascii="Times New Roman" w:hAnsi="Times New Roman" w:cs="Times New Roman"/>
                <w:sz w:val="24"/>
                <w:szCs w:val="24"/>
              </w:rPr>
              <w:t>projektides</w:t>
            </w:r>
            <w:r w:rsidRPr="7934F163">
              <w:rPr>
                <w:rFonts w:ascii="Times New Roman" w:hAnsi="Times New Roman" w:cs="Times New Roman"/>
                <w:sz w:val="24"/>
                <w:szCs w:val="24"/>
              </w:rPr>
              <w:t>, mida viiakse läbi sihtriikides/partnerriikides</w:t>
            </w:r>
            <w:r w:rsidRPr="120495E5">
              <w:rPr>
                <w:rFonts w:ascii="Times New Roman" w:hAnsi="Times New Roman" w:cs="Times New Roman"/>
                <w:sz w:val="24"/>
                <w:szCs w:val="24"/>
              </w:rPr>
              <w:t xml:space="preserve"> </w:t>
            </w:r>
            <w:r w:rsidRPr="0B1C9603">
              <w:rPr>
                <w:rFonts w:ascii="Times New Roman" w:hAnsi="Times New Roman" w:cs="Times New Roman"/>
                <w:sz w:val="24"/>
                <w:szCs w:val="24"/>
              </w:rPr>
              <w:t xml:space="preserve">- </w:t>
            </w:r>
            <w:r w:rsidRPr="120495E5">
              <w:rPr>
                <w:rFonts w:ascii="Times New Roman" w:hAnsi="Times New Roman" w:cs="Times New Roman"/>
                <w:sz w:val="24"/>
                <w:szCs w:val="24"/>
              </w:rPr>
              <w:t>projektid</w:t>
            </w:r>
            <w:r w:rsidRPr="33A86F80">
              <w:rPr>
                <w:rFonts w:ascii="Times New Roman" w:hAnsi="Times New Roman" w:cs="Times New Roman"/>
                <w:sz w:val="24"/>
                <w:szCs w:val="24"/>
              </w:rPr>
              <w:t xml:space="preserve"> </w:t>
            </w:r>
            <w:r w:rsidRPr="6B627CB6">
              <w:rPr>
                <w:rFonts w:ascii="Times New Roman" w:hAnsi="Times New Roman" w:cs="Times New Roman"/>
                <w:sz w:val="24"/>
                <w:szCs w:val="24"/>
              </w:rPr>
              <w:t>peavad</w:t>
            </w:r>
            <w:r w:rsidRPr="4E05B76A">
              <w:rPr>
                <w:rFonts w:ascii="Times New Roman" w:hAnsi="Times New Roman" w:cs="Times New Roman"/>
                <w:sz w:val="24"/>
                <w:szCs w:val="24"/>
              </w:rPr>
              <w:t xml:space="preserve"> </w:t>
            </w:r>
            <w:r w:rsidRPr="02013853">
              <w:rPr>
                <w:rFonts w:ascii="Times New Roman" w:hAnsi="Times New Roman" w:cs="Times New Roman"/>
                <w:sz w:val="24"/>
                <w:szCs w:val="24"/>
              </w:rPr>
              <w:t xml:space="preserve">hõlmama </w:t>
            </w:r>
            <w:r w:rsidRPr="7A2105C6">
              <w:rPr>
                <w:rFonts w:ascii="Times New Roman" w:hAnsi="Times New Roman" w:cs="Times New Roman"/>
                <w:sz w:val="24"/>
                <w:szCs w:val="24"/>
              </w:rPr>
              <w:t>lisaks</w:t>
            </w:r>
            <w:r w:rsidRPr="7934F163">
              <w:rPr>
                <w:rFonts w:ascii="Times New Roman" w:hAnsi="Times New Roman" w:cs="Times New Roman"/>
                <w:sz w:val="24"/>
                <w:szCs w:val="24"/>
              </w:rPr>
              <w:t xml:space="preserve"> </w:t>
            </w:r>
            <w:r w:rsidRPr="26762071">
              <w:rPr>
                <w:rFonts w:ascii="Times New Roman" w:hAnsi="Times New Roman" w:cs="Times New Roman"/>
                <w:sz w:val="24"/>
                <w:szCs w:val="24"/>
              </w:rPr>
              <w:t>arenguabile</w:t>
            </w:r>
            <w:r>
              <w:rPr>
                <w:rFonts w:ascii="Times New Roman" w:hAnsi="Times New Roman" w:cs="Times New Roman"/>
                <w:sz w:val="24"/>
                <w:szCs w:val="24"/>
              </w:rPr>
              <w:t xml:space="preserve"> </w:t>
            </w:r>
            <w:r w:rsidRPr="2308D4E8">
              <w:rPr>
                <w:rFonts w:ascii="Times New Roman" w:hAnsi="Times New Roman" w:cs="Times New Roman"/>
                <w:sz w:val="24"/>
                <w:szCs w:val="24"/>
              </w:rPr>
              <w:t xml:space="preserve">ka </w:t>
            </w:r>
            <w:r w:rsidRPr="01ABBE4B">
              <w:rPr>
                <w:rFonts w:ascii="Times New Roman" w:hAnsi="Times New Roman" w:cs="Times New Roman"/>
                <w:sz w:val="24"/>
                <w:szCs w:val="24"/>
              </w:rPr>
              <w:t>sidemete loomist</w:t>
            </w:r>
            <w:r w:rsidRPr="3413F003">
              <w:rPr>
                <w:rFonts w:ascii="Times New Roman" w:hAnsi="Times New Roman" w:cs="Times New Roman"/>
                <w:sz w:val="24"/>
                <w:szCs w:val="24"/>
              </w:rPr>
              <w:t xml:space="preserve"> </w:t>
            </w:r>
            <w:r w:rsidRPr="60A4D3DF">
              <w:rPr>
                <w:rFonts w:ascii="Times New Roman" w:hAnsi="Times New Roman" w:cs="Times New Roman"/>
                <w:sz w:val="24"/>
                <w:szCs w:val="24"/>
              </w:rPr>
              <w:t>EL</w:t>
            </w:r>
            <w:r w:rsidRPr="7934F163">
              <w:rPr>
                <w:rFonts w:ascii="Times New Roman" w:hAnsi="Times New Roman" w:cs="Times New Roman"/>
                <w:sz w:val="24"/>
                <w:szCs w:val="24"/>
              </w:rPr>
              <w:t xml:space="preserve"> ettevõtete ja sihtriigi turgude vahel. </w:t>
            </w:r>
            <w:r w:rsidRPr="00802886">
              <w:rPr>
                <w:rFonts w:ascii="Times New Roman" w:hAnsi="Times New Roman" w:cs="Times New Roman"/>
                <w:b/>
                <w:bCs/>
                <w:sz w:val="24"/>
                <w:szCs w:val="24"/>
              </w:rPr>
              <w:t>On tähtis, et kolmandate riikide ettevõtetega koostöös ehitatakse üles infrastruktuure ning tootmisvõimsuseid</w:t>
            </w:r>
            <w:r w:rsidRPr="6C134C28">
              <w:rPr>
                <w:rFonts w:ascii="Times New Roman" w:hAnsi="Times New Roman" w:cs="Times New Roman"/>
                <w:sz w:val="24"/>
                <w:szCs w:val="24"/>
              </w:rPr>
              <w:t xml:space="preserve">, </w:t>
            </w:r>
            <w:r w:rsidRPr="56DAE23C">
              <w:rPr>
                <w:rFonts w:ascii="Times New Roman" w:hAnsi="Times New Roman" w:cs="Times New Roman"/>
                <w:sz w:val="24"/>
                <w:szCs w:val="24"/>
              </w:rPr>
              <w:t>mis loob</w:t>
            </w:r>
            <w:r>
              <w:rPr>
                <w:rFonts w:ascii="Times New Roman" w:hAnsi="Times New Roman" w:cs="Times New Roman"/>
                <w:sz w:val="24"/>
                <w:szCs w:val="24"/>
              </w:rPr>
              <w:t xml:space="preserve"> soodsad tingimused</w:t>
            </w:r>
            <w:r w:rsidRPr="00ED7D99">
              <w:rPr>
                <w:rFonts w:ascii="Times New Roman" w:hAnsi="Times New Roman" w:cs="Times New Roman"/>
                <w:sz w:val="24"/>
                <w:szCs w:val="24"/>
              </w:rPr>
              <w:t xml:space="preserve"> kestlike</w:t>
            </w:r>
            <w:r>
              <w:rPr>
                <w:rFonts w:ascii="Times New Roman" w:hAnsi="Times New Roman" w:cs="Times New Roman"/>
                <w:sz w:val="24"/>
                <w:szCs w:val="24"/>
              </w:rPr>
              <w:t>ks</w:t>
            </w:r>
            <w:r w:rsidRPr="00ED7D99">
              <w:rPr>
                <w:rFonts w:ascii="Times New Roman" w:hAnsi="Times New Roman" w:cs="Times New Roman"/>
                <w:sz w:val="24"/>
                <w:szCs w:val="24"/>
              </w:rPr>
              <w:t xml:space="preserve"> majandussuhteid,</w:t>
            </w:r>
            <w:r w:rsidRPr="036DED8B">
              <w:rPr>
                <w:rFonts w:ascii="Times New Roman" w:hAnsi="Times New Roman" w:cs="Times New Roman"/>
                <w:sz w:val="24"/>
                <w:szCs w:val="24"/>
              </w:rPr>
              <w:t xml:space="preserve"> </w:t>
            </w:r>
            <w:r w:rsidRPr="00ED7D99">
              <w:rPr>
                <w:rFonts w:ascii="Times New Roman" w:hAnsi="Times New Roman" w:cs="Times New Roman"/>
                <w:sz w:val="24"/>
                <w:szCs w:val="24"/>
              </w:rPr>
              <w:t>suurendab Euroopa ettevõtete nähtavust ning tugevdab liidu strateegilist mõju sihtriikides.</w:t>
            </w:r>
          </w:p>
          <w:p w14:paraId="191F3E98" w14:textId="77777777" w:rsidR="00F6578D" w:rsidRPr="00ED7D99" w:rsidRDefault="00F6578D" w:rsidP="00F6578D">
            <w:pPr>
              <w:jc w:val="both"/>
              <w:rPr>
                <w:rFonts w:ascii="Times New Roman" w:hAnsi="Times New Roman" w:cs="Times New Roman"/>
                <w:sz w:val="24"/>
                <w:szCs w:val="24"/>
              </w:rPr>
            </w:pPr>
            <w:r w:rsidRPr="00D64583">
              <w:rPr>
                <w:rFonts w:ascii="Times New Roman" w:hAnsi="Times New Roman" w:cs="Times New Roman"/>
                <w:b/>
                <w:bCs/>
                <w:sz w:val="24"/>
                <w:szCs w:val="24"/>
              </w:rPr>
              <w:t>2.</w:t>
            </w:r>
            <w:r w:rsidRPr="11732B12">
              <w:rPr>
                <w:rFonts w:ascii="Times New Roman" w:hAnsi="Times New Roman" w:cs="Times New Roman"/>
                <w:b/>
                <w:bCs/>
                <w:sz w:val="24"/>
                <w:szCs w:val="24"/>
              </w:rPr>
              <w:t xml:space="preserve"> </w:t>
            </w:r>
            <w:r w:rsidRPr="00ED7D99">
              <w:rPr>
                <w:rFonts w:ascii="Times New Roman" w:hAnsi="Times New Roman" w:cs="Times New Roman"/>
                <w:sz w:val="24"/>
                <w:szCs w:val="24"/>
              </w:rPr>
              <w:t xml:space="preserve">Global Europe </w:t>
            </w:r>
            <w:r w:rsidRPr="4C7EDBB6">
              <w:rPr>
                <w:rFonts w:ascii="Times New Roman" w:hAnsi="Times New Roman" w:cs="Times New Roman"/>
                <w:sz w:val="24"/>
                <w:szCs w:val="24"/>
              </w:rPr>
              <w:t>peab</w:t>
            </w:r>
            <w:r w:rsidRPr="00ED7D99">
              <w:rPr>
                <w:rFonts w:ascii="Times New Roman" w:hAnsi="Times New Roman" w:cs="Times New Roman"/>
                <w:sz w:val="24"/>
                <w:szCs w:val="24"/>
              </w:rPr>
              <w:t xml:space="preserve"> muutuma süsteemsemaks: </w:t>
            </w:r>
            <w:r w:rsidRPr="0AF36869">
              <w:rPr>
                <w:rFonts w:ascii="Times New Roman" w:hAnsi="Times New Roman" w:cs="Times New Roman"/>
                <w:b/>
                <w:bCs/>
                <w:sz w:val="24"/>
                <w:szCs w:val="24"/>
              </w:rPr>
              <w:t>r</w:t>
            </w:r>
            <w:r w:rsidRPr="2618F970">
              <w:rPr>
                <w:rFonts w:ascii="Times New Roman" w:hAnsi="Times New Roman" w:cs="Times New Roman"/>
                <w:b/>
                <w:bCs/>
                <w:sz w:val="24"/>
                <w:szCs w:val="24"/>
              </w:rPr>
              <w:t>ahastuse kaudu võiks eelistada lahendusi, kus kasutatakse Euroopa päritolu tehnoloogiate ja lahenduste eksporti</w:t>
            </w:r>
            <w:r w:rsidRPr="39D589D1">
              <w:rPr>
                <w:rFonts w:ascii="Times New Roman" w:hAnsi="Times New Roman" w:cs="Times New Roman"/>
                <w:sz w:val="24"/>
                <w:szCs w:val="24"/>
              </w:rPr>
              <w:t>, teadmisi</w:t>
            </w:r>
            <w:r w:rsidRPr="00ED7D99">
              <w:rPr>
                <w:rFonts w:ascii="Times New Roman" w:hAnsi="Times New Roman" w:cs="Times New Roman"/>
                <w:sz w:val="24"/>
                <w:szCs w:val="24"/>
              </w:rPr>
              <w:t xml:space="preserve"> ja tööjõudu. See toetab „Open Strategic Autonomy“ eesmärke ning loob lisandväärtust nii sihtriikides kui ELis.</w:t>
            </w:r>
            <w:r>
              <w:rPr>
                <w:rFonts w:ascii="Times New Roman" w:hAnsi="Times New Roman" w:cs="Times New Roman"/>
                <w:sz w:val="24"/>
                <w:szCs w:val="24"/>
              </w:rPr>
              <w:t xml:space="preserve"> </w:t>
            </w:r>
            <w:r>
              <w:rPr>
                <w:rFonts w:ascii="Times New Roman" w:hAnsi="Times New Roman" w:cs="Times New Roman"/>
                <w:b/>
                <w:bCs/>
                <w:sz w:val="24"/>
                <w:szCs w:val="24"/>
              </w:rPr>
              <w:t>Vähemalt sama oluliseks peame e</w:t>
            </w:r>
            <w:r w:rsidRPr="00ED7D99">
              <w:rPr>
                <w:rFonts w:ascii="Times New Roman" w:hAnsi="Times New Roman" w:cs="Times New Roman"/>
                <w:b/>
                <w:bCs/>
                <w:sz w:val="24"/>
                <w:szCs w:val="24"/>
              </w:rPr>
              <w:t>ttevõtluse ja innovatsiooni sidumi</w:t>
            </w:r>
            <w:r>
              <w:rPr>
                <w:rFonts w:ascii="Times New Roman" w:hAnsi="Times New Roman" w:cs="Times New Roman"/>
                <w:b/>
                <w:bCs/>
                <w:sz w:val="24"/>
                <w:szCs w:val="24"/>
              </w:rPr>
              <w:t>st</w:t>
            </w:r>
            <w:r w:rsidRPr="00ED7D99">
              <w:rPr>
                <w:rFonts w:ascii="Times New Roman" w:hAnsi="Times New Roman" w:cs="Times New Roman"/>
                <w:b/>
                <w:bCs/>
                <w:sz w:val="24"/>
                <w:szCs w:val="24"/>
              </w:rPr>
              <w:t xml:space="preserve"> arengukoostööga</w:t>
            </w:r>
            <w:r>
              <w:rPr>
                <w:rFonts w:ascii="Times New Roman" w:hAnsi="Times New Roman" w:cs="Times New Roman"/>
                <w:sz w:val="24"/>
                <w:szCs w:val="24"/>
              </w:rPr>
              <w:t>.</w:t>
            </w:r>
            <w:r w:rsidRPr="00ED7D99">
              <w:rPr>
                <w:rFonts w:ascii="Times New Roman" w:hAnsi="Times New Roman" w:cs="Times New Roman"/>
                <w:sz w:val="24"/>
                <w:szCs w:val="24"/>
              </w:rPr>
              <w:t xml:space="preserve"> </w:t>
            </w:r>
            <w:r>
              <w:rPr>
                <w:rFonts w:ascii="Times New Roman" w:hAnsi="Times New Roman" w:cs="Times New Roman"/>
                <w:sz w:val="24"/>
                <w:szCs w:val="24"/>
              </w:rPr>
              <w:t>F</w:t>
            </w:r>
            <w:r w:rsidRPr="00ED7D99">
              <w:rPr>
                <w:rFonts w:ascii="Times New Roman" w:hAnsi="Times New Roman" w:cs="Times New Roman"/>
                <w:sz w:val="24"/>
                <w:szCs w:val="24"/>
              </w:rPr>
              <w:t>ondi vahendite kasutamisel tuleks rakendada äridiplomaatilist lähenemist – tugevdada Euroopa (sh Eesti) ettevõtete rolli Global Gateway projektides ning laiendada Team Europe investeerimisplatvorme erasektori kaasamiseks.</w:t>
            </w:r>
          </w:p>
          <w:p w14:paraId="5EB112C0" w14:textId="77777777" w:rsidR="00F6578D" w:rsidRPr="00ED7D99" w:rsidRDefault="00F6578D" w:rsidP="00F6578D">
            <w:pPr>
              <w:jc w:val="both"/>
              <w:rPr>
                <w:rFonts w:ascii="Times New Roman" w:hAnsi="Times New Roman" w:cs="Times New Roman"/>
                <w:sz w:val="24"/>
                <w:szCs w:val="24"/>
              </w:rPr>
            </w:pPr>
            <w:r w:rsidRPr="00ED7D99">
              <w:rPr>
                <w:rFonts w:ascii="Times New Roman" w:hAnsi="Times New Roman" w:cs="Times New Roman"/>
                <w:b/>
                <w:bCs/>
                <w:sz w:val="24"/>
                <w:szCs w:val="24"/>
              </w:rPr>
              <w:t>Rakendamisfaasis</w:t>
            </w:r>
            <w:r w:rsidRPr="00ED7D99">
              <w:rPr>
                <w:rFonts w:ascii="Times New Roman" w:hAnsi="Times New Roman" w:cs="Times New Roman"/>
                <w:sz w:val="24"/>
                <w:szCs w:val="24"/>
              </w:rPr>
              <w:t xml:space="preserve"> tuleks arvestada </w:t>
            </w:r>
            <w:r w:rsidRPr="00ED7D99">
              <w:rPr>
                <w:rFonts w:ascii="Times New Roman" w:hAnsi="Times New Roman" w:cs="Times New Roman"/>
                <w:b/>
                <w:bCs/>
                <w:sz w:val="24"/>
                <w:szCs w:val="24"/>
              </w:rPr>
              <w:t>arenguabi jagunemist Ukraina suunal</w:t>
            </w:r>
            <w:r w:rsidRPr="00ED7D99">
              <w:rPr>
                <w:rFonts w:ascii="Times New Roman" w:hAnsi="Times New Roman" w:cs="Times New Roman"/>
                <w:sz w:val="24"/>
                <w:szCs w:val="24"/>
              </w:rPr>
              <w:t xml:space="preserve"> – Global Europe peaks koondama erinevate instrumentide (nt Ukraine Facility, Reconstruction Facility) vahelised vahendid ja tagama, et nende kaudu toetatakse ka majanduse elavdamist ja ettevõtluse arengut (nt tööstuse taastamine, tarneahelad, energia- ja digilahendused).</w:t>
            </w:r>
            <w:r>
              <w:rPr>
                <w:rFonts w:ascii="Times New Roman" w:hAnsi="Times New Roman" w:cs="Times New Roman"/>
                <w:sz w:val="24"/>
                <w:szCs w:val="24"/>
              </w:rPr>
              <w:t xml:space="preserve"> On oluline, et </w:t>
            </w:r>
            <w:r w:rsidRPr="00ED7D99">
              <w:rPr>
                <w:rFonts w:ascii="Times New Roman" w:hAnsi="Times New Roman" w:cs="Times New Roman"/>
                <w:sz w:val="24"/>
                <w:szCs w:val="24"/>
              </w:rPr>
              <w:t xml:space="preserve">Global Europe jätkaks Ukraina suunal senist </w:t>
            </w:r>
            <w:r w:rsidRPr="00ED7D99">
              <w:rPr>
                <w:rFonts w:ascii="Times New Roman" w:hAnsi="Times New Roman" w:cs="Times New Roman"/>
                <w:b/>
                <w:bCs/>
                <w:i/>
                <w:iCs/>
                <w:sz w:val="24"/>
                <w:szCs w:val="24"/>
              </w:rPr>
              <w:t>pre-accession + reconstruction</w:t>
            </w:r>
            <w:r w:rsidRPr="00ED7D99">
              <w:rPr>
                <w:rFonts w:ascii="Times New Roman" w:hAnsi="Times New Roman" w:cs="Times New Roman"/>
                <w:sz w:val="24"/>
                <w:szCs w:val="24"/>
              </w:rPr>
              <w:t xml:space="preserve"> lähenemist, kus liitumisprotsess on tihedalt seotud majandusliku ülesehitusega.</w:t>
            </w:r>
          </w:p>
          <w:p w14:paraId="4A293F2B" w14:textId="77777777" w:rsidR="00F6578D" w:rsidRPr="00ED7D99" w:rsidRDefault="00F6578D" w:rsidP="00F6578D">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3. </w:t>
            </w:r>
            <w:r w:rsidRPr="00ED7D99">
              <w:rPr>
                <w:rFonts w:ascii="Times New Roman" w:hAnsi="Times New Roman" w:cs="Times New Roman"/>
                <w:b/>
                <w:bCs/>
                <w:sz w:val="24"/>
                <w:szCs w:val="24"/>
                <w:u w:val="single"/>
              </w:rPr>
              <w:t>Geograafiline fookus</w:t>
            </w:r>
          </w:p>
          <w:p w14:paraId="2B693248" w14:textId="77777777" w:rsidR="00F6578D" w:rsidRPr="00ED7D99" w:rsidRDefault="00F6578D" w:rsidP="00F6578D">
            <w:pPr>
              <w:numPr>
                <w:ilvl w:val="0"/>
                <w:numId w:val="2"/>
              </w:numPr>
              <w:jc w:val="both"/>
              <w:rPr>
                <w:rFonts w:ascii="Times New Roman" w:hAnsi="Times New Roman" w:cs="Times New Roman"/>
                <w:sz w:val="24"/>
                <w:szCs w:val="24"/>
              </w:rPr>
            </w:pPr>
            <w:r w:rsidRPr="00ED7D99">
              <w:rPr>
                <w:rFonts w:ascii="Times New Roman" w:hAnsi="Times New Roman" w:cs="Times New Roman"/>
                <w:b/>
                <w:bCs/>
                <w:sz w:val="24"/>
                <w:szCs w:val="24"/>
              </w:rPr>
              <w:t>Aafrika</w:t>
            </w:r>
            <w:r w:rsidRPr="00ED7D99">
              <w:rPr>
                <w:rFonts w:ascii="Times New Roman" w:hAnsi="Times New Roman" w:cs="Times New Roman"/>
                <w:sz w:val="24"/>
                <w:szCs w:val="24"/>
              </w:rPr>
              <w:t xml:space="preserve">: Eesti huvi on eeskätt </w:t>
            </w:r>
            <w:r w:rsidRPr="00ED7D99">
              <w:rPr>
                <w:rFonts w:ascii="Times New Roman" w:hAnsi="Times New Roman" w:cs="Times New Roman"/>
                <w:b/>
                <w:bCs/>
                <w:sz w:val="24"/>
                <w:szCs w:val="24"/>
              </w:rPr>
              <w:t>IT- ja digiarengu koostöös</w:t>
            </w:r>
            <w:r w:rsidRPr="00ED7D99">
              <w:rPr>
                <w:rFonts w:ascii="Times New Roman" w:hAnsi="Times New Roman" w:cs="Times New Roman"/>
                <w:sz w:val="24"/>
                <w:szCs w:val="24"/>
              </w:rPr>
              <w:t>, sh e-valitsemine, küberturvalisus ja andmemajandus. Eesti ettevõtetel on potentsiaal osaleda ELi digitaalsetel taristuprojektidel</w:t>
            </w:r>
            <w:r>
              <w:rPr>
                <w:rFonts w:ascii="Times New Roman" w:hAnsi="Times New Roman" w:cs="Times New Roman"/>
                <w:sz w:val="24"/>
                <w:szCs w:val="24"/>
              </w:rPr>
              <w:t xml:space="preserve"> (mh avalikus sektoris).</w:t>
            </w:r>
          </w:p>
          <w:p w14:paraId="7DBACFF1" w14:textId="77777777" w:rsidR="00F6578D" w:rsidRPr="00ED7D99" w:rsidRDefault="00F6578D" w:rsidP="00F6578D">
            <w:pPr>
              <w:numPr>
                <w:ilvl w:val="0"/>
                <w:numId w:val="2"/>
              </w:numPr>
              <w:jc w:val="both"/>
              <w:rPr>
                <w:rFonts w:ascii="Times New Roman" w:hAnsi="Times New Roman" w:cs="Times New Roman"/>
                <w:sz w:val="24"/>
                <w:szCs w:val="24"/>
              </w:rPr>
            </w:pPr>
            <w:r w:rsidRPr="00ED7D99">
              <w:rPr>
                <w:rFonts w:ascii="Times New Roman" w:hAnsi="Times New Roman" w:cs="Times New Roman"/>
                <w:b/>
                <w:bCs/>
                <w:sz w:val="24"/>
                <w:szCs w:val="24"/>
              </w:rPr>
              <w:t>Tööstuse ja tarneahelate</w:t>
            </w:r>
            <w:r w:rsidRPr="00ED7D99">
              <w:rPr>
                <w:rFonts w:ascii="Times New Roman" w:hAnsi="Times New Roman" w:cs="Times New Roman"/>
                <w:sz w:val="24"/>
                <w:szCs w:val="24"/>
              </w:rPr>
              <w:t xml:space="preserve"> vaatest on</w:t>
            </w:r>
            <w:r>
              <w:rPr>
                <w:rFonts w:ascii="Times New Roman" w:hAnsi="Times New Roman" w:cs="Times New Roman"/>
                <w:sz w:val="24"/>
                <w:szCs w:val="24"/>
              </w:rPr>
              <w:t xml:space="preserve"> meile</w:t>
            </w:r>
            <w:r w:rsidRPr="00ED7D99">
              <w:rPr>
                <w:rFonts w:ascii="Times New Roman" w:hAnsi="Times New Roman" w:cs="Times New Roman"/>
                <w:sz w:val="24"/>
                <w:szCs w:val="24"/>
              </w:rPr>
              <w:t xml:space="preserve"> prioritee</w:t>
            </w:r>
            <w:r>
              <w:rPr>
                <w:rFonts w:ascii="Times New Roman" w:hAnsi="Times New Roman" w:cs="Times New Roman"/>
                <w:sz w:val="24"/>
                <w:szCs w:val="24"/>
              </w:rPr>
              <w:t>tne</w:t>
            </w:r>
            <w:r w:rsidRPr="00ED7D99">
              <w:rPr>
                <w:rFonts w:ascii="Times New Roman" w:hAnsi="Times New Roman" w:cs="Times New Roman"/>
                <w:sz w:val="24"/>
                <w:szCs w:val="24"/>
              </w:rPr>
              <w:t xml:space="preserve"> </w:t>
            </w:r>
            <w:r w:rsidRPr="00ED7D99">
              <w:rPr>
                <w:rFonts w:ascii="Times New Roman" w:hAnsi="Times New Roman" w:cs="Times New Roman"/>
                <w:b/>
                <w:bCs/>
                <w:sz w:val="24"/>
                <w:szCs w:val="24"/>
              </w:rPr>
              <w:t>Ukraina, Lääne-Balkan</w:t>
            </w:r>
            <w:r w:rsidRPr="57E01464">
              <w:rPr>
                <w:rFonts w:ascii="Times New Roman" w:hAnsi="Times New Roman" w:cs="Times New Roman"/>
                <w:b/>
                <w:bCs/>
                <w:sz w:val="24"/>
                <w:szCs w:val="24"/>
              </w:rPr>
              <w:t>,</w:t>
            </w:r>
            <w:r w:rsidRPr="5B9F2F86">
              <w:rPr>
                <w:rFonts w:ascii="Times New Roman" w:hAnsi="Times New Roman" w:cs="Times New Roman"/>
                <w:b/>
                <w:bCs/>
                <w:sz w:val="24"/>
                <w:szCs w:val="24"/>
              </w:rPr>
              <w:t xml:space="preserve"> </w:t>
            </w:r>
            <w:r w:rsidRPr="00ED7D99">
              <w:rPr>
                <w:rFonts w:ascii="Times New Roman" w:hAnsi="Times New Roman" w:cs="Times New Roman"/>
                <w:b/>
                <w:bCs/>
                <w:sz w:val="24"/>
                <w:szCs w:val="24"/>
              </w:rPr>
              <w:t xml:space="preserve">laheriigid </w:t>
            </w:r>
            <w:r w:rsidRPr="73989E9D">
              <w:rPr>
                <w:rFonts w:ascii="Times New Roman" w:hAnsi="Times New Roman" w:cs="Times New Roman"/>
                <w:b/>
                <w:bCs/>
                <w:i/>
                <w:iCs/>
                <w:sz w:val="24"/>
                <w:szCs w:val="24"/>
              </w:rPr>
              <w:t>(Gulf states</w:t>
            </w:r>
            <w:r w:rsidRPr="07B69FCD">
              <w:rPr>
                <w:rFonts w:ascii="Times New Roman" w:hAnsi="Times New Roman" w:cs="Times New Roman"/>
                <w:b/>
                <w:bCs/>
                <w:sz w:val="24"/>
                <w:szCs w:val="24"/>
              </w:rPr>
              <w:t>)</w:t>
            </w:r>
            <w:r w:rsidRPr="6F323DF7">
              <w:rPr>
                <w:rFonts w:ascii="Times New Roman" w:hAnsi="Times New Roman" w:cs="Times New Roman"/>
                <w:b/>
                <w:bCs/>
                <w:sz w:val="24"/>
                <w:szCs w:val="24"/>
              </w:rPr>
              <w:t xml:space="preserve"> </w:t>
            </w:r>
            <w:r w:rsidRPr="26E8943F">
              <w:rPr>
                <w:rFonts w:ascii="Times New Roman" w:hAnsi="Times New Roman" w:cs="Times New Roman"/>
                <w:b/>
                <w:bCs/>
                <w:sz w:val="24"/>
                <w:szCs w:val="24"/>
              </w:rPr>
              <w:t xml:space="preserve">ning </w:t>
            </w:r>
            <w:r w:rsidRPr="050CF46D">
              <w:rPr>
                <w:rFonts w:ascii="Times New Roman" w:hAnsi="Times New Roman" w:cs="Times New Roman"/>
                <w:b/>
                <w:bCs/>
                <w:sz w:val="24"/>
                <w:szCs w:val="24"/>
              </w:rPr>
              <w:t xml:space="preserve">EFTA </w:t>
            </w:r>
            <w:r w:rsidRPr="2F419C66">
              <w:rPr>
                <w:rFonts w:ascii="Times New Roman" w:hAnsi="Times New Roman" w:cs="Times New Roman"/>
                <w:b/>
                <w:bCs/>
                <w:sz w:val="24"/>
                <w:szCs w:val="24"/>
              </w:rPr>
              <w:t>(</w:t>
            </w:r>
            <w:r w:rsidRPr="5B6245C1">
              <w:rPr>
                <w:rFonts w:ascii="Times New Roman" w:hAnsi="Times New Roman" w:cs="Times New Roman"/>
                <w:b/>
                <w:bCs/>
                <w:i/>
                <w:iCs/>
                <w:sz w:val="24"/>
                <w:szCs w:val="24"/>
              </w:rPr>
              <w:t>European Free Trade Association</w:t>
            </w:r>
            <w:r w:rsidRPr="39299A5D">
              <w:rPr>
                <w:rFonts w:ascii="Times New Roman" w:hAnsi="Times New Roman" w:cs="Times New Roman"/>
                <w:b/>
                <w:bCs/>
                <w:i/>
                <w:iCs/>
                <w:sz w:val="24"/>
                <w:szCs w:val="24"/>
              </w:rPr>
              <w:t>)</w:t>
            </w:r>
            <w:r w:rsidRPr="6276C24F">
              <w:rPr>
                <w:rFonts w:ascii="Times New Roman" w:hAnsi="Times New Roman" w:cs="Times New Roman"/>
                <w:b/>
                <w:bCs/>
                <w:i/>
                <w:iCs/>
                <w:sz w:val="24"/>
                <w:szCs w:val="24"/>
              </w:rPr>
              <w:t xml:space="preserve"> </w:t>
            </w:r>
            <w:r w:rsidRPr="6295B1A6">
              <w:rPr>
                <w:rFonts w:ascii="Times New Roman" w:hAnsi="Times New Roman" w:cs="Times New Roman"/>
                <w:b/>
                <w:bCs/>
                <w:sz w:val="24"/>
                <w:szCs w:val="24"/>
              </w:rPr>
              <w:t xml:space="preserve">riikidest </w:t>
            </w:r>
            <w:r w:rsidRPr="58633E96">
              <w:rPr>
                <w:rFonts w:ascii="Times New Roman" w:hAnsi="Times New Roman" w:cs="Times New Roman"/>
                <w:b/>
                <w:bCs/>
                <w:sz w:val="24"/>
                <w:szCs w:val="24"/>
              </w:rPr>
              <w:t xml:space="preserve">Norra </w:t>
            </w:r>
            <w:r w:rsidRPr="24C21262">
              <w:rPr>
                <w:rFonts w:ascii="Times New Roman" w:hAnsi="Times New Roman" w:cs="Times New Roman"/>
                <w:b/>
                <w:bCs/>
                <w:sz w:val="24"/>
                <w:szCs w:val="24"/>
              </w:rPr>
              <w:t xml:space="preserve">ja </w:t>
            </w:r>
            <w:r w:rsidRPr="2581C873">
              <w:rPr>
                <w:rFonts w:ascii="Times New Roman" w:hAnsi="Times New Roman" w:cs="Times New Roman"/>
                <w:b/>
                <w:bCs/>
                <w:sz w:val="24"/>
                <w:szCs w:val="24"/>
              </w:rPr>
              <w:t>Island</w:t>
            </w:r>
            <w:r w:rsidRPr="18D87BFE">
              <w:rPr>
                <w:rFonts w:ascii="Times New Roman" w:hAnsi="Times New Roman" w:cs="Times New Roman"/>
                <w:b/>
                <w:bCs/>
                <w:sz w:val="24"/>
                <w:szCs w:val="24"/>
              </w:rPr>
              <w:t>,</w:t>
            </w:r>
            <w:r w:rsidRPr="3F67B8E9">
              <w:rPr>
                <w:rFonts w:ascii="Times New Roman" w:hAnsi="Times New Roman" w:cs="Times New Roman"/>
                <w:sz w:val="24"/>
                <w:szCs w:val="24"/>
              </w:rPr>
              <w:t xml:space="preserve"> </w:t>
            </w:r>
            <w:r w:rsidRPr="00ED7D99">
              <w:rPr>
                <w:rFonts w:ascii="Times New Roman" w:hAnsi="Times New Roman" w:cs="Times New Roman"/>
                <w:sz w:val="24"/>
                <w:szCs w:val="24"/>
              </w:rPr>
              <w:t>kus näeme võimalusi tööstuskoostööks</w:t>
            </w:r>
            <w:r>
              <w:rPr>
                <w:rFonts w:ascii="Times New Roman" w:hAnsi="Times New Roman" w:cs="Times New Roman"/>
                <w:sz w:val="24"/>
                <w:szCs w:val="24"/>
              </w:rPr>
              <w:t xml:space="preserve"> </w:t>
            </w:r>
            <w:r w:rsidRPr="00ED7D99">
              <w:rPr>
                <w:rFonts w:ascii="Times New Roman" w:hAnsi="Times New Roman" w:cs="Times New Roman"/>
                <w:sz w:val="24"/>
                <w:szCs w:val="24"/>
              </w:rPr>
              <w:t>(</w:t>
            </w:r>
            <w:r w:rsidRPr="7F50AC17">
              <w:rPr>
                <w:rFonts w:ascii="Times New Roman" w:hAnsi="Times New Roman" w:cs="Times New Roman"/>
                <w:sz w:val="24"/>
                <w:szCs w:val="24"/>
              </w:rPr>
              <w:t>energeetika</w:t>
            </w:r>
            <w:r w:rsidRPr="00ED7D99">
              <w:rPr>
                <w:rFonts w:ascii="Times New Roman" w:hAnsi="Times New Roman" w:cs="Times New Roman"/>
                <w:sz w:val="24"/>
                <w:szCs w:val="24"/>
              </w:rPr>
              <w:t>, rohetehnoloogiad, ehitusmaterjalid, kriitilised toorained).</w:t>
            </w:r>
          </w:p>
          <w:p w14:paraId="02C83DF3" w14:textId="77777777" w:rsidR="00F6578D" w:rsidRPr="0067116F" w:rsidRDefault="00F6578D" w:rsidP="00F6578D">
            <w:pPr>
              <w:jc w:val="both"/>
              <w:rPr>
                <w:rFonts w:ascii="Times New Roman" w:hAnsi="Times New Roman" w:cs="Times New Roman"/>
                <w:sz w:val="24"/>
                <w:szCs w:val="24"/>
              </w:rPr>
            </w:pPr>
            <w:r w:rsidRPr="0067116F">
              <w:rPr>
                <w:rFonts w:ascii="Times New Roman" w:hAnsi="Times New Roman" w:cs="Times New Roman"/>
                <w:b/>
                <w:bCs/>
                <w:sz w:val="24"/>
                <w:szCs w:val="24"/>
              </w:rPr>
              <w:t>4.</w:t>
            </w:r>
            <w:r>
              <w:rPr>
                <w:rFonts w:ascii="Times New Roman" w:hAnsi="Times New Roman" w:cs="Times New Roman"/>
                <w:sz w:val="24"/>
                <w:szCs w:val="24"/>
              </w:rPr>
              <w:t xml:space="preserve"> </w:t>
            </w:r>
            <w:r w:rsidRPr="0067116F">
              <w:rPr>
                <w:rFonts w:ascii="Times New Roman" w:hAnsi="Times New Roman" w:cs="Times New Roman"/>
                <w:sz w:val="24"/>
                <w:szCs w:val="24"/>
              </w:rPr>
              <w:t xml:space="preserve">Global Europe raamistik on üks mitmetest algatustest, mille abil saame </w:t>
            </w:r>
            <w:r w:rsidRPr="0067116F">
              <w:rPr>
                <w:rFonts w:ascii="Times New Roman" w:hAnsi="Times New Roman" w:cs="Times New Roman"/>
                <w:b/>
                <w:bCs/>
                <w:sz w:val="24"/>
                <w:szCs w:val="24"/>
              </w:rPr>
              <w:t>vähendada ELi strateegilisi sõltuvusi</w:t>
            </w:r>
            <w:r w:rsidRPr="0067116F">
              <w:rPr>
                <w:rFonts w:ascii="Times New Roman" w:hAnsi="Times New Roman" w:cs="Times New Roman"/>
                <w:sz w:val="24"/>
                <w:szCs w:val="24"/>
              </w:rPr>
              <w:t xml:space="preserve"> ja luua uusi tootmisvõimekusi partnerriikides (nt rohetehnoloogiad, AI, küberturvalisus, energiasüsteemid).</w:t>
            </w:r>
          </w:p>
          <w:p w14:paraId="56FD4E3F" w14:textId="77777777" w:rsidR="00F6578D" w:rsidRPr="00ED7D99" w:rsidRDefault="00F6578D" w:rsidP="00F6578D">
            <w:pPr>
              <w:jc w:val="both"/>
              <w:rPr>
                <w:rFonts w:ascii="Times New Roman" w:hAnsi="Times New Roman" w:cs="Times New Roman"/>
                <w:sz w:val="24"/>
                <w:szCs w:val="24"/>
              </w:rPr>
            </w:pPr>
            <w:r>
              <w:rPr>
                <w:rFonts w:ascii="Times New Roman" w:hAnsi="Times New Roman" w:cs="Times New Roman"/>
                <w:b/>
                <w:bCs/>
                <w:sz w:val="24"/>
                <w:szCs w:val="24"/>
              </w:rPr>
              <w:t xml:space="preserve">5. </w:t>
            </w:r>
            <w:r>
              <w:rPr>
                <w:rFonts w:ascii="Times New Roman" w:hAnsi="Times New Roman" w:cs="Times New Roman"/>
                <w:sz w:val="24"/>
                <w:szCs w:val="24"/>
              </w:rPr>
              <w:t>Instrumendi r</w:t>
            </w:r>
            <w:r w:rsidRPr="00ED7D99">
              <w:rPr>
                <w:rFonts w:ascii="Times New Roman" w:hAnsi="Times New Roman" w:cs="Times New Roman"/>
                <w:sz w:val="24"/>
                <w:szCs w:val="24"/>
              </w:rPr>
              <w:t xml:space="preserve">akendamisel on oluline </w:t>
            </w:r>
            <w:r w:rsidRPr="00ED7D99">
              <w:rPr>
                <w:rFonts w:ascii="Times New Roman" w:hAnsi="Times New Roman" w:cs="Times New Roman"/>
                <w:b/>
                <w:bCs/>
                <w:sz w:val="24"/>
                <w:szCs w:val="24"/>
              </w:rPr>
              <w:t>läbipaistvus ja liikmesriikide</w:t>
            </w:r>
            <w:r>
              <w:rPr>
                <w:rFonts w:ascii="Times New Roman" w:hAnsi="Times New Roman" w:cs="Times New Roman"/>
                <w:b/>
                <w:bCs/>
                <w:sz w:val="24"/>
                <w:szCs w:val="24"/>
              </w:rPr>
              <w:t xml:space="preserve"> järjepidev</w:t>
            </w:r>
            <w:r w:rsidRPr="00ED7D99">
              <w:rPr>
                <w:rFonts w:ascii="Times New Roman" w:hAnsi="Times New Roman" w:cs="Times New Roman"/>
                <w:b/>
                <w:bCs/>
                <w:sz w:val="24"/>
                <w:szCs w:val="24"/>
              </w:rPr>
              <w:t xml:space="preserve"> kaasatus</w:t>
            </w:r>
            <w:r>
              <w:rPr>
                <w:rFonts w:ascii="Times New Roman" w:hAnsi="Times New Roman" w:cs="Times New Roman"/>
                <w:sz w:val="24"/>
                <w:szCs w:val="24"/>
              </w:rPr>
              <w:t xml:space="preserve">. </w:t>
            </w:r>
            <w:r w:rsidRPr="00ED7D99">
              <w:rPr>
                <w:rFonts w:ascii="Times New Roman" w:hAnsi="Times New Roman" w:cs="Times New Roman"/>
                <w:sz w:val="24"/>
                <w:szCs w:val="24"/>
              </w:rPr>
              <w:t>Tule</w:t>
            </w:r>
            <w:r>
              <w:rPr>
                <w:rFonts w:ascii="Times New Roman" w:hAnsi="Times New Roman" w:cs="Times New Roman"/>
                <w:sz w:val="24"/>
                <w:szCs w:val="24"/>
              </w:rPr>
              <w:t>b</w:t>
            </w:r>
            <w:r w:rsidRPr="00ED7D99">
              <w:rPr>
                <w:rFonts w:ascii="Times New Roman" w:hAnsi="Times New Roman" w:cs="Times New Roman"/>
                <w:sz w:val="24"/>
                <w:szCs w:val="24"/>
              </w:rPr>
              <w:t xml:space="preserve"> tagada, et </w:t>
            </w:r>
            <w:r w:rsidRPr="00ED7D99">
              <w:rPr>
                <w:rFonts w:ascii="Times New Roman" w:hAnsi="Times New Roman" w:cs="Times New Roman"/>
                <w:b/>
                <w:bCs/>
                <w:sz w:val="24"/>
                <w:szCs w:val="24"/>
              </w:rPr>
              <w:t>Team Europe mehhanismid</w:t>
            </w:r>
            <w:r w:rsidRPr="00ED7D99">
              <w:rPr>
                <w:rFonts w:ascii="Times New Roman" w:hAnsi="Times New Roman" w:cs="Times New Roman"/>
                <w:sz w:val="24"/>
                <w:szCs w:val="24"/>
              </w:rPr>
              <w:t xml:space="preserve"> ei jää pelgalt poliitilisteks raamideks, vaid looksid reaalseid majanduslikke </w:t>
            </w:r>
            <w:r>
              <w:rPr>
                <w:rFonts w:ascii="Times New Roman" w:hAnsi="Times New Roman" w:cs="Times New Roman"/>
                <w:sz w:val="24"/>
                <w:szCs w:val="24"/>
              </w:rPr>
              <w:t>võimalusi</w:t>
            </w:r>
            <w:r w:rsidRPr="00ED7D99">
              <w:rPr>
                <w:rFonts w:ascii="Times New Roman" w:hAnsi="Times New Roman" w:cs="Times New Roman"/>
                <w:sz w:val="24"/>
                <w:szCs w:val="24"/>
              </w:rPr>
              <w:t xml:space="preserve"> ELi ettevõtetele.</w:t>
            </w:r>
          </w:p>
          <w:p w14:paraId="4EAF9EDB" w14:textId="77777777" w:rsidR="00F6578D" w:rsidRPr="00ED7D99" w:rsidRDefault="00F6578D" w:rsidP="00F6578D">
            <w:pPr>
              <w:jc w:val="both"/>
              <w:rPr>
                <w:rFonts w:ascii="Times New Roman" w:hAnsi="Times New Roman" w:cs="Times New Roman"/>
                <w:sz w:val="24"/>
                <w:szCs w:val="24"/>
              </w:rPr>
            </w:pPr>
            <w:r w:rsidRPr="008B24CA">
              <w:rPr>
                <w:rFonts w:ascii="Times New Roman" w:hAnsi="Times New Roman" w:cs="Times New Roman"/>
                <w:b/>
                <w:bCs/>
                <w:sz w:val="24"/>
                <w:szCs w:val="24"/>
              </w:rPr>
              <w:t>6.</w:t>
            </w:r>
            <w:r>
              <w:rPr>
                <w:rFonts w:ascii="Times New Roman" w:hAnsi="Times New Roman" w:cs="Times New Roman"/>
                <w:sz w:val="24"/>
                <w:szCs w:val="24"/>
              </w:rPr>
              <w:t xml:space="preserve"> Toetame lähenemist, mis võtab </w:t>
            </w:r>
            <w:r w:rsidRPr="00ED7D99">
              <w:rPr>
                <w:rFonts w:ascii="Times New Roman" w:hAnsi="Times New Roman" w:cs="Times New Roman"/>
                <w:sz w:val="24"/>
                <w:szCs w:val="24"/>
              </w:rPr>
              <w:t xml:space="preserve">Global Europe meetmete kavandamisel arvesse ka </w:t>
            </w:r>
            <w:r w:rsidRPr="00ED7D99">
              <w:rPr>
                <w:rFonts w:ascii="Times New Roman" w:hAnsi="Times New Roman" w:cs="Times New Roman"/>
                <w:b/>
                <w:bCs/>
                <w:sz w:val="24"/>
                <w:szCs w:val="24"/>
              </w:rPr>
              <w:t>liikmesriikide riiklikke arengu- ja innovatsiooniprogramme</w:t>
            </w:r>
            <w:r w:rsidRPr="00ED7D99">
              <w:rPr>
                <w:rFonts w:ascii="Times New Roman" w:hAnsi="Times New Roman" w:cs="Times New Roman"/>
                <w:sz w:val="24"/>
                <w:szCs w:val="24"/>
              </w:rPr>
              <w:t>, et soodustada sünergiat ELi-sisese tööstuspoliitika ja välisrahastuse vahel.</w:t>
            </w:r>
          </w:p>
          <w:p w14:paraId="4F74B8D3" w14:textId="77777777" w:rsidR="00BF56C5" w:rsidRPr="00657C6C" w:rsidRDefault="00BF56C5" w:rsidP="003539C0">
            <w:pPr>
              <w:jc w:val="both"/>
              <w:rPr>
                <w:rFonts w:ascii="Times New Roman" w:hAnsi="Times New Roman" w:cs="Times New Roman"/>
                <w:b/>
                <w:bCs/>
                <w:sz w:val="24"/>
                <w:szCs w:val="24"/>
              </w:rPr>
            </w:pPr>
          </w:p>
        </w:tc>
        <w:tc>
          <w:tcPr>
            <w:tcW w:w="4394" w:type="dxa"/>
          </w:tcPr>
          <w:p w14:paraId="2A75F1E5" w14:textId="5223D3C8" w:rsidR="00D770E0" w:rsidRPr="009A2C74" w:rsidRDefault="00D770E0" w:rsidP="00010C3E">
            <w:pPr>
              <w:jc w:val="both"/>
              <w:rPr>
                <w:rFonts w:ascii="Times New Roman" w:hAnsi="Times New Roman" w:cs="Times New Roman"/>
                <w:sz w:val="24"/>
                <w:szCs w:val="24"/>
              </w:rPr>
            </w:pPr>
            <w:r w:rsidRPr="009A2C74">
              <w:rPr>
                <w:rFonts w:ascii="Times New Roman" w:hAnsi="Times New Roman" w:cs="Times New Roman"/>
                <w:sz w:val="24"/>
                <w:szCs w:val="24"/>
              </w:rPr>
              <w:lastRenderedPageBreak/>
              <w:t xml:space="preserve">Oleme </w:t>
            </w:r>
            <w:r w:rsidR="00737297" w:rsidRPr="009A2C74">
              <w:rPr>
                <w:rFonts w:ascii="Times New Roman" w:hAnsi="Times New Roman" w:cs="Times New Roman"/>
                <w:sz w:val="24"/>
                <w:szCs w:val="24"/>
              </w:rPr>
              <w:t>märkuse</w:t>
            </w:r>
            <w:r w:rsidRPr="009A2C74">
              <w:rPr>
                <w:rFonts w:ascii="Times New Roman" w:hAnsi="Times New Roman" w:cs="Times New Roman"/>
                <w:sz w:val="24"/>
                <w:szCs w:val="24"/>
              </w:rPr>
              <w:t xml:space="preserve">ga arvestanud määruse eelnõu esialgsete mõjude analüüsi kokkuvõttes ja järgmistes seisukohtades: </w:t>
            </w:r>
          </w:p>
          <w:p w14:paraId="35632A9C" w14:textId="147D3C1C" w:rsidR="00BF56C5" w:rsidRPr="009A2C74" w:rsidRDefault="00D770E0" w:rsidP="003539C0">
            <w:pPr>
              <w:jc w:val="both"/>
              <w:rPr>
                <w:rFonts w:ascii="Times New Roman" w:hAnsi="Times New Roman" w:cs="Times New Roman"/>
                <w:sz w:val="24"/>
                <w:szCs w:val="24"/>
              </w:rPr>
            </w:pPr>
            <w:r w:rsidRPr="009A2C74">
              <w:rPr>
                <w:rFonts w:ascii="Times New Roman" w:hAnsi="Times New Roman" w:cs="Times New Roman"/>
                <w:sz w:val="24"/>
                <w:szCs w:val="24"/>
              </w:rPr>
              <w:t>5.</w:t>
            </w:r>
            <w:r w:rsidR="0018136C">
              <w:rPr>
                <w:rFonts w:ascii="Times New Roman" w:hAnsi="Times New Roman" w:cs="Times New Roman"/>
                <w:sz w:val="24"/>
                <w:szCs w:val="24"/>
              </w:rPr>
              <w:t>7</w:t>
            </w:r>
            <w:r w:rsidRPr="009A2C74">
              <w:rPr>
                <w:rFonts w:ascii="Times New Roman" w:hAnsi="Times New Roman" w:cs="Times New Roman"/>
                <w:sz w:val="24"/>
                <w:szCs w:val="24"/>
              </w:rPr>
              <w:t>, mis puudutab instrumendi programmide koostamist ja rakendamist läbi Euroopa tiimi (Team Europe) lähenemise</w:t>
            </w:r>
            <w:r w:rsidR="003E17EC" w:rsidRPr="009A2C74">
              <w:rPr>
                <w:rFonts w:ascii="Times New Roman" w:hAnsi="Times New Roman" w:cs="Times New Roman"/>
                <w:sz w:val="24"/>
                <w:szCs w:val="24"/>
              </w:rPr>
              <w:t xml:space="preserve">; </w:t>
            </w:r>
          </w:p>
          <w:p w14:paraId="1377B932" w14:textId="268ECAAE" w:rsidR="00D770E0" w:rsidRPr="009A2C74" w:rsidRDefault="003E17EC" w:rsidP="003539C0">
            <w:pPr>
              <w:jc w:val="both"/>
              <w:rPr>
                <w:rFonts w:ascii="Times New Roman" w:hAnsi="Times New Roman" w:cs="Times New Roman"/>
                <w:sz w:val="24"/>
                <w:szCs w:val="24"/>
              </w:rPr>
            </w:pPr>
            <w:r w:rsidRPr="009A2C74">
              <w:rPr>
                <w:rFonts w:ascii="Times New Roman" w:hAnsi="Times New Roman" w:cs="Times New Roman"/>
                <w:sz w:val="24"/>
                <w:szCs w:val="24"/>
              </w:rPr>
              <w:t>5.</w:t>
            </w:r>
            <w:r w:rsidR="00702FAE">
              <w:rPr>
                <w:rFonts w:ascii="Times New Roman" w:hAnsi="Times New Roman" w:cs="Times New Roman"/>
                <w:sz w:val="24"/>
                <w:szCs w:val="24"/>
              </w:rPr>
              <w:t>8</w:t>
            </w:r>
            <w:r w:rsidRPr="009A2C74">
              <w:rPr>
                <w:rFonts w:ascii="Times New Roman" w:hAnsi="Times New Roman" w:cs="Times New Roman"/>
                <w:sz w:val="24"/>
                <w:szCs w:val="24"/>
              </w:rPr>
              <w:t>, milles toome välja ELi ettevõtete</w:t>
            </w:r>
            <w:r w:rsidR="00B21B81" w:rsidRPr="009A2C74">
              <w:rPr>
                <w:rFonts w:ascii="Times New Roman" w:hAnsi="Times New Roman" w:cs="Times New Roman"/>
                <w:sz w:val="24"/>
                <w:szCs w:val="24"/>
              </w:rPr>
              <w:t>, sealhulgas väikese ja keskmise suurusega ettevõtete,</w:t>
            </w:r>
            <w:r w:rsidRPr="009A2C74">
              <w:rPr>
                <w:rFonts w:ascii="Times New Roman" w:hAnsi="Times New Roman" w:cs="Times New Roman"/>
                <w:sz w:val="24"/>
                <w:szCs w:val="24"/>
              </w:rPr>
              <w:t xml:space="preserve"> osaluse olulisuse Global Gateway projektides.</w:t>
            </w:r>
          </w:p>
          <w:p w14:paraId="590917EA" w14:textId="066BBB8B" w:rsidR="00820636" w:rsidRPr="009A2C74" w:rsidRDefault="00820636" w:rsidP="003539C0">
            <w:pPr>
              <w:jc w:val="both"/>
              <w:rPr>
                <w:rFonts w:ascii="Times New Roman" w:hAnsi="Times New Roman" w:cs="Times New Roman"/>
                <w:sz w:val="24"/>
                <w:szCs w:val="24"/>
              </w:rPr>
            </w:pPr>
            <w:r w:rsidRPr="009A2C74">
              <w:rPr>
                <w:rFonts w:ascii="Times New Roman" w:hAnsi="Times New Roman" w:cs="Times New Roman"/>
                <w:sz w:val="24"/>
                <w:szCs w:val="24"/>
              </w:rPr>
              <w:t xml:space="preserve">Ukraina toetamise seisukohalt nõustume MKM-iga, et </w:t>
            </w:r>
            <w:r w:rsidR="002319FF" w:rsidRPr="009A2C74">
              <w:rPr>
                <w:rFonts w:ascii="Times New Roman" w:hAnsi="Times New Roman" w:cs="Times New Roman"/>
                <w:sz w:val="24"/>
                <w:szCs w:val="24"/>
              </w:rPr>
              <w:t xml:space="preserve">Globaalse Euroopa instrumendi kaudu peaks pakkuma nii ühinemiseelset abi kui toetama Ukraina ülesehitust ja majanduse elavdamist. </w:t>
            </w:r>
            <w:r w:rsidR="002319FF" w:rsidRPr="009A2C74">
              <w:rPr>
                <w:rFonts w:ascii="Times New Roman" w:hAnsi="Times New Roman" w:cs="Times New Roman"/>
                <w:sz w:val="24"/>
                <w:szCs w:val="24"/>
              </w:rPr>
              <w:lastRenderedPageBreak/>
              <w:t xml:space="preserve">Komisjoni poolt välja pakutud Ukraina reserv on ettepaneku järgi </w:t>
            </w:r>
            <w:r w:rsidRPr="009A2C74">
              <w:rPr>
                <w:rFonts w:ascii="Times New Roman" w:hAnsi="Times New Roman" w:cs="Times New Roman"/>
                <w:color w:val="000000"/>
                <w:sz w:val="24"/>
                <w:szCs w:val="24"/>
              </w:rPr>
              <w:t xml:space="preserve">peamiselt ette nähtud taastamis- ja ülesehitustööde ning ühinemiseelse abi rahastamiseks. See hõlmab makrofinantsabi, mis põhineb tulemuspõhisel plaanil, ning investeerimisraamistikku, mis sisaldab rakenduspartneritele mõeldud laene, eelarvelisi garantiisid ja segarahastust. Toetuse täpsem jaotumine otsustatakse iga-aastaste eelarvemenetluste käigus, kuid Ukraina fiskaalse jätkusuutlikkuse säilitamiseks on soov Ukrainale </w:t>
            </w:r>
            <w:r w:rsidR="002319FF" w:rsidRPr="009A2C74">
              <w:rPr>
                <w:rFonts w:ascii="Times New Roman" w:hAnsi="Times New Roman" w:cs="Times New Roman"/>
                <w:color w:val="000000"/>
                <w:sz w:val="24"/>
                <w:szCs w:val="24"/>
              </w:rPr>
              <w:t xml:space="preserve">esimeses järjekorras </w:t>
            </w:r>
            <w:r w:rsidRPr="009A2C74">
              <w:rPr>
                <w:rFonts w:ascii="Times New Roman" w:hAnsi="Times New Roman" w:cs="Times New Roman"/>
                <w:color w:val="000000"/>
                <w:sz w:val="24"/>
                <w:szCs w:val="24"/>
              </w:rPr>
              <w:t xml:space="preserve">tagada piisav tagastamatu abi. Lisaks Ukraina reservile saab EL kasutada ka Euroopa sambast vahendeid sihipäraste tegevuste jaoks Ukraina suunal: humanitaarabi, regionaalne koostöö, kriisireaktsioon, </w:t>
            </w:r>
            <w:r w:rsidR="00C93340">
              <w:rPr>
                <w:rFonts w:ascii="Times New Roman" w:hAnsi="Times New Roman" w:cs="Times New Roman"/>
                <w:color w:val="000000"/>
                <w:sz w:val="24"/>
                <w:szCs w:val="24"/>
              </w:rPr>
              <w:t>kerksuse</w:t>
            </w:r>
            <w:r w:rsidRPr="009A2C74">
              <w:rPr>
                <w:rFonts w:ascii="Times New Roman" w:hAnsi="Times New Roman" w:cs="Times New Roman"/>
                <w:color w:val="000000"/>
                <w:sz w:val="24"/>
                <w:szCs w:val="24"/>
              </w:rPr>
              <w:t xml:space="preserve"> ja konkurentsivõime tugevdamine, osalemine teatud ELi programmides assotsieeritud riigina (näiteks Euroopa ühendamise rahastu (CEF) ja Erasmus+)</w:t>
            </w:r>
            <w:r w:rsidR="002319FF" w:rsidRPr="009A2C74">
              <w:rPr>
                <w:rFonts w:ascii="Times New Roman" w:hAnsi="Times New Roman" w:cs="Times New Roman"/>
                <w:color w:val="000000"/>
                <w:sz w:val="24"/>
                <w:szCs w:val="24"/>
              </w:rPr>
              <w:t xml:space="preserve">. Ukraina toetamist </w:t>
            </w:r>
            <w:r w:rsidR="00737297" w:rsidRPr="009A2C74">
              <w:rPr>
                <w:rFonts w:ascii="Times New Roman" w:hAnsi="Times New Roman" w:cs="Times New Roman"/>
                <w:color w:val="000000"/>
                <w:sz w:val="24"/>
                <w:szCs w:val="24"/>
              </w:rPr>
              <w:t xml:space="preserve">määruse eelnõus </w:t>
            </w:r>
            <w:r w:rsidR="002319FF" w:rsidRPr="009A2C74">
              <w:rPr>
                <w:rFonts w:ascii="Times New Roman" w:hAnsi="Times New Roman" w:cs="Times New Roman"/>
                <w:color w:val="000000"/>
                <w:sz w:val="24"/>
                <w:szCs w:val="24"/>
              </w:rPr>
              <w:t>puudutab seisukoht 5.2.</w:t>
            </w:r>
          </w:p>
          <w:p w14:paraId="036FA866" w14:textId="6C1A421E" w:rsidR="001E4D48" w:rsidRPr="009A2C74" w:rsidRDefault="001E4D48" w:rsidP="001E4D48">
            <w:pPr>
              <w:jc w:val="both"/>
              <w:rPr>
                <w:rFonts w:ascii="Times New Roman" w:hAnsi="Times New Roman" w:cs="Times New Roman"/>
                <w:sz w:val="24"/>
                <w:szCs w:val="24"/>
              </w:rPr>
            </w:pPr>
            <w:r w:rsidRPr="009A2C74">
              <w:rPr>
                <w:rFonts w:ascii="Times New Roman" w:hAnsi="Times New Roman" w:cs="Times New Roman"/>
                <w:sz w:val="24"/>
                <w:szCs w:val="24"/>
              </w:rPr>
              <w:t>MKMi 3. punktis välja toodud geograafilised piirkonnad kattuvad välisministeeriumi seisukohaga 5.4, milles leiame, et välispoliitiliselt on Eesti jaoks olulisim keskenduda Euroopa naabrusele ja Sahara-tagusele Aafrikale. Digikoostöö olulisus</w:t>
            </w:r>
            <w:r w:rsidR="00737297" w:rsidRPr="009A2C74">
              <w:rPr>
                <w:rFonts w:ascii="Times New Roman" w:hAnsi="Times New Roman" w:cs="Times New Roman"/>
                <w:sz w:val="24"/>
                <w:szCs w:val="24"/>
              </w:rPr>
              <w:t xml:space="preserve">e toome välja </w:t>
            </w:r>
            <w:r w:rsidRPr="009A2C74">
              <w:rPr>
                <w:rFonts w:ascii="Times New Roman" w:hAnsi="Times New Roman" w:cs="Times New Roman"/>
                <w:sz w:val="24"/>
                <w:szCs w:val="24"/>
              </w:rPr>
              <w:t>seisukohas 5.</w:t>
            </w:r>
            <w:r w:rsidR="0018136C">
              <w:rPr>
                <w:rFonts w:ascii="Times New Roman" w:hAnsi="Times New Roman" w:cs="Times New Roman"/>
                <w:sz w:val="24"/>
                <w:szCs w:val="24"/>
              </w:rPr>
              <w:t>6</w:t>
            </w:r>
            <w:r w:rsidRPr="009A2C74">
              <w:rPr>
                <w:rFonts w:ascii="Times New Roman" w:hAnsi="Times New Roman" w:cs="Times New Roman"/>
                <w:sz w:val="24"/>
                <w:szCs w:val="24"/>
              </w:rPr>
              <w:t>.</w:t>
            </w:r>
          </w:p>
          <w:p w14:paraId="6D9C116A" w14:textId="4F23A122" w:rsidR="002319FF" w:rsidRPr="009A2C74" w:rsidRDefault="002319FF" w:rsidP="002319FF">
            <w:pPr>
              <w:jc w:val="both"/>
              <w:rPr>
                <w:rFonts w:ascii="Times New Roman" w:hAnsi="Times New Roman" w:cs="Times New Roman"/>
                <w:sz w:val="24"/>
                <w:szCs w:val="24"/>
              </w:rPr>
            </w:pPr>
            <w:r w:rsidRPr="00705A4D">
              <w:rPr>
                <w:rFonts w:ascii="Times New Roman" w:hAnsi="Times New Roman" w:cs="Times New Roman"/>
                <w:sz w:val="24"/>
                <w:szCs w:val="24"/>
              </w:rPr>
              <w:lastRenderedPageBreak/>
              <w:t xml:space="preserve">Globaalse Euroopa </w:t>
            </w:r>
            <w:r w:rsidR="00705A4D">
              <w:rPr>
                <w:rFonts w:ascii="Times New Roman" w:hAnsi="Times New Roman" w:cs="Times New Roman"/>
                <w:sz w:val="24"/>
                <w:szCs w:val="24"/>
              </w:rPr>
              <w:t xml:space="preserve">instrumendi </w:t>
            </w:r>
            <w:r w:rsidRPr="00705A4D">
              <w:rPr>
                <w:rFonts w:ascii="Times New Roman" w:hAnsi="Times New Roman" w:cs="Times New Roman"/>
                <w:sz w:val="24"/>
                <w:szCs w:val="24"/>
              </w:rPr>
              <w:t xml:space="preserve">ja Euroopa konkurentsivõime fondi sünkroniseerimise osas </w:t>
            </w:r>
            <w:r w:rsidR="00FD1012" w:rsidRPr="00705A4D">
              <w:rPr>
                <w:rFonts w:ascii="Times New Roman" w:hAnsi="Times New Roman" w:cs="Times New Roman"/>
                <w:sz w:val="24"/>
                <w:szCs w:val="24"/>
              </w:rPr>
              <w:t>on komisjon hetkel töötamas kahe põhilise töösuunaga: 1) koostöö tõhustamine Euroopa ekspordikrediidiagentuuride vahel, tugevdamaks nende omavahelist koordinatsiooni Euroopa ettevõtete investeeringute edendamisel ELi välistes riikides; 2) investeeringute toetamine kriitiliste toormete hankimisel kolmandatest riikidest, toetades samaaegselt ELi strateegilisi huve ning partnerriigi arengut. Kriitiliste toormete vallas on komisjonil kavas luua eraldi rahastu, mis koondaks vahendeid nii konkurentsivõime fondist kui Globaalse Euroopa</w:t>
            </w:r>
            <w:r w:rsidR="00393C7B">
              <w:rPr>
                <w:rFonts w:ascii="Times New Roman" w:hAnsi="Times New Roman" w:cs="Times New Roman"/>
                <w:sz w:val="24"/>
                <w:szCs w:val="24"/>
              </w:rPr>
              <w:t xml:space="preserve"> instrumendi</w:t>
            </w:r>
            <w:r w:rsidR="00FD1012" w:rsidRPr="00705A4D">
              <w:rPr>
                <w:rFonts w:ascii="Times New Roman" w:hAnsi="Times New Roman" w:cs="Times New Roman"/>
                <w:sz w:val="24"/>
                <w:szCs w:val="24"/>
              </w:rPr>
              <w:t>st.</w:t>
            </w:r>
            <w:r w:rsidR="009A2C74" w:rsidRPr="00705A4D">
              <w:rPr>
                <w:rFonts w:ascii="Times New Roman" w:hAnsi="Times New Roman" w:cs="Times New Roman"/>
                <w:sz w:val="24"/>
                <w:szCs w:val="24"/>
              </w:rPr>
              <w:t xml:space="preserve"> Koostööd konkurentsivõime fondi ja Globaalse Euroopa </w:t>
            </w:r>
            <w:r w:rsidR="00393C7B">
              <w:rPr>
                <w:rFonts w:ascii="Times New Roman" w:hAnsi="Times New Roman" w:cs="Times New Roman"/>
                <w:sz w:val="24"/>
                <w:szCs w:val="24"/>
              </w:rPr>
              <w:t xml:space="preserve">instrumendi </w:t>
            </w:r>
            <w:r w:rsidR="009A2C74" w:rsidRPr="00705A4D">
              <w:rPr>
                <w:rFonts w:ascii="Times New Roman" w:hAnsi="Times New Roman" w:cs="Times New Roman"/>
                <w:sz w:val="24"/>
                <w:szCs w:val="24"/>
              </w:rPr>
              <w:t>vahel saab edendada ka läbi</w:t>
            </w:r>
            <w:r w:rsidR="00FD1012" w:rsidRPr="00705A4D">
              <w:rPr>
                <w:rFonts w:ascii="Times New Roman" w:hAnsi="Times New Roman" w:cs="Times New Roman"/>
                <w:sz w:val="24"/>
                <w:szCs w:val="24"/>
              </w:rPr>
              <w:t xml:space="preserve"> </w:t>
            </w:r>
            <w:r w:rsidR="009A2C74" w:rsidRPr="00705A4D">
              <w:rPr>
                <w:rFonts w:ascii="Times New Roman" w:hAnsi="Times New Roman" w:cs="Times New Roman"/>
                <w:sz w:val="24"/>
                <w:szCs w:val="24"/>
              </w:rPr>
              <w:t xml:space="preserve">projektide ühisfinantseerimise, mis panustavad samaaegselt mõlema instrumendi eesmärkide täitmisse. Selliste ühiste projektide väljatöötamine hakkab toimuma </w:t>
            </w:r>
            <w:r w:rsidR="009A2C74" w:rsidRPr="00705A4D">
              <w:rPr>
                <w:rFonts w:ascii="Times New Roman" w:hAnsi="Times New Roman" w:cs="Times New Roman"/>
                <w:i/>
                <w:iCs/>
                <w:sz w:val="24"/>
                <w:szCs w:val="24"/>
              </w:rPr>
              <w:t xml:space="preserve">ad hoc </w:t>
            </w:r>
            <w:r w:rsidR="009A2C74" w:rsidRPr="00705A4D">
              <w:rPr>
                <w:rFonts w:ascii="Times New Roman" w:hAnsi="Times New Roman" w:cs="Times New Roman"/>
                <w:sz w:val="24"/>
                <w:szCs w:val="24"/>
              </w:rPr>
              <w:t>põhimõttel. Ühine instrumentide rakendamise jälgimine hakkab toimuma vastavalt tulemusraamistikus sätestatud põhimõtetele, luues seeläbi üh</w:t>
            </w:r>
            <w:r w:rsidR="009A2C74">
              <w:rPr>
                <w:rFonts w:ascii="Times New Roman" w:hAnsi="Times New Roman" w:cs="Times New Roman"/>
                <w:sz w:val="24"/>
                <w:szCs w:val="24"/>
              </w:rPr>
              <w:t>tse</w:t>
            </w:r>
            <w:r w:rsidR="009A2C74" w:rsidRPr="00705A4D">
              <w:rPr>
                <w:rFonts w:ascii="Times New Roman" w:hAnsi="Times New Roman" w:cs="Times New Roman"/>
                <w:sz w:val="24"/>
                <w:szCs w:val="24"/>
              </w:rPr>
              <w:t xml:space="preserve"> raamistiku kõigi instrumentide monitoorimisel ja raporteerimisel</w:t>
            </w:r>
            <w:r w:rsidR="00A45A3E">
              <w:rPr>
                <w:rFonts w:ascii="Times New Roman" w:hAnsi="Times New Roman" w:cs="Times New Roman"/>
                <w:sz w:val="24"/>
                <w:szCs w:val="24"/>
              </w:rPr>
              <w:t>.</w:t>
            </w:r>
          </w:p>
          <w:p w14:paraId="4BE3470D" w14:textId="60B7BA37" w:rsidR="002319FF" w:rsidRPr="009A2C74" w:rsidRDefault="002319FF" w:rsidP="001E4D48">
            <w:pPr>
              <w:jc w:val="both"/>
              <w:rPr>
                <w:rFonts w:ascii="Times New Roman" w:hAnsi="Times New Roman" w:cs="Times New Roman"/>
                <w:sz w:val="24"/>
                <w:szCs w:val="24"/>
              </w:rPr>
            </w:pPr>
          </w:p>
        </w:tc>
      </w:tr>
      <w:bookmarkEnd w:id="2"/>
      <w:tr w:rsidR="00BF56C5" w:rsidRPr="00657C6C" w14:paraId="414147E1" w14:textId="77777777" w:rsidTr="00010C3E">
        <w:trPr>
          <w:trHeight w:val="1280"/>
        </w:trPr>
        <w:tc>
          <w:tcPr>
            <w:tcW w:w="4248" w:type="dxa"/>
          </w:tcPr>
          <w:p w14:paraId="1F3ED32F" w14:textId="4D7187E1" w:rsidR="00BF56C5" w:rsidRPr="00657C6C" w:rsidRDefault="00BF56C5" w:rsidP="003539C0">
            <w:pPr>
              <w:jc w:val="both"/>
              <w:rPr>
                <w:rFonts w:ascii="Times New Roman" w:hAnsi="Times New Roman" w:cs="Times New Roman"/>
                <w:sz w:val="24"/>
                <w:szCs w:val="24"/>
              </w:rPr>
            </w:pPr>
            <w:r w:rsidRPr="00657C6C">
              <w:rPr>
                <w:rFonts w:ascii="Times New Roman" w:hAnsi="Times New Roman" w:cs="Times New Roman"/>
                <w:sz w:val="24"/>
                <w:szCs w:val="24"/>
              </w:rPr>
              <w:lastRenderedPageBreak/>
              <w:t>Kultuuriministeerium</w:t>
            </w:r>
          </w:p>
        </w:tc>
        <w:tc>
          <w:tcPr>
            <w:tcW w:w="5528" w:type="dxa"/>
          </w:tcPr>
          <w:p w14:paraId="483884DF" w14:textId="56150437" w:rsidR="00BF56C5" w:rsidRPr="00657C6C" w:rsidRDefault="00F8355C" w:rsidP="003539C0">
            <w:pPr>
              <w:jc w:val="both"/>
              <w:rPr>
                <w:rFonts w:ascii="Times New Roman" w:hAnsi="Times New Roman" w:cs="Times New Roman"/>
                <w:b/>
                <w:bCs/>
                <w:sz w:val="24"/>
                <w:szCs w:val="24"/>
              </w:rPr>
            </w:pPr>
            <w:r w:rsidRPr="00657C6C">
              <w:rPr>
                <w:rFonts w:ascii="Times New Roman" w:hAnsi="Times New Roman" w:cs="Times New Roman"/>
                <w:sz w:val="24"/>
                <w:szCs w:val="24"/>
              </w:rPr>
              <w:t>Meetme paindlikkus on väga oluline. EE poolt kaitseme välisvahendite ambitsiooni ja et summasid ei vähendataks.</w:t>
            </w:r>
          </w:p>
        </w:tc>
        <w:tc>
          <w:tcPr>
            <w:tcW w:w="4394" w:type="dxa"/>
          </w:tcPr>
          <w:p w14:paraId="3B4E2DD6" w14:textId="55CF4BA1" w:rsidR="00BF56C5" w:rsidRPr="00657C6C" w:rsidRDefault="00F8355C" w:rsidP="003539C0">
            <w:pPr>
              <w:jc w:val="both"/>
              <w:rPr>
                <w:rFonts w:ascii="Times New Roman" w:hAnsi="Times New Roman" w:cs="Times New Roman"/>
                <w:sz w:val="24"/>
                <w:szCs w:val="24"/>
              </w:rPr>
            </w:pPr>
            <w:r w:rsidRPr="00657C6C">
              <w:rPr>
                <w:rFonts w:ascii="Times New Roman" w:hAnsi="Times New Roman" w:cs="Times New Roman"/>
                <w:sz w:val="24"/>
                <w:szCs w:val="24"/>
              </w:rPr>
              <w:t xml:space="preserve">Märkus toetab Välisministeeriumi poolt esitatud seisukohti. </w:t>
            </w:r>
          </w:p>
        </w:tc>
      </w:tr>
      <w:tr w:rsidR="00BF56C5" w:rsidRPr="00657C6C" w14:paraId="5F427044" w14:textId="77777777" w:rsidTr="00010C3E">
        <w:trPr>
          <w:trHeight w:val="1115"/>
        </w:trPr>
        <w:tc>
          <w:tcPr>
            <w:tcW w:w="4248" w:type="dxa"/>
          </w:tcPr>
          <w:p w14:paraId="21FA4F0B" w14:textId="2B343F5C" w:rsidR="00BF56C5" w:rsidRPr="00657C6C" w:rsidRDefault="00657C6C" w:rsidP="003539C0">
            <w:pPr>
              <w:jc w:val="both"/>
              <w:rPr>
                <w:rFonts w:ascii="Times New Roman" w:hAnsi="Times New Roman" w:cs="Times New Roman"/>
                <w:sz w:val="24"/>
                <w:szCs w:val="24"/>
              </w:rPr>
            </w:pPr>
            <w:r w:rsidRPr="00657C6C">
              <w:rPr>
                <w:rFonts w:ascii="Times New Roman" w:hAnsi="Times New Roman" w:cs="Times New Roman"/>
                <w:sz w:val="24"/>
                <w:szCs w:val="24"/>
              </w:rPr>
              <w:t>ESTDEV</w:t>
            </w:r>
          </w:p>
        </w:tc>
        <w:tc>
          <w:tcPr>
            <w:tcW w:w="5528" w:type="dxa"/>
          </w:tcPr>
          <w:p w14:paraId="3E69011D" w14:textId="77777777" w:rsidR="000016A1" w:rsidRDefault="000016A1" w:rsidP="000F1DA6">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 xml:space="preserve">ESTDEV vaates on oluline, et meie tugevused / valdkonnad ja välispoliitiliselt olulised piirkonnad (Euroopa ja Ida/Lõuna-Aafrika) oleksid kindlasti kaetud ka tulevases raamistikus kui nende valikuteni jõutakse. </w:t>
            </w:r>
          </w:p>
          <w:p w14:paraId="5D5C83AF" w14:textId="77777777" w:rsidR="000016A1" w:rsidRDefault="000016A1" w:rsidP="000F1DA6">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 xml:space="preserve">On väga tervitatav, et välispoliitika erinevad tööriistad on suurel määral toodud üheks instrumendiks, et karistavate poliitikate kõrval on ka motiveerivaid (kaubandus, investeeringud, arengukoostöö) ning EL (välis-)poliitilised valikud informeerivad rohkem ka arengukoostööpoliitikat  (ja vastupidi), mis loodetavasti vähendab tulevikus ka välispoliitika killustumist ja võimaldab ka oluliste probleemide ja nähtuste adresseerimist (kliima, elurikkuse kadu, saastumine, ränne). </w:t>
            </w:r>
          </w:p>
          <w:p w14:paraId="4134BBB9" w14:textId="77777777" w:rsidR="000016A1" w:rsidRDefault="000016A1" w:rsidP="000F1DA6">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 xml:space="preserve">EL laienemine on üks kõige olulisem fookus kõigile EL instrumentidele ettevaatega 2035 (eelarveperioodi lõpp). Mida konkreetsem on väljendatud ambitsiooni tase, seda konkreetsem ja tulemuslikum on ka arengukoostööagentuuride kaudu tehtav toetav projektitegevus ja ka sihtriikide motivatsioon. Tuleb vältida olukorra (taas-)tekkimist, kus ühed teesklevad reforme ja teised teesklevad tasumist. Laienemispoliitika laiem kasu seisneb muidugi mitte vaid julgeoleku ja heaolu vööndi kasvatamises aga naabrus/laienemine on EL välispoliitika edukuse </w:t>
            </w:r>
            <w:r>
              <w:rPr>
                <w:rFonts w:ascii="Times New Roman" w:hAnsi="Times New Roman" w:cs="Times New Roman"/>
                <w:sz w:val="24"/>
                <w:szCs w:val="24"/>
              </w:rPr>
              <w:lastRenderedPageBreak/>
              <w:t xml:space="preserve">proovikivi, mis kaasnevalt lisab ELi eduloona ka tähelepanuväärse reformikogemuse kui ka (lõpuks) täiendava rahastuse. </w:t>
            </w:r>
          </w:p>
          <w:p w14:paraId="1F12784F" w14:textId="77777777" w:rsidR="000016A1" w:rsidRDefault="000016A1" w:rsidP="000F1DA6">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 xml:space="preserve">Väga tervitatav on Ukraina ülesehituse ja reservi sissetoomine ning selle hoidmine eelarvest väljas (100 mld), kuid Ukraina õppetunde arvestades võiks tulevikus olla vähemalt tsiviilne küberabi, demineerimine ja veteranipoliiitika ühemõtteliselt ODA-kõlbulik (sõjast tingitud probleemid on ajas kasvavad). </w:t>
            </w:r>
          </w:p>
          <w:p w14:paraId="3505AE12" w14:textId="77777777" w:rsidR="00702FAE" w:rsidRDefault="000016A1" w:rsidP="00702FAE">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 xml:space="preserve">Global Europe valitsemise puhul on oluline leida õige tasakaal, ühest küljest tagada liikmesriikide osalus selle programmeerimises eriti strateegilisel otsusetasandil (takerdumata siiski ühehäälsusnõudesse ja üritamata tagasi keerata pikalt toiminud poliitikaid nagu EL ainupädevuses olev kaubanduspoliitika või jagatud pädevuses olev arengukoostöö), samas teisest küljest mitte ära kärpida algatusõigust ning võimendada juba ühtses välispoliitikas kuhjunud probleeme, mida hästi ilmestavad ka kahe väga põhimõttelise tähtsusega kriisi/sõja - Ukraina ja Lähis-Ida – otsustusprotsessid EL sees. Eesti kui väikeriigi perspektiivis peaks olema tugevad Euroopa institutsioonid, tugevad ühispoliitikad ja ka tugev ühtne Euroopa maailmas (sh Team Europe). Võiksime seetõttu oluliseks pidada, et Euroopa Komisjoni asepresidendil ja ühtlasi välispoliitika kõrgel esindajal tema Euroopa Komisjoni kuues oleks ka tööriistad ning juhtiv roll Komisjoni sees võrdlemisi killustatud välispoliitika meeskonna </w:t>
            </w:r>
            <w:r w:rsidRPr="00702FAE">
              <w:rPr>
                <w:rFonts w:ascii="Times New Roman" w:hAnsi="Times New Roman" w:cs="Times New Roman"/>
                <w:sz w:val="24"/>
                <w:szCs w:val="24"/>
              </w:rPr>
              <w:lastRenderedPageBreak/>
              <w:t>vedamisel (k.a GE eelarvestamise protsess ja programmeerimine).</w:t>
            </w:r>
          </w:p>
          <w:p w14:paraId="1AB72B0C" w14:textId="1C9C58C1" w:rsidR="00BF56C5" w:rsidRPr="00702FAE" w:rsidRDefault="000016A1" w:rsidP="00702FAE">
            <w:pPr>
              <w:pStyle w:val="ListParagraph"/>
              <w:numPr>
                <w:ilvl w:val="0"/>
                <w:numId w:val="5"/>
              </w:numPr>
              <w:contextualSpacing w:val="0"/>
              <w:rPr>
                <w:rFonts w:ascii="Times New Roman" w:hAnsi="Times New Roman" w:cs="Times New Roman"/>
                <w:sz w:val="24"/>
                <w:szCs w:val="24"/>
              </w:rPr>
            </w:pPr>
            <w:r w:rsidRPr="00702FAE">
              <w:rPr>
                <w:rFonts w:ascii="Times New Roman" w:hAnsi="Times New Roman" w:cs="Times New Roman"/>
                <w:sz w:val="24"/>
                <w:szCs w:val="24"/>
              </w:rPr>
              <w:t>Lihtsustamise loogika on väga tervitatav. Samas peaks programmeerimise tasandil tehtavad lihtsustused (vähem fonde, programmeerimine, seosed välis- ja sisepoliitikatesse jne) jõudma ka rakendustasandile ja kindlasti mitte tähendama leevendust ülakorrusel ning kaasneva keerukuse ja halduskoormuse veeretamist “allkorrusele” rakendustasandile. GE ettepanek ja mõjuhinnangu dokument on selles osas kahetsusväärselt väheinformatiivne, samas kui suur osa neist kohustustest on otse (finantsmäärus, fondimäärused, rakendusaktid) või kaude (riigihanked, riigiabi reeglid, raamatupidamine, audit, isikuandmete kaitse, keskkonnaar</w:t>
            </w:r>
            <w:r w:rsidR="00FF216E" w:rsidRPr="00702FAE">
              <w:rPr>
                <w:rFonts w:ascii="Times New Roman" w:hAnsi="Times New Roman" w:cs="Times New Roman"/>
                <w:sz w:val="24"/>
                <w:szCs w:val="24"/>
              </w:rPr>
              <w:t>u</w:t>
            </w:r>
            <w:r w:rsidRPr="00702FAE">
              <w:rPr>
                <w:rFonts w:ascii="Times New Roman" w:hAnsi="Times New Roman" w:cs="Times New Roman"/>
                <w:sz w:val="24"/>
                <w:szCs w:val="24"/>
              </w:rPr>
              <w:t xml:space="preserve">andlus jne) samuti Euroopa Komisjoni kontrolli all ja vajadusel muudetav. Meie jaoks on oluline, et nendel eelarveläbirääkimistel võtaks Rahandusministeerium (kui peamine MFF rakendamise eest vastutaja ja ka riigile tugiteenuse osutaja) muuhulgas suuremal määral kui seni fookusesse eelarve rakendamise osa, sealhulgas lihtsustamise ja tulemuspõhise eelarvestamise. Viimane võiks tuua kaasa tuua nihke üha koormavamalt tegevuste mõõtmiselt tulemuste hindamisele ning tuua kaasa lihtsustusi eelarve rakendamisel ka projektide tasandil (aruandluse ja tõendite mahukus, tööajatabelite pidamine, korduvauditeerimine ja järelauditeerimine jne). </w:t>
            </w:r>
          </w:p>
        </w:tc>
        <w:tc>
          <w:tcPr>
            <w:tcW w:w="4394" w:type="dxa"/>
          </w:tcPr>
          <w:p w14:paraId="59EF638C" w14:textId="77777777" w:rsidR="009C493B" w:rsidRDefault="000016A1" w:rsidP="000016A1">
            <w:pPr>
              <w:jc w:val="both"/>
              <w:rPr>
                <w:rFonts w:ascii="Times New Roman" w:hAnsi="Times New Roman" w:cs="Times New Roman"/>
                <w:sz w:val="24"/>
                <w:szCs w:val="24"/>
              </w:rPr>
            </w:pPr>
            <w:r>
              <w:rPr>
                <w:rFonts w:ascii="Times New Roman" w:hAnsi="Times New Roman" w:cs="Times New Roman"/>
                <w:sz w:val="24"/>
                <w:szCs w:val="24"/>
              </w:rPr>
              <w:lastRenderedPageBreak/>
              <w:t>Arvestame kommentaaridega määruse läbirääkimistel. Märkus toetab Välisministeeriumi seisukohti laienemise</w:t>
            </w:r>
            <w:r w:rsidR="009C493B">
              <w:rPr>
                <w:rFonts w:ascii="Times New Roman" w:hAnsi="Times New Roman" w:cs="Times New Roman"/>
                <w:sz w:val="24"/>
                <w:szCs w:val="24"/>
              </w:rPr>
              <w:t xml:space="preserve"> (5.3)</w:t>
            </w:r>
            <w:r>
              <w:rPr>
                <w:rFonts w:ascii="Times New Roman" w:hAnsi="Times New Roman" w:cs="Times New Roman"/>
                <w:sz w:val="24"/>
                <w:szCs w:val="24"/>
              </w:rPr>
              <w:t>, Ukraina reservi</w:t>
            </w:r>
            <w:r w:rsidR="009C493B">
              <w:rPr>
                <w:rFonts w:ascii="Times New Roman" w:hAnsi="Times New Roman" w:cs="Times New Roman"/>
                <w:sz w:val="24"/>
                <w:szCs w:val="24"/>
              </w:rPr>
              <w:t xml:space="preserve"> (5.2)</w:t>
            </w:r>
            <w:r>
              <w:rPr>
                <w:rFonts w:ascii="Times New Roman" w:hAnsi="Times New Roman" w:cs="Times New Roman"/>
                <w:sz w:val="24"/>
                <w:szCs w:val="24"/>
              </w:rPr>
              <w:t xml:space="preserve"> ja instrumentide ühendamise osas</w:t>
            </w:r>
            <w:r w:rsidR="009C493B">
              <w:rPr>
                <w:rFonts w:ascii="Times New Roman" w:hAnsi="Times New Roman" w:cs="Times New Roman"/>
                <w:sz w:val="24"/>
                <w:szCs w:val="24"/>
              </w:rPr>
              <w:t xml:space="preserve"> (5.1)</w:t>
            </w:r>
            <w:r>
              <w:rPr>
                <w:rFonts w:ascii="Times New Roman" w:hAnsi="Times New Roman" w:cs="Times New Roman"/>
                <w:sz w:val="24"/>
                <w:szCs w:val="24"/>
              </w:rPr>
              <w:t xml:space="preserve">. </w:t>
            </w:r>
            <w:r w:rsidR="009C493B">
              <w:rPr>
                <w:rFonts w:ascii="Times New Roman" w:hAnsi="Times New Roman" w:cs="Times New Roman"/>
                <w:sz w:val="24"/>
                <w:szCs w:val="24"/>
              </w:rPr>
              <w:t xml:space="preserve">Samuti oleme kommentaaridega arvestanud määruse eelnõu esialgsete mõjude analüüsi kokkuvõttes. </w:t>
            </w:r>
          </w:p>
          <w:p w14:paraId="1F557BE2" w14:textId="603A66E1" w:rsidR="000016A1" w:rsidRDefault="000016A1" w:rsidP="007C2790">
            <w:pPr>
              <w:jc w:val="both"/>
              <w:rPr>
                <w:rFonts w:ascii="Times New Roman" w:hAnsi="Times New Roman" w:cs="Times New Roman"/>
                <w:sz w:val="24"/>
                <w:szCs w:val="24"/>
              </w:rPr>
            </w:pPr>
            <w:r>
              <w:rPr>
                <w:rFonts w:ascii="Times New Roman" w:hAnsi="Times New Roman" w:cs="Times New Roman"/>
                <w:sz w:val="24"/>
                <w:szCs w:val="24"/>
              </w:rPr>
              <w:t>Oleme nõus vajadusega ühendada arengukoostöö eesmärgid paremini EL üldiste välis- ja julgeolekupoliitiliste eesmärkidega ja oleme seda ka määruse läbirääkimiste käigus tõstatanud. Peame väga oluliseks kommentaari Globa</w:t>
            </w:r>
            <w:r w:rsidR="00C93340">
              <w:rPr>
                <w:rFonts w:ascii="Times New Roman" w:hAnsi="Times New Roman" w:cs="Times New Roman"/>
                <w:sz w:val="24"/>
                <w:szCs w:val="24"/>
              </w:rPr>
              <w:t>a</w:t>
            </w:r>
            <w:r>
              <w:rPr>
                <w:rFonts w:ascii="Times New Roman" w:hAnsi="Times New Roman" w:cs="Times New Roman"/>
                <w:sz w:val="24"/>
                <w:szCs w:val="24"/>
              </w:rPr>
              <w:t>l</w:t>
            </w:r>
            <w:r w:rsidR="00C93340">
              <w:rPr>
                <w:rFonts w:ascii="Times New Roman" w:hAnsi="Times New Roman" w:cs="Times New Roman"/>
                <w:sz w:val="24"/>
                <w:szCs w:val="24"/>
              </w:rPr>
              <w:t>se</w:t>
            </w:r>
            <w:r>
              <w:rPr>
                <w:rFonts w:ascii="Times New Roman" w:hAnsi="Times New Roman" w:cs="Times New Roman"/>
                <w:sz w:val="24"/>
                <w:szCs w:val="24"/>
              </w:rPr>
              <w:t xml:space="preserve"> Euro</w:t>
            </w:r>
            <w:r w:rsidR="00C93340">
              <w:rPr>
                <w:rFonts w:ascii="Times New Roman" w:hAnsi="Times New Roman" w:cs="Times New Roman"/>
                <w:sz w:val="24"/>
                <w:szCs w:val="24"/>
              </w:rPr>
              <w:t>o</w:t>
            </w:r>
            <w:r>
              <w:rPr>
                <w:rFonts w:ascii="Times New Roman" w:hAnsi="Times New Roman" w:cs="Times New Roman"/>
                <w:sz w:val="24"/>
                <w:szCs w:val="24"/>
              </w:rPr>
              <w:t>p</w:t>
            </w:r>
            <w:r w:rsidR="00C93340">
              <w:rPr>
                <w:rFonts w:ascii="Times New Roman" w:hAnsi="Times New Roman" w:cs="Times New Roman"/>
                <w:sz w:val="24"/>
                <w:szCs w:val="24"/>
              </w:rPr>
              <w:t>a instrumendi</w:t>
            </w:r>
            <w:r>
              <w:rPr>
                <w:rFonts w:ascii="Times New Roman" w:hAnsi="Times New Roman" w:cs="Times New Roman"/>
                <w:sz w:val="24"/>
                <w:szCs w:val="24"/>
              </w:rPr>
              <w:t xml:space="preserve"> valitsemise ja EEAS-i tugevama rolli teemal, sellesisulised arutelud on liikmesriikide vahel määruse läbirääkimistel käimas ning </w:t>
            </w:r>
            <w:r w:rsidR="009C493B">
              <w:rPr>
                <w:rFonts w:ascii="Times New Roman" w:hAnsi="Times New Roman" w:cs="Times New Roman"/>
                <w:sz w:val="24"/>
                <w:szCs w:val="24"/>
              </w:rPr>
              <w:t xml:space="preserve">oleme </w:t>
            </w:r>
            <w:r>
              <w:rPr>
                <w:rFonts w:ascii="Times New Roman" w:hAnsi="Times New Roman" w:cs="Times New Roman"/>
                <w:sz w:val="24"/>
                <w:szCs w:val="24"/>
              </w:rPr>
              <w:t xml:space="preserve">kommentaaridega </w:t>
            </w:r>
            <w:r w:rsidR="009C493B">
              <w:rPr>
                <w:rFonts w:ascii="Times New Roman" w:hAnsi="Times New Roman" w:cs="Times New Roman"/>
                <w:sz w:val="24"/>
                <w:szCs w:val="24"/>
              </w:rPr>
              <w:t xml:space="preserve">arvestanud </w:t>
            </w:r>
            <w:r>
              <w:rPr>
                <w:rFonts w:ascii="Times New Roman" w:hAnsi="Times New Roman" w:cs="Times New Roman"/>
                <w:sz w:val="24"/>
                <w:szCs w:val="24"/>
              </w:rPr>
              <w:t>Eesti seisukoha täiendamisel</w:t>
            </w:r>
            <w:r w:rsidR="009C493B">
              <w:rPr>
                <w:rFonts w:ascii="Times New Roman" w:hAnsi="Times New Roman" w:cs="Times New Roman"/>
                <w:sz w:val="24"/>
                <w:szCs w:val="24"/>
              </w:rPr>
              <w:t xml:space="preserve"> punktides </w:t>
            </w:r>
            <w:r w:rsidR="009C493B" w:rsidRPr="005329D2">
              <w:rPr>
                <w:rFonts w:ascii="Times New Roman" w:hAnsi="Times New Roman" w:cs="Times New Roman"/>
                <w:sz w:val="24"/>
                <w:szCs w:val="24"/>
              </w:rPr>
              <w:t xml:space="preserve">5.1, </w:t>
            </w:r>
            <w:r w:rsidR="007C2790" w:rsidRPr="005329D2">
              <w:rPr>
                <w:rFonts w:ascii="Times New Roman" w:hAnsi="Times New Roman" w:cs="Times New Roman"/>
                <w:sz w:val="24"/>
                <w:szCs w:val="24"/>
              </w:rPr>
              <w:t>5.5 ja 5.1</w:t>
            </w:r>
            <w:r w:rsidR="00DE6E1C">
              <w:rPr>
                <w:rFonts w:ascii="Times New Roman" w:hAnsi="Times New Roman" w:cs="Times New Roman"/>
                <w:sz w:val="24"/>
                <w:szCs w:val="24"/>
              </w:rPr>
              <w:t>2</w:t>
            </w:r>
            <w:r w:rsidR="00736506">
              <w:rPr>
                <w:rFonts w:ascii="Times New Roman" w:hAnsi="Times New Roman" w:cs="Times New Roman"/>
                <w:sz w:val="24"/>
                <w:szCs w:val="24"/>
              </w:rPr>
              <w:t>.</w:t>
            </w:r>
          </w:p>
          <w:p w14:paraId="0E6D5B6F" w14:textId="77777777" w:rsidR="000016A1" w:rsidRDefault="000016A1" w:rsidP="000016A1">
            <w:pPr>
              <w:rPr>
                <w:rFonts w:ascii="Times New Roman" w:hAnsi="Times New Roman" w:cs="Times New Roman"/>
                <w:sz w:val="24"/>
                <w:szCs w:val="24"/>
              </w:rPr>
            </w:pPr>
          </w:p>
          <w:p w14:paraId="2D7E4FCA" w14:textId="667EA7C9" w:rsidR="000016A1" w:rsidRPr="000F1DA6" w:rsidRDefault="000F1DA6" w:rsidP="000016A1">
            <w:pPr>
              <w:rPr>
                <w:rFonts w:ascii="Times New Roman" w:hAnsi="Times New Roman" w:cs="Times New Roman"/>
                <w:i/>
                <w:iCs/>
                <w:sz w:val="24"/>
                <w:szCs w:val="24"/>
              </w:rPr>
            </w:pPr>
            <w:r>
              <w:rPr>
                <w:rFonts w:ascii="Times New Roman" w:hAnsi="Times New Roman" w:cs="Times New Roman"/>
                <w:sz w:val="24"/>
                <w:szCs w:val="24"/>
              </w:rPr>
              <w:t xml:space="preserve">Punkt 6) </w:t>
            </w:r>
            <w:r w:rsidR="000016A1">
              <w:rPr>
                <w:rFonts w:ascii="Times New Roman" w:hAnsi="Times New Roman" w:cs="Times New Roman"/>
                <w:sz w:val="24"/>
                <w:szCs w:val="24"/>
              </w:rPr>
              <w:t xml:space="preserve"> </w:t>
            </w:r>
            <w:r>
              <w:rPr>
                <w:rFonts w:ascii="Times New Roman" w:hAnsi="Times New Roman" w:cs="Times New Roman"/>
                <w:sz w:val="24"/>
                <w:szCs w:val="24"/>
              </w:rPr>
              <w:t xml:space="preserve">puhul on </w:t>
            </w:r>
            <w:r w:rsidRPr="000F1DA6">
              <w:rPr>
                <w:rFonts w:ascii="Times New Roman" w:hAnsi="Times New Roman" w:cs="Times New Roman"/>
                <w:sz w:val="24"/>
                <w:szCs w:val="24"/>
              </w:rPr>
              <w:t xml:space="preserve">Eesti seisukoht kajastatud </w:t>
            </w:r>
            <w:r>
              <w:rPr>
                <w:rFonts w:ascii="Times New Roman" w:hAnsi="Times New Roman" w:cs="Times New Roman"/>
                <w:sz w:val="24"/>
                <w:szCs w:val="24"/>
              </w:rPr>
              <w:t xml:space="preserve">MFF </w:t>
            </w:r>
            <w:r w:rsidRPr="000F1DA6">
              <w:rPr>
                <w:rFonts w:ascii="Times New Roman" w:hAnsi="Times New Roman" w:cs="Times New Roman"/>
                <w:sz w:val="24"/>
                <w:szCs w:val="24"/>
              </w:rPr>
              <w:t>tulemusraamistiku</w:t>
            </w:r>
            <w:r>
              <w:rPr>
                <w:rFonts w:ascii="Times New Roman" w:hAnsi="Times New Roman" w:cs="Times New Roman"/>
                <w:sz w:val="24"/>
                <w:szCs w:val="24"/>
              </w:rPr>
              <w:t xml:space="preserve"> seletuskirjas </w:t>
            </w:r>
            <w:r w:rsidRPr="007B6D4B">
              <w:rPr>
                <w:rFonts w:ascii="Times New Roman" w:hAnsi="Times New Roman" w:cs="Times New Roman"/>
                <w:i/>
                <w:iCs/>
                <w:sz w:val="24"/>
                <w:szCs w:val="24"/>
              </w:rPr>
              <w:t>[</w:t>
            </w:r>
            <w:r w:rsidR="007B6D4B" w:rsidRPr="007B6D4B">
              <w:rPr>
                <w:rFonts w:ascii="Times New Roman" w:hAnsi="Times New Roman" w:cs="Times New Roman"/>
                <w:i/>
                <w:iCs/>
                <w:sz w:val="24"/>
                <w:szCs w:val="24"/>
              </w:rPr>
              <w:t>kiidetud heaks Vabariigi Valitsuse 4. detsembri 2025. aasta istungil</w:t>
            </w:r>
            <w:r w:rsidRPr="007B6D4B">
              <w:rPr>
                <w:rFonts w:ascii="Times New Roman" w:hAnsi="Times New Roman" w:cs="Times New Roman"/>
                <w:i/>
                <w:iCs/>
                <w:sz w:val="24"/>
                <w:szCs w:val="24"/>
              </w:rPr>
              <w:t>].</w:t>
            </w:r>
          </w:p>
          <w:p w14:paraId="7FFB1ADC" w14:textId="03351208" w:rsidR="00657C6C" w:rsidRPr="00657C6C" w:rsidRDefault="00657C6C" w:rsidP="003539C0">
            <w:pPr>
              <w:jc w:val="both"/>
              <w:rPr>
                <w:rFonts w:ascii="Times New Roman" w:hAnsi="Times New Roman" w:cs="Times New Roman"/>
                <w:sz w:val="24"/>
                <w:szCs w:val="24"/>
              </w:rPr>
            </w:pPr>
          </w:p>
        </w:tc>
      </w:tr>
    </w:tbl>
    <w:p w14:paraId="2C51D7D1" w14:textId="77777777" w:rsidR="00BF56C5" w:rsidRPr="00657C6C" w:rsidRDefault="00BF56C5" w:rsidP="003539C0">
      <w:pPr>
        <w:spacing w:line="240" w:lineRule="auto"/>
        <w:jc w:val="both"/>
        <w:rPr>
          <w:rFonts w:ascii="Times New Roman" w:hAnsi="Times New Roman" w:cs="Times New Roman"/>
          <w:b/>
          <w:bCs/>
          <w:sz w:val="24"/>
          <w:szCs w:val="24"/>
        </w:rPr>
      </w:pPr>
    </w:p>
    <w:sectPr w:rsidR="00BF56C5" w:rsidRPr="00657C6C" w:rsidSect="00010C3E">
      <w:pgSz w:w="16838" w:h="11906" w:orient="landscape"/>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E626" w14:textId="77777777" w:rsidR="00CD17A0" w:rsidRDefault="00CD17A0" w:rsidP="008D3466">
      <w:pPr>
        <w:spacing w:after="0" w:line="240" w:lineRule="auto"/>
      </w:pPr>
      <w:r>
        <w:separator/>
      </w:r>
    </w:p>
  </w:endnote>
  <w:endnote w:type="continuationSeparator" w:id="0">
    <w:p w14:paraId="4E46AF19" w14:textId="77777777" w:rsidR="00CD17A0" w:rsidRDefault="00CD17A0" w:rsidP="008D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5917" w14:textId="77777777" w:rsidR="00CD17A0" w:rsidRDefault="00CD17A0" w:rsidP="008D3466">
      <w:pPr>
        <w:spacing w:after="0" w:line="240" w:lineRule="auto"/>
      </w:pPr>
      <w:r>
        <w:separator/>
      </w:r>
    </w:p>
  </w:footnote>
  <w:footnote w:type="continuationSeparator" w:id="0">
    <w:p w14:paraId="28F97CF2" w14:textId="77777777" w:rsidR="00CD17A0" w:rsidRDefault="00CD17A0" w:rsidP="008D3466">
      <w:pPr>
        <w:spacing w:after="0" w:line="240" w:lineRule="auto"/>
      </w:pPr>
      <w:r>
        <w:continuationSeparator/>
      </w:r>
    </w:p>
  </w:footnote>
  <w:footnote w:id="1">
    <w:p w14:paraId="15DBC7F0" w14:textId="77777777" w:rsidR="008D3466" w:rsidRPr="00010C3E" w:rsidRDefault="008D3466" w:rsidP="008D3466">
      <w:pPr>
        <w:pStyle w:val="FootnoteText"/>
        <w:jc w:val="both"/>
        <w:rPr>
          <w:rFonts w:ascii="Times New Roman" w:hAnsi="Times New Roman" w:cs="Times New Roman"/>
        </w:rPr>
      </w:pPr>
      <w:r w:rsidRPr="00010C3E">
        <w:rPr>
          <w:rStyle w:val="FootnoteReference"/>
          <w:rFonts w:ascii="Times New Roman" w:hAnsi="Times New Roman" w:cs="Times New Roman"/>
        </w:rPr>
        <w:t>[1]</w:t>
      </w:r>
      <w:r w:rsidRPr="00010C3E">
        <w:rPr>
          <w:rFonts w:ascii="Times New Roman" w:hAnsi="Times New Roman" w:cs="Times New Roman"/>
        </w:rPr>
        <w:t xml:space="preserve"> Ettepanek: Euroopa Parlamendi ja Nõukogu määrus, millega luuakse instrument „Globaalne Euroopa“, COM(2025) 551, 2025/0227 (COD)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9F9"/>
    <w:multiLevelType w:val="hybridMultilevel"/>
    <w:tmpl w:val="0B566306"/>
    <w:lvl w:ilvl="0" w:tplc="B4C451BC">
      <w:numFmt w:val="bullet"/>
      <w:lvlText w:val=""/>
      <w:lvlJc w:val="left"/>
      <w:pPr>
        <w:ind w:left="360" w:hanging="360"/>
      </w:pPr>
      <w:rPr>
        <w:rFonts w:ascii="Symbol" w:eastAsiaTheme="minorHAnsi" w:hAnsi="Symbol"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 w15:restartNumberingAfterBreak="0">
    <w:nsid w:val="14790B9F"/>
    <w:multiLevelType w:val="hybridMultilevel"/>
    <w:tmpl w:val="5F6AD25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E646161"/>
    <w:multiLevelType w:val="hybridMultilevel"/>
    <w:tmpl w:val="636E0DDA"/>
    <w:lvl w:ilvl="0" w:tplc="0425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2F370897"/>
    <w:multiLevelType w:val="multilevel"/>
    <w:tmpl w:val="AD8E92E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276B4"/>
    <w:multiLevelType w:val="hybridMultilevel"/>
    <w:tmpl w:val="E9749A64"/>
    <w:lvl w:ilvl="0" w:tplc="042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79391429">
    <w:abstractNumId w:val="0"/>
  </w:num>
  <w:num w:numId="2" w16cid:durableId="487597665">
    <w:abstractNumId w:val="3"/>
  </w:num>
  <w:num w:numId="3" w16cid:durableId="690061095">
    <w:abstractNumId w:val="1"/>
  </w:num>
  <w:num w:numId="4" w16cid:durableId="565147065">
    <w:abstractNumId w:val="4"/>
  </w:num>
  <w:num w:numId="5" w16cid:durableId="1301225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9C"/>
    <w:rsid w:val="000016A1"/>
    <w:rsid w:val="00010C3E"/>
    <w:rsid w:val="000C1939"/>
    <w:rsid w:val="000D35D3"/>
    <w:rsid w:val="000F1DA6"/>
    <w:rsid w:val="001007EC"/>
    <w:rsid w:val="00101A8E"/>
    <w:rsid w:val="00117FF2"/>
    <w:rsid w:val="00173337"/>
    <w:rsid w:val="0018136C"/>
    <w:rsid w:val="001E4D48"/>
    <w:rsid w:val="002319FF"/>
    <w:rsid w:val="00266860"/>
    <w:rsid w:val="00275009"/>
    <w:rsid w:val="002D1B2D"/>
    <w:rsid w:val="002D6757"/>
    <w:rsid w:val="00310B99"/>
    <w:rsid w:val="00340F1C"/>
    <w:rsid w:val="003539C0"/>
    <w:rsid w:val="00393C7B"/>
    <w:rsid w:val="003A2868"/>
    <w:rsid w:val="003E1063"/>
    <w:rsid w:val="003E17EC"/>
    <w:rsid w:val="004171B6"/>
    <w:rsid w:val="00457660"/>
    <w:rsid w:val="004A5763"/>
    <w:rsid w:val="005329D2"/>
    <w:rsid w:val="00657C6C"/>
    <w:rsid w:val="006608B4"/>
    <w:rsid w:val="006F3E39"/>
    <w:rsid w:val="00702FAE"/>
    <w:rsid w:val="00705A4D"/>
    <w:rsid w:val="00736506"/>
    <w:rsid w:val="00737297"/>
    <w:rsid w:val="0079533C"/>
    <w:rsid w:val="007A5779"/>
    <w:rsid w:val="007B6D4B"/>
    <w:rsid w:val="007C2790"/>
    <w:rsid w:val="00820636"/>
    <w:rsid w:val="008611AF"/>
    <w:rsid w:val="008621EF"/>
    <w:rsid w:val="008C64D1"/>
    <w:rsid w:val="008D3466"/>
    <w:rsid w:val="0092406D"/>
    <w:rsid w:val="0093003A"/>
    <w:rsid w:val="00933BCB"/>
    <w:rsid w:val="00943A60"/>
    <w:rsid w:val="00995A4D"/>
    <w:rsid w:val="009A2C74"/>
    <w:rsid w:val="009C2077"/>
    <w:rsid w:val="009C493B"/>
    <w:rsid w:val="00A176FA"/>
    <w:rsid w:val="00A45A3E"/>
    <w:rsid w:val="00A54F9C"/>
    <w:rsid w:val="00A60FAF"/>
    <w:rsid w:val="00A650C1"/>
    <w:rsid w:val="00A969FF"/>
    <w:rsid w:val="00AC660C"/>
    <w:rsid w:val="00AE5E91"/>
    <w:rsid w:val="00B14733"/>
    <w:rsid w:val="00B21B81"/>
    <w:rsid w:val="00B32744"/>
    <w:rsid w:val="00B40609"/>
    <w:rsid w:val="00BF56C5"/>
    <w:rsid w:val="00C309B9"/>
    <w:rsid w:val="00C76FD4"/>
    <w:rsid w:val="00C93340"/>
    <w:rsid w:val="00CD17A0"/>
    <w:rsid w:val="00D7468D"/>
    <w:rsid w:val="00D770E0"/>
    <w:rsid w:val="00D835A3"/>
    <w:rsid w:val="00DE047F"/>
    <w:rsid w:val="00DE6E1C"/>
    <w:rsid w:val="00DF712F"/>
    <w:rsid w:val="00E67CE0"/>
    <w:rsid w:val="00E9374B"/>
    <w:rsid w:val="00F10BDD"/>
    <w:rsid w:val="00F63388"/>
    <w:rsid w:val="00F6578D"/>
    <w:rsid w:val="00F66E48"/>
    <w:rsid w:val="00F8355C"/>
    <w:rsid w:val="00FD1012"/>
    <w:rsid w:val="00FF21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83BF"/>
  <w15:chartTrackingRefBased/>
  <w15:docId w15:val="{E9414982-A4A1-44CB-8B79-D52CFA0A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F9C"/>
    <w:rPr>
      <w:rFonts w:eastAsiaTheme="majorEastAsia" w:cstheme="majorBidi"/>
      <w:color w:val="272727" w:themeColor="text1" w:themeTint="D8"/>
    </w:rPr>
  </w:style>
  <w:style w:type="paragraph" w:styleId="Title">
    <w:name w:val="Title"/>
    <w:basedOn w:val="Normal"/>
    <w:next w:val="Normal"/>
    <w:link w:val="TitleChar"/>
    <w:uiPriority w:val="10"/>
    <w:qFormat/>
    <w:rsid w:val="00A54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F9C"/>
    <w:pPr>
      <w:spacing w:before="160"/>
      <w:jc w:val="center"/>
    </w:pPr>
    <w:rPr>
      <w:i/>
      <w:iCs/>
      <w:color w:val="404040" w:themeColor="text1" w:themeTint="BF"/>
    </w:rPr>
  </w:style>
  <w:style w:type="character" w:customStyle="1" w:styleId="QuoteChar">
    <w:name w:val="Quote Char"/>
    <w:basedOn w:val="DefaultParagraphFont"/>
    <w:link w:val="Quote"/>
    <w:uiPriority w:val="29"/>
    <w:rsid w:val="00A54F9C"/>
    <w:rPr>
      <w:i/>
      <w:iCs/>
      <w:color w:val="404040" w:themeColor="text1" w:themeTint="BF"/>
    </w:rPr>
  </w:style>
  <w:style w:type="paragraph" w:styleId="ListParagraph">
    <w:name w:val="List Paragraph"/>
    <w:basedOn w:val="Normal"/>
    <w:uiPriority w:val="34"/>
    <w:qFormat/>
    <w:rsid w:val="00A54F9C"/>
    <w:pPr>
      <w:ind w:left="720"/>
      <w:contextualSpacing/>
    </w:pPr>
  </w:style>
  <w:style w:type="character" w:styleId="IntenseEmphasis">
    <w:name w:val="Intense Emphasis"/>
    <w:basedOn w:val="DefaultParagraphFont"/>
    <w:uiPriority w:val="21"/>
    <w:qFormat/>
    <w:rsid w:val="00A54F9C"/>
    <w:rPr>
      <w:i/>
      <w:iCs/>
      <w:color w:val="0F4761" w:themeColor="accent1" w:themeShade="BF"/>
    </w:rPr>
  </w:style>
  <w:style w:type="paragraph" w:styleId="IntenseQuote">
    <w:name w:val="Intense Quote"/>
    <w:basedOn w:val="Normal"/>
    <w:next w:val="Normal"/>
    <w:link w:val="IntenseQuoteChar"/>
    <w:uiPriority w:val="30"/>
    <w:qFormat/>
    <w:rsid w:val="00A54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F9C"/>
    <w:rPr>
      <w:i/>
      <w:iCs/>
      <w:color w:val="0F4761" w:themeColor="accent1" w:themeShade="BF"/>
    </w:rPr>
  </w:style>
  <w:style w:type="character" w:styleId="IntenseReference">
    <w:name w:val="Intense Reference"/>
    <w:basedOn w:val="DefaultParagraphFont"/>
    <w:uiPriority w:val="32"/>
    <w:qFormat/>
    <w:rsid w:val="00A54F9C"/>
    <w:rPr>
      <w:b/>
      <w:bCs/>
      <w:smallCaps/>
      <w:color w:val="0F4761" w:themeColor="accent1" w:themeShade="BF"/>
      <w:spacing w:val="5"/>
    </w:rPr>
  </w:style>
  <w:style w:type="table" w:styleId="TableGrid">
    <w:name w:val="Table Grid"/>
    <w:basedOn w:val="TableNormal"/>
    <w:uiPriority w:val="39"/>
    <w:rsid w:val="00BF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D3466"/>
    <w:pPr>
      <w:spacing w:after="0" w:line="240" w:lineRule="auto"/>
    </w:pPr>
    <w:rPr>
      <w:rFonts w:ascii="Arial" w:hAnsi="Arial" w:cs="Arial"/>
      <w:kern w:val="0"/>
      <w:sz w:val="20"/>
      <w:szCs w:val="20"/>
      <w14:ligatures w14:val="none"/>
    </w:rPr>
  </w:style>
  <w:style w:type="character" w:customStyle="1" w:styleId="FootnoteTextChar">
    <w:name w:val="Footnote Text Char"/>
    <w:basedOn w:val="DefaultParagraphFont"/>
    <w:link w:val="FootnoteText"/>
    <w:uiPriority w:val="99"/>
    <w:qFormat/>
    <w:rsid w:val="008D3466"/>
    <w:rPr>
      <w:rFonts w:ascii="Arial" w:hAnsi="Arial" w:cs="Arial"/>
      <w:kern w:val="0"/>
      <w:sz w:val="20"/>
      <w:szCs w:val="20"/>
      <w14:ligatures w14:val="none"/>
    </w:rPr>
  </w:style>
  <w:style w:type="character" w:styleId="FootnoteReference">
    <w:name w:val="footnote reference"/>
    <w:basedOn w:val="DefaultParagraphFont"/>
    <w:uiPriority w:val="99"/>
    <w:semiHidden/>
    <w:unhideWhenUsed/>
    <w:rsid w:val="008D3466"/>
    <w:rPr>
      <w:vertAlign w:val="superscript"/>
    </w:rPr>
  </w:style>
  <w:style w:type="character" w:styleId="CommentReference">
    <w:name w:val="annotation reference"/>
    <w:basedOn w:val="DefaultParagraphFont"/>
    <w:uiPriority w:val="99"/>
    <w:semiHidden/>
    <w:unhideWhenUsed/>
    <w:rsid w:val="00173337"/>
    <w:rPr>
      <w:sz w:val="16"/>
      <w:szCs w:val="16"/>
    </w:rPr>
  </w:style>
  <w:style w:type="character" w:customStyle="1" w:styleId="CommentTextChar">
    <w:name w:val="Comment Text Char"/>
    <w:basedOn w:val="DefaultParagraphFont"/>
    <w:link w:val="CommentText"/>
    <w:uiPriority w:val="99"/>
    <w:rsid w:val="00173337"/>
    <w:rPr>
      <w:rFonts w:ascii="Calibri" w:eastAsia="Times New Roman" w:hAnsi="Calibri" w:cs="Times New Roman"/>
      <w:sz w:val="20"/>
      <w:szCs w:val="20"/>
    </w:rPr>
  </w:style>
  <w:style w:type="paragraph" w:styleId="CommentText">
    <w:name w:val="annotation text"/>
    <w:basedOn w:val="Normal"/>
    <w:link w:val="CommentTextChar"/>
    <w:uiPriority w:val="99"/>
    <w:unhideWhenUsed/>
    <w:rsid w:val="00173337"/>
    <w:pPr>
      <w:spacing w:after="120" w:line="264" w:lineRule="auto"/>
    </w:pPr>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173337"/>
    <w:rPr>
      <w:sz w:val="20"/>
      <w:szCs w:val="20"/>
    </w:rPr>
  </w:style>
  <w:style w:type="paragraph" w:styleId="Revision">
    <w:name w:val="Revision"/>
    <w:hidden/>
    <w:uiPriority w:val="99"/>
    <w:semiHidden/>
    <w:rsid w:val="00FD1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86847">
      <w:bodyDiv w:val="1"/>
      <w:marLeft w:val="0"/>
      <w:marRight w:val="0"/>
      <w:marTop w:val="0"/>
      <w:marBottom w:val="0"/>
      <w:divBdr>
        <w:top w:val="none" w:sz="0" w:space="0" w:color="auto"/>
        <w:left w:val="none" w:sz="0" w:space="0" w:color="auto"/>
        <w:bottom w:val="none" w:sz="0" w:space="0" w:color="auto"/>
        <w:right w:val="none" w:sz="0" w:space="0" w:color="auto"/>
      </w:divBdr>
    </w:div>
    <w:div w:id="1022364520">
      <w:bodyDiv w:val="1"/>
      <w:marLeft w:val="0"/>
      <w:marRight w:val="0"/>
      <w:marTop w:val="0"/>
      <w:marBottom w:val="0"/>
      <w:divBdr>
        <w:top w:val="none" w:sz="0" w:space="0" w:color="auto"/>
        <w:left w:val="none" w:sz="0" w:space="0" w:color="auto"/>
        <w:bottom w:val="none" w:sz="0" w:space="0" w:color="auto"/>
        <w:right w:val="none" w:sz="0" w:space="0" w:color="auto"/>
      </w:divBdr>
    </w:div>
    <w:div w:id="1138499012">
      <w:bodyDiv w:val="1"/>
      <w:marLeft w:val="0"/>
      <w:marRight w:val="0"/>
      <w:marTop w:val="0"/>
      <w:marBottom w:val="0"/>
      <w:divBdr>
        <w:top w:val="none" w:sz="0" w:space="0" w:color="auto"/>
        <w:left w:val="none" w:sz="0" w:space="0" w:color="auto"/>
        <w:bottom w:val="none" w:sz="0" w:space="0" w:color="auto"/>
        <w:right w:val="none" w:sz="0" w:space="0" w:color="auto"/>
      </w:divBdr>
    </w:div>
    <w:div w:id="19486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DFBEFB5F603F4DB7DC53DF47329E6D" ma:contentTypeVersion="2" ma:contentTypeDescription="Loo uus dokument" ma:contentTypeScope="" ma:versionID="1bfe072586dd44c2e391f38e511eeb9b">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9a7eeb4-f90b-4150-8553-bf36c97e4880">
      <UserInfo>
        <DisplayName>Kairi Saar-Isop</DisplayName>
        <AccountId>33</AccountId>
        <AccountType/>
      </UserInfo>
      <UserInfo>
        <DisplayName>Ingrid Kressel</DisplayName>
        <AccountId>122</AccountId>
        <AccountType/>
      </UserInfo>
      <UserInfo>
        <DisplayName>Artur Tänna</DisplayName>
        <AccountId>1909</AccountId>
        <AccountType/>
      </UserInfo>
      <UserInfo>
        <DisplayName>Tiina Jokst</DisplayName>
        <AccountId>437</AccountId>
        <AccountType/>
      </UserInfo>
      <UserInfo>
        <DisplayName>Annika Tabri</DisplayName>
        <AccountId>379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4E16-2780-464B-940D-31944C0635B1}">
  <ds:schemaRefs>
    <ds:schemaRef ds:uri="http://schemas.microsoft.com/sharepoint/v3/contenttype/forms"/>
  </ds:schemaRefs>
</ds:datastoreItem>
</file>

<file path=customXml/itemProps2.xml><?xml version="1.0" encoding="utf-8"?>
<ds:datastoreItem xmlns:ds="http://schemas.openxmlformats.org/officeDocument/2006/customXml" ds:itemID="{54F57F60-1CD5-4400-B1EE-BE8F21390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4F27B-623E-44EE-B9AB-5663391796CD}">
  <ds:schemaRefs>
    <ds:schemaRef ds:uri="http://schemas.microsoft.com/office/2006/metadata/properties"/>
    <ds:schemaRef ds:uri="http://schemas.microsoft.com/office/infopath/2007/PartnerControls"/>
    <ds:schemaRef ds:uri="89a7eeb4-f90b-4150-8553-bf36c97e4880"/>
  </ds:schemaRefs>
</ds:datastoreItem>
</file>

<file path=customXml/itemProps4.xml><?xml version="1.0" encoding="utf-8"?>
<ds:datastoreItem xmlns:ds="http://schemas.openxmlformats.org/officeDocument/2006/customXml" ds:itemID="{7A757CB4-3483-41ED-BDED-3535F32C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2965</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Jokst</dc:creator>
  <cp:keywords/>
  <dc:description/>
  <cp:lastModifiedBy>Tiina Jokst</cp:lastModifiedBy>
  <cp:revision>3</cp:revision>
  <dcterms:created xsi:type="dcterms:W3CDTF">2025-12-09T11:05:00Z</dcterms:created>
  <dcterms:modified xsi:type="dcterms:W3CDTF">2025-12-15T08:38:00Z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0x01010030DFBEFB5F603F4DB7DC53DF47329E6D</vt:lpwstr>
  </property>
</Properties>
</file>