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16672" w14:textId="16C8723A" w:rsidR="009B3329" w:rsidRPr="00C67E5F" w:rsidRDefault="00A46145" w:rsidP="00A46145">
      <w:pPr>
        <w:pStyle w:val="Dokumendisuurpealkiri"/>
      </w:pPr>
      <w:r w:rsidRPr="00C67E5F">
        <w:t>EKSL SEisukoht Tagatisfondi institutsionaalse ja juhtimise korralduse muutmise väljatöötamiskavatsuse suhtes</w:t>
      </w:r>
    </w:p>
    <w:p w14:paraId="47F3D23E" w14:textId="1F14EC8F" w:rsidR="009B3329" w:rsidRPr="00C67E5F" w:rsidRDefault="009B3329" w:rsidP="009B3329">
      <w:pPr>
        <w:pStyle w:val="Kuupev1"/>
        <w:rPr>
          <w:noProof w:val="0"/>
        </w:rPr>
      </w:pPr>
      <w:r w:rsidRPr="00C67E5F">
        <w:rPr>
          <w:noProof w:val="0"/>
        </w:rPr>
        <w:fldChar w:fldCharType="begin"/>
      </w:r>
      <w:r w:rsidRPr="00C67E5F">
        <w:rPr>
          <w:noProof w:val="0"/>
        </w:rPr>
        <w:instrText xml:space="preserve"> TIME  \@ "d. MMMM yyyy" </w:instrText>
      </w:r>
      <w:r w:rsidRPr="00C67E5F">
        <w:rPr>
          <w:noProof w:val="0"/>
        </w:rPr>
        <w:fldChar w:fldCharType="separate"/>
      </w:r>
      <w:r w:rsidR="00E80010">
        <w:t>28. september 2026</w:t>
      </w:r>
      <w:r w:rsidRPr="00C67E5F">
        <w:rPr>
          <w:noProof w:val="0"/>
        </w:rPr>
        <w:fldChar w:fldCharType="end"/>
      </w:r>
    </w:p>
    <w:p w14:paraId="24B26550" w14:textId="77777777" w:rsidR="00A46145" w:rsidRPr="00C67E5F" w:rsidRDefault="00A46145" w:rsidP="009B3329">
      <w:pPr>
        <w:pStyle w:val="Kuupev1"/>
        <w:rPr>
          <w:noProof w:val="0"/>
        </w:rPr>
      </w:pPr>
    </w:p>
    <w:tbl>
      <w:tblPr>
        <w:tblStyle w:val="Kontuurtabel"/>
        <w:tblW w:w="0" w:type="auto"/>
        <w:tblLook w:val="04A0" w:firstRow="1" w:lastRow="0" w:firstColumn="1" w:lastColumn="0" w:noHBand="0" w:noVBand="1"/>
      </w:tblPr>
      <w:tblGrid>
        <w:gridCol w:w="4674"/>
        <w:gridCol w:w="4674"/>
      </w:tblGrid>
      <w:tr w:rsidR="00A46145" w:rsidRPr="00C67E5F" w14:paraId="658673D8" w14:textId="77777777">
        <w:trPr>
          <w:cnfStyle w:val="100000000000" w:firstRow="1" w:lastRow="0" w:firstColumn="0" w:lastColumn="0" w:oddVBand="0" w:evenVBand="0" w:oddHBand="0" w:evenHBand="0" w:firstRowFirstColumn="0" w:firstRowLastColumn="0" w:lastRowFirstColumn="0" w:lastRowLastColumn="0"/>
        </w:trPr>
        <w:tc>
          <w:tcPr>
            <w:tcW w:w="4674" w:type="dxa"/>
          </w:tcPr>
          <w:p w14:paraId="6BEAC64E" w14:textId="0A7ECB8C" w:rsidR="00A46145" w:rsidRPr="00C67E5F" w:rsidRDefault="00A46145" w:rsidP="009E0C2A">
            <w:pPr>
              <w:pStyle w:val="Kuupev1"/>
              <w:rPr>
                <w:noProof w:val="0"/>
              </w:rPr>
            </w:pPr>
            <w:r w:rsidRPr="00C67E5F">
              <w:rPr>
                <w:noProof w:val="0"/>
              </w:rPr>
              <w:t>Küsimus</w:t>
            </w:r>
          </w:p>
        </w:tc>
        <w:tc>
          <w:tcPr>
            <w:tcW w:w="4674" w:type="dxa"/>
          </w:tcPr>
          <w:p w14:paraId="28C69673" w14:textId="049D1363" w:rsidR="00A46145" w:rsidRPr="00C67E5F" w:rsidRDefault="00A46145" w:rsidP="009E0C2A">
            <w:pPr>
              <w:pStyle w:val="Kuupev1"/>
              <w:rPr>
                <w:noProof w:val="0"/>
              </w:rPr>
            </w:pPr>
            <w:r w:rsidRPr="00C67E5F">
              <w:rPr>
                <w:noProof w:val="0"/>
              </w:rPr>
              <w:t>Vastus, seisukoht</w:t>
            </w:r>
          </w:p>
        </w:tc>
      </w:tr>
      <w:tr w:rsidR="00A46145" w:rsidRPr="00C67E5F" w14:paraId="504AFB0E" w14:textId="77777777">
        <w:tc>
          <w:tcPr>
            <w:tcW w:w="4674" w:type="dxa"/>
          </w:tcPr>
          <w:p w14:paraId="1BC64419" w14:textId="77777777" w:rsidR="00A46145" w:rsidRPr="00C67E5F" w:rsidRDefault="00A46145" w:rsidP="009E0C2A">
            <w:pPr>
              <w:pStyle w:val="Kuupev1"/>
              <w:rPr>
                <w:noProof w:val="0"/>
              </w:rPr>
            </w:pPr>
            <w:r w:rsidRPr="00C67E5F">
              <w:rPr>
                <w:noProof w:val="0"/>
              </w:rPr>
              <w:t>1) Millist varianti väljapakutud kolmest variandist võiks eelistada, miks?</w:t>
            </w:r>
          </w:p>
        </w:tc>
        <w:tc>
          <w:tcPr>
            <w:tcW w:w="4674" w:type="dxa"/>
          </w:tcPr>
          <w:p w14:paraId="202F43DB" w14:textId="7DCE6274" w:rsidR="00A46145" w:rsidRPr="00C67E5F" w:rsidRDefault="00A46145" w:rsidP="009E0C2A">
            <w:pPr>
              <w:pStyle w:val="Kuupev1"/>
              <w:rPr>
                <w:noProof w:val="0"/>
              </w:rPr>
            </w:pPr>
            <w:r w:rsidRPr="00C67E5F">
              <w:rPr>
                <w:noProof w:val="0"/>
              </w:rPr>
              <w:t>Variant 1. Kõige lihtsamini teostatav, piisavalt läbipaistev ning kulutõus lahendus.</w:t>
            </w:r>
          </w:p>
        </w:tc>
      </w:tr>
      <w:tr w:rsidR="00A46145" w:rsidRPr="00C67E5F" w14:paraId="4C480FD5" w14:textId="77777777">
        <w:tc>
          <w:tcPr>
            <w:tcW w:w="4674" w:type="dxa"/>
          </w:tcPr>
          <w:p w14:paraId="30172901" w14:textId="4498641A" w:rsidR="00A46145" w:rsidRPr="00C67E5F" w:rsidRDefault="00A46145" w:rsidP="009E0C2A">
            <w:pPr>
              <w:pStyle w:val="Kuupev1"/>
              <w:rPr>
                <w:noProof w:val="0"/>
              </w:rPr>
            </w:pPr>
            <w:r w:rsidRPr="00C67E5F">
              <w:rPr>
                <w:noProof w:val="0"/>
              </w:rPr>
              <w:t>2) Kas lisaks väljatoodud kolmele variandile võiks kaaluda ka mingit muud varianti, millist?</w:t>
            </w:r>
          </w:p>
        </w:tc>
        <w:tc>
          <w:tcPr>
            <w:tcW w:w="4674" w:type="dxa"/>
          </w:tcPr>
          <w:p w14:paraId="038CD15A" w14:textId="3A48E4A4" w:rsidR="00A46145" w:rsidRPr="00C67E5F" w:rsidRDefault="00A46145" w:rsidP="009E0C2A">
            <w:pPr>
              <w:pStyle w:val="Kuupev1"/>
              <w:rPr>
                <w:noProof w:val="0"/>
              </w:rPr>
            </w:pPr>
            <w:r w:rsidRPr="00C67E5F">
              <w:rPr>
                <w:noProof w:val="0"/>
              </w:rPr>
              <w:t>Ei.</w:t>
            </w:r>
          </w:p>
        </w:tc>
      </w:tr>
      <w:tr w:rsidR="00A46145" w:rsidRPr="00C67E5F" w14:paraId="005F43BA" w14:textId="77777777">
        <w:tc>
          <w:tcPr>
            <w:tcW w:w="4674" w:type="dxa"/>
          </w:tcPr>
          <w:p w14:paraId="678E2166" w14:textId="77777777" w:rsidR="00A46145" w:rsidRPr="00C67E5F" w:rsidRDefault="00A46145" w:rsidP="009E0C2A">
            <w:pPr>
              <w:pStyle w:val="Kuupev1"/>
              <w:rPr>
                <w:noProof w:val="0"/>
              </w:rPr>
            </w:pPr>
            <w:r w:rsidRPr="00C67E5F">
              <w:rPr>
                <w:noProof w:val="0"/>
              </w:rPr>
              <w:t>3) Kas Tagatisfondi ülesannete üle andmisel Finantsinspektsioonile tuleks anda Finantsinspektsioonile Kas Tagatisfondi ülesannete üle andmisel Finantsinspektsioonile tuleks anda Finantsinspektsioonile avalikavalik--õigusliku juriidilise isiku staatus? õigusliku juriidilise isiku staatus?</w:t>
            </w:r>
          </w:p>
        </w:tc>
        <w:tc>
          <w:tcPr>
            <w:tcW w:w="4674" w:type="dxa"/>
          </w:tcPr>
          <w:p w14:paraId="52A433AD" w14:textId="1D8749D0" w:rsidR="00A46145" w:rsidRPr="00C67E5F" w:rsidRDefault="00283D91" w:rsidP="009E0C2A">
            <w:pPr>
              <w:pStyle w:val="Kuupev1"/>
              <w:rPr>
                <w:noProof w:val="0"/>
              </w:rPr>
            </w:pPr>
            <w:r>
              <w:rPr>
                <w:noProof w:val="0"/>
              </w:rPr>
              <w:t>Me ei toeta seda varianti. Pooldame variant 1. Pooldame variant 1.</w:t>
            </w:r>
          </w:p>
        </w:tc>
      </w:tr>
      <w:tr w:rsidR="00A46145" w:rsidRPr="00C67E5F" w14:paraId="09DD1512" w14:textId="77777777">
        <w:tc>
          <w:tcPr>
            <w:tcW w:w="4674" w:type="dxa"/>
          </w:tcPr>
          <w:p w14:paraId="038005FF" w14:textId="5B7BD4C4" w:rsidR="00A46145" w:rsidRPr="00C67E5F" w:rsidRDefault="00A46145" w:rsidP="009E0C2A">
            <w:pPr>
              <w:pStyle w:val="Kuupev1"/>
              <w:rPr>
                <w:noProof w:val="0"/>
              </w:rPr>
            </w:pPr>
            <w:r w:rsidRPr="00C67E5F">
              <w:rPr>
                <w:noProof w:val="0"/>
              </w:rPr>
              <w:t>4) Kas Finantsinspektsioonile saab seadusega panna kohustust vastutada hoiuste jm hüvitamise eest? Kas Finantsinspektsioonile saab seadusega panna kohustust vastutada hoiuste jm hüvitamise eest?</w:t>
            </w:r>
          </w:p>
        </w:tc>
        <w:tc>
          <w:tcPr>
            <w:tcW w:w="4674" w:type="dxa"/>
          </w:tcPr>
          <w:p w14:paraId="6172BD82" w14:textId="01386B14" w:rsidR="00A46145" w:rsidRPr="00C67E5F" w:rsidRDefault="00283D91" w:rsidP="009E0C2A">
            <w:pPr>
              <w:pStyle w:val="Kuupev1"/>
              <w:rPr>
                <w:noProof w:val="0"/>
              </w:rPr>
            </w:pPr>
            <w:r>
              <w:rPr>
                <w:noProof w:val="0"/>
              </w:rPr>
              <w:t>Me ei toeta seda varianti. Pooldame variant 1.</w:t>
            </w:r>
          </w:p>
        </w:tc>
      </w:tr>
      <w:tr w:rsidR="00A46145" w:rsidRPr="00C67E5F" w14:paraId="5E25A374" w14:textId="77777777">
        <w:tc>
          <w:tcPr>
            <w:tcW w:w="4674" w:type="dxa"/>
          </w:tcPr>
          <w:p w14:paraId="61B5DBCF" w14:textId="161ACB13" w:rsidR="00A46145" w:rsidRPr="00C67E5F" w:rsidRDefault="00A46145" w:rsidP="009E0C2A">
            <w:pPr>
              <w:pStyle w:val="Kuupev1"/>
              <w:rPr>
                <w:noProof w:val="0"/>
              </w:rPr>
            </w:pPr>
            <w:r w:rsidRPr="00C67E5F">
              <w:rPr>
                <w:noProof w:val="0"/>
              </w:rPr>
              <w:t>5) Kas/millistel asjaoludel võib tagatisskeem (olenema juriidilisest vormist) muutuda nö maksejõuetuks ja kuidas riik võtaks need kohustused üle?</w:t>
            </w:r>
          </w:p>
        </w:tc>
        <w:tc>
          <w:tcPr>
            <w:tcW w:w="4674" w:type="dxa"/>
          </w:tcPr>
          <w:p w14:paraId="34B596E3" w14:textId="77777777" w:rsidR="00A46145" w:rsidRPr="00C67E5F" w:rsidRDefault="00A46145" w:rsidP="009E0C2A">
            <w:pPr>
              <w:pStyle w:val="Kuupev1"/>
              <w:rPr>
                <w:noProof w:val="0"/>
              </w:rPr>
            </w:pPr>
          </w:p>
          <w:p w14:paraId="18BE789B" w14:textId="00A13660" w:rsidR="00A46145" w:rsidRPr="00C67E5F" w:rsidRDefault="00A46145" w:rsidP="009E0C2A">
            <w:pPr>
              <w:pStyle w:val="Kuupev1"/>
              <w:rPr>
                <w:noProof w:val="0"/>
              </w:rPr>
            </w:pPr>
            <w:r w:rsidRPr="00C67E5F">
              <w:rPr>
                <w:noProof w:val="0"/>
              </w:rPr>
              <w:t>Võib. Suurima mõjuga riskistsenaarium tingiks ilmselt laenu vajaduse.</w:t>
            </w:r>
          </w:p>
        </w:tc>
      </w:tr>
      <w:tr w:rsidR="00A46145" w:rsidRPr="00C67E5F" w14:paraId="330DBCDB" w14:textId="77777777">
        <w:tc>
          <w:tcPr>
            <w:tcW w:w="4674" w:type="dxa"/>
          </w:tcPr>
          <w:p w14:paraId="39799DC0" w14:textId="1785D479" w:rsidR="00A46145" w:rsidRPr="00C67E5F" w:rsidRDefault="00A46145" w:rsidP="00AA41C6">
            <w:pPr>
              <w:pStyle w:val="Kuupev1"/>
              <w:rPr>
                <w:noProof w:val="0"/>
              </w:rPr>
            </w:pPr>
            <w:r w:rsidRPr="00C67E5F">
              <w:rPr>
                <w:noProof w:val="0"/>
              </w:rPr>
              <w:t xml:space="preserve">6) </w:t>
            </w:r>
            <w:r w:rsidR="00AA41C6" w:rsidRPr="00C67E5F">
              <w:rPr>
                <w:noProof w:val="0"/>
              </w:rPr>
              <w:t xml:space="preserve">K </w:t>
            </w:r>
            <w:proofErr w:type="spellStart"/>
            <w:r w:rsidR="00AA41C6" w:rsidRPr="00C67E5F">
              <w:rPr>
                <w:noProof w:val="0"/>
              </w:rPr>
              <w:t>uidas</w:t>
            </w:r>
            <w:proofErr w:type="spellEnd"/>
            <w:r w:rsidR="00AA41C6" w:rsidRPr="00C67E5F">
              <w:rPr>
                <w:noProof w:val="0"/>
              </w:rPr>
              <w:t xml:space="preserve"> suhestuks EL määruse nr 806/2014 artiklis 42 (EL keskse kriisilahendusasutuse SRB õiguslik staatus) sätestatu sellega kui tagatisskeemil puuduks iseseisev õigus ja teovõime?</w:t>
            </w:r>
          </w:p>
        </w:tc>
        <w:tc>
          <w:tcPr>
            <w:tcW w:w="4674" w:type="dxa"/>
          </w:tcPr>
          <w:p w14:paraId="09A5A73E" w14:textId="32D0D783" w:rsidR="00A46145" w:rsidRPr="00C67E5F" w:rsidRDefault="00283D91" w:rsidP="009E0C2A">
            <w:pPr>
              <w:pStyle w:val="Kuupev1"/>
              <w:rPr>
                <w:noProof w:val="0"/>
              </w:rPr>
            </w:pPr>
            <w:r>
              <w:rPr>
                <w:noProof w:val="0"/>
              </w:rPr>
              <w:t>Me ei toeta seda varianti. Pooldame variant 1.</w:t>
            </w:r>
          </w:p>
        </w:tc>
      </w:tr>
      <w:tr w:rsidR="00A46145" w:rsidRPr="00C67E5F" w14:paraId="4824F0D2" w14:textId="77777777">
        <w:tc>
          <w:tcPr>
            <w:tcW w:w="4674" w:type="dxa"/>
          </w:tcPr>
          <w:p w14:paraId="64FC8E7A" w14:textId="2EFAFABE" w:rsidR="00A46145" w:rsidRPr="00C67E5F" w:rsidRDefault="00A46145" w:rsidP="009E0C2A">
            <w:pPr>
              <w:pStyle w:val="Kuupev1"/>
              <w:rPr>
                <w:noProof w:val="0"/>
              </w:rPr>
            </w:pPr>
            <w:r w:rsidRPr="00C67E5F">
              <w:rPr>
                <w:noProof w:val="0"/>
              </w:rPr>
              <w:t xml:space="preserve">7) Eeltoodust nähtub, et tagatisskeemil on kehtiva Euroopa õiguse kohaselt oma ülesannete täitmiseks pigem vajalik omada iseseisvat </w:t>
            </w:r>
            <w:r w:rsidRPr="00C67E5F">
              <w:rPr>
                <w:noProof w:val="0"/>
              </w:rPr>
              <w:lastRenderedPageBreak/>
              <w:t>tsiviilprotsessi õigusvõimet. Kuidas tagada tagatisskeemile vajalik omada iseseisvat tsiviilprotsessi õigusvõimet. Kuidas tagada tagatisskeemile iseseisev tsiviilprotsessi õigusvõime?</w:t>
            </w:r>
          </w:p>
        </w:tc>
        <w:tc>
          <w:tcPr>
            <w:tcW w:w="4674" w:type="dxa"/>
          </w:tcPr>
          <w:p w14:paraId="47F2C965" w14:textId="3AF37E88" w:rsidR="00A46145" w:rsidRPr="00C67E5F" w:rsidRDefault="00E47140" w:rsidP="009E0C2A">
            <w:pPr>
              <w:pStyle w:val="Kuupev1"/>
              <w:rPr>
                <w:noProof w:val="0"/>
              </w:rPr>
            </w:pPr>
            <w:r w:rsidRPr="00C67E5F">
              <w:rPr>
                <w:noProof w:val="0"/>
              </w:rPr>
              <w:lastRenderedPageBreak/>
              <w:t>Iseseisva asutusena nagu täna.</w:t>
            </w:r>
          </w:p>
        </w:tc>
      </w:tr>
      <w:tr w:rsidR="00AA41C6" w:rsidRPr="00C67E5F" w14:paraId="55C7B92B" w14:textId="77777777">
        <w:tc>
          <w:tcPr>
            <w:tcW w:w="4674" w:type="dxa"/>
          </w:tcPr>
          <w:p w14:paraId="431BC89F" w14:textId="42D41EEC" w:rsidR="00AA41C6" w:rsidRPr="00C67E5F" w:rsidRDefault="00AA41C6" w:rsidP="00E47140">
            <w:pPr>
              <w:pStyle w:val="Kuupev1"/>
              <w:rPr>
                <w:noProof w:val="0"/>
              </w:rPr>
            </w:pPr>
            <w:r w:rsidRPr="00C67E5F">
              <w:rPr>
                <w:noProof w:val="0"/>
              </w:rPr>
              <w:t xml:space="preserve">8) </w:t>
            </w:r>
            <w:r w:rsidR="00E47140" w:rsidRPr="00C67E5F">
              <w:rPr>
                <w:noProof w:val="0"/>
              </w:rPr>
              <w:t>Kuidas tagada huvide konfliktide vältimise ja nn moraalse vastutamatuse teema lahendamine erinevate meetmetega (sh arvestades ka rahvusvahelist praktikat)?</w:t>
            </w:r>
          </w:p>
        </w:tc>
        <w:tc>
          <w:tcPr>
            <w:tcW w:w="4674" w:type="dxa"/>
          </w:tcPr>
          <w:p w14:paraId="1BEC5D65" w14:textId="15789D30" w:rsidR="00AA41C6" w:rsidRPr="00C67E5F" w:rsidRDefault="00504FFB" w:rsidP="00AA41C6">
            <w:pPr>
              <w:pStyle w:val="Kuupev1"/>
              <w:rPr>
                <w:noProof w:val="0"/>
              </w:rPr>
            </w:pPr>
            <w:r w:rsidRPr="00C67E5F">
              <w:rPr>
                <w:noProof w:val="0"/>
              </w:rPr>
              <w:t>Tagatisfond iseseisva asutusena (Variant 1) võiks selle riski suhtelisel tasemel ära hoida.</w:t>
            </w:r>
          </w:p>
        </w:tc>
      </w:tr>
      <w:tr w:rsidR="00AA41C6" w:rsidRPr="00C67E5F" w14:paraId="6BB6A60A" w14:textId="77777777">
        <w:tc>
          <w:tcPr>
            <w:tcW w:w="4674" w:type="dxa"/>
          </w:tcPr>
          <w:p w14:paraId="4C378CEB" w14:textId="39822995" w:rsidR="00AA41C6" w:rsidRPr="00C67E5F" w:rsidRDefault="00AA41C6" w:rsidP="00CC497E">
            <w:pPr>
              <w:pStyle w:val="Kuupev1"/>
              <w:rPr>
                <w:noProof w:val="0"/>
              </w:rPr>
            </w:pPr>
            <w:r w:rsidRPr="00C67E5F">
              <w:rPr>
                <w:noProof w:val="0"/>
              </w:rPr>
              <w:t xml:space="preserve">9) </w:t>
            </w:r>
            <w:r w:rsidR="00CC497E" w:rsidRPr="00C67E5F">
              <w:rPr>
                <w:noProof w:val="0"/>
              </w:rPr>
              <w:t>Juhul kui Tagatisfond säilib eraldiseisva avalik õigusliku juriidilise isikuna, siis kas Tagatisfondi nõukogu pädevust ja ülesandeid peaks muutma, mismoodi täpsemalt (näiteks vähendada nõukogu koosseisu)</w:t>
            </w:r>
            <w:r w:rsidR="00FD7F67" w:rsidRPr="00C67E5F">
              <w:rPr>
                <w:noProof w:val="0"/>
              </w:rPr>
              <w:t>?</w:t>
            </w:r>
          </w:p>
        </w:tc>
        <w:tc>
          <w:tcPr>
            <w:tcW w:w="4674" w:type="dxa"/>
          </w:tcPr>
          <w:p w14:paraId="7558C165" w14:textId="3D242AAB" w:rsidR="00CC497E" w:rsidRPr="00C67E5F" w:rsidRDefault="00CC497E" w:rsidP="00AA41C6">
            <w:pPr>
              <w:pStyle w:val="Kuupev1"/>
              <w:rPr>
                <w:noProof w:val="0"/>
              </w:rPr>
            </w:pPr>
            <w:r w:rsidRPr="00C67E5F">
              <w:rPr>
                <w:noProof w:val="0"/>
              </w:rPr>
              <w:t xml:space="preserve">Ei poolda muudatusi nõukogu koosseisus seni kui ei ole muudetud Tagatisfondi vastusala. </w:t>
            </w:r>
          </w:p>
          <w:p w14:paraId="0A25EB0A" w14:textId="3547AD26" w:rsidR="00AA41C6" w:rsidRPr="00C67E5F" w:rsidRDefault="00CC497E" w:rsidP="00AA41C6">
            <w:pPr>
              <w:pStyle w:val="Kuupev1"/>
              <w:rPr>
                <w:noProof w:val="0"/>
              </w:rPr>
            </w:pPr>
            <w:r w:rsidRPr="00C67E5F">
              <w:rPr>
                <w:noProof w:val="0"/>
              </w:rPr>
              <w:t>Kui aga näiteks otsustatakse, et mõni osafond likvideeritakse täielikult (n. pensionide osafond), siis võib kõne alla tulla konkreetse valdkonna</w:t>
            </w:r>
            <w:r w:rsidR="00FD7F67" w:rsidRPr="00C67E5F">
              <w:rPr>
                <w:noProof w:val="0"/>
              </w:rPr>
              <w:t xml:space="preserve"> </w:t>
            </w:r>
            <w:r w:rsidR="006F72D5" w:rsidRPr="00C67E5F">
              <w:rPr>
                <w:noProof w:val="0"/>
              </w:rPr>
              <w:t>erialaliidu</w:t>
            </w:r>
            <w:r w:rsidRPr="00C67E5F">
              <w:rPr>
                <w:noProof w:val="0"/>
              </w:rPr>
              <w:t xml:space="preserve"> esindaja (n. pensionifondide, kindlustuse vmt) välja arvamist nõukogu koosseisust.</w:t>
            </w:r>
          </w:p>
        </w:tc>
      </w:tr>
      <w:tr w:rsidR="00AF7D82" w:rsidRPr="00C67E5F" w14:paraId="0D4D809A" w14:textId="77777777">
        <w:tc>
          <w:tcPr>
            <w:tcW w:w="4674" w:type="dxa"/>
          </w:tcPr>
          <w:p w14:paraId="01785673" w14:textId="22AE1A85" w:rsidR="00AF7D82" w:rsidRPr="00C67E5F" w:rsidRDefault="00AF7D82" w:rsidP="0028235C">
            <w:pPr>
              <w:pStyle w:val="Kuupev1"/>
              <w:rPr>
                <w:noProof w:val="0"/>
              </w:rPr>
            </w:pPr>
            <w:r w:rsidRPr="00C67E5F">
              <w:rPr>
                <w:noProof w:val="0"/>
              </w:rPr>
              <w:t xml:space="preserve">10) </w:t>
            </w:r>
            <w:r w:rsidR="003816D7" w:rsidRPr="00C67E5F">
              <w:rPr>
                <w:noProof w:val="0"/>
              </w:rPr>
              <w:t>Kas Tagatisfondi nõukogu otsustusmehhanism vajaks täpsustamist Ja kui, siis mida oleks vaja</w:t>
            </w:r>
            <w:r w:rsidR="0028235C" w:rsidRPr="00C67E5F">
              <w:rPr>
                <w:noProof w:val="0"/>
              </w:rPr>
              <w:t xml:space="preserve"> </w:t>
            </w:r>
            <w:r w:rsidR="003816D7" w:rsidRPr="00C67E5F">
              <w:rPr>
                <w:noProof w:val="0"/>
              </w:rPr>
              <w:t xml:space="preserve">seadusega täpsemalt </w:t>
            </w:r>
            <w:proofErr w:type="spellStart"/>
            <w:r w:rsidR="003816D7" w:rsidRPr="00C67E5F">
              <w:rPr>
                <w:noProof w:val="0"/>
              </w:rPr>
              <w:t>reguleer</w:t>
            </w:r>
            <w:proofErr w:type="spellEnd"/>
            <w:r w:rsidR="003816D7" w:rsidRPr="00C67E5F">
              <w:rPr>
                <w:noProof w:val="0"/>
              </w:rPr>
              <w:t xml:space="preserve"> ida ning mida oleks võimalik nt Tagatisfondi põhikirjaga (VV määrus)</w:t>
            </w:r>
            <w:r w:rsidR="0028235C" w:rsidRPr="00C67E5F">
              <w:rPr>
                <w:noProof w:val="0"/>
              </w:rPr>
              <w:t xml:space="preserve"> </w:t>
            </w:r>
            <w:r w:rsidR="003816D7" w:rsidRPr="00C67E5F">
              <w:rPr>
                <w:noProof w:val="0"/>
              </w:rPr>
              <w:t>sätestada.</w:t>
            </w:r>
          </w:p>
        </w:tc>
        <w:tc>
          <w:tcPr>
            <w:tcW w:w="4674" w:type="dxa"/>
          </w:tcPr>
          <w:p w14:paraId="00991F2C" w14:textId="6209CBF0" w:rsidR="00AF7D82" w:rsidRPr="00C67E5F" w:rsidRDefault="0028235C" w:rsidP="00AA41C6">
            <w:pPr>
              <w:pStyle w:val="Kuupev1"/>
              <w:rPr>
                <w:noProof w:val="0"/>
              </w:rPr>
            </w:pPr>
            <w:r w:rsidRPr="00C67E5F">
              <w:rPr>
                <w:noProof w:val="0"/>
              </w:rPr>
              <w:t>Ei pea vajalikuks muudatusi.</w:t>
            </w:r>
          </w:p>
        </w:tc>
      </w:tr>
      <w:tr w:rsidR="00AA41C6" w:rsidRPr="00C67E5F" w14:paraId="3D434C15" w14:textId="77777777">
        <w:tc>
          <w:tcPr>
            <w:tcW w:w="4674" w:type="dxa"/>
          </w:tcPr>
          <w:p w14:paraId="590CAB71" w14:textId="77777777" w:rsidR="00AA41C6" w:rsidRPr="00C67E5F" w:rsidRDefault="00AA41C6" w:rsidP="00AA41C6">
            <w:pPr>
              <w:pStyle w:val="Kuupev1"/>
              <w:rPr>
                <w:noProof w:val="0"/>
              </w:rPr>
            </w:pPr>
            <w:r w:rsidRPr="00C67E5F">
              <w:rPr>
                <w:noProof w:val="0"/>
              </w:rPr>
              <w:t xml:space="preserve">11) Kui Tagatisfondi ülesanded anda täielikult Finantsinspektsioonile, </w:t>
            </w:r>
            <w:proofErr w:type="spellStart"/>
            <w:r w:rsidRPr="00C67E5F">
              <w:rPr>
                <w:noProof w:val="0"/>
              </w:rPr>
              <w:t>siis:Kui</w:t>
            </w:r>
            <w:proofErr w:type="spellEnd"/>
            <w:r w:rsidRPr="00C67E5F">
              <w:rPr>
                <w:noProof w:val="0"/>
              </w:rPr>
              <w:t xml:space="preserve"> Tagatisfondi ülesanded anda täielikult Finantsinspektsioonile, siis:</w:t>
            </w:r>
          </w:p>
        </w:tc>
        <w:tc>
          <w:tcPr>
            <w:tcW w:w="4674" w:type="dxa"/>
          </w:tcPr>
          <w:p w14:paraId="5619F7C6" w14:textId="443C1E84" w:rsidR="00AA41C6" w:rsidRPr="00C67E5F" w:rsidRDefault="00283D91" w:rsidP="00AA41C6">
            <w:pPr>
              <w:pStyle w:val="Kuupev1"/>
              <w:rPr>
                <w:noProof w:val="0"/>
              </w:rPr>
            </w:pPr>
            <w:r>
              <w:rPr>
                <w:noProof w:val="0"/>
              </w:rPr>
              <w:t>Me ei toeta seda varianti. Pooldame variant 1.</w:t>
            </w:r>
          </w:p>
        </w:tc>
      </w:tr>
      <w:tr w:rsidR="006F72D5" w:rsidRPr="00C67E5F" w14:paraId="58549316" w14:textId="77777777">
        <w:tc>
          <w:tcPr>
            <w:tcW w:w="4674" w:type="dxa"/>
          </w:tcPr>
          <w:p w14:paraId="0DC686BA" w14:textId="2F524272" w:rsidR="006F72D5" w:rsidRPr="00C67E5F" w:rsidRDefault="006F72D5" w:rsidP="00723200">
            <w:pPr>
              <w:pStyle w:val="Kuupev1"/>
              <w:ind w:left="708"/>
              <w:rPr>
                <w:noProof w:val="0"/>
              </w:rPr>
            </w:pPr>
            <w:r w:rsidRPr="00C67E5F">
              <w:rPr>
                <w:noProof w:val="0"/>
              </w:rPr>
              <w:t>11.1) Kellele omistada senised nõukogu ülesanded? Kas neid võiks hakata täitma Finantsinspektsiooni nõukogu?</w:t>
            </w:r>
          </w:p>
        </w:tc>
        <w:tc>
          <w:tcPr>
            <w:tcW w:w="4674" w:type="dxa"/>
          </w:tcPr>
          <w:p w14:paraId="142B331D" w14:textId="23625E26" w:rsidR="006F72D5" w:rsidRPr="00C67E5F" w:rsidRDefault="00283D91" w:rsidP="006F72D5">
            <w:pPr>
              <w:pStyle w:val="Kuupev1"/>
              <w:rPr>
                <w:noProof w:val="0"/>
              </w:rPr>
            </w:pPr>
            <w:r>
              <w:rPr>
                <w:noProof w:val="0"/>
              </w:rPr>
              <w:t>Me ei toeta seda varianti. Pooldame variant 1.</w:t>
            </w:r>
          </w:p>
        </w:tc>
      </w:tr>
      <w:tr w:rsidR="006F72D5" w:rsidRPr="00C67E5F" w14:paraId="2379B611" w14:textId="77777777">
        <w:tc>
          <w:tcPr>
            <w:tcW w:w="4674" w:type="dxa"/>
          </w:tcPr>
          <w:p w14:paraId="59CAA3B5" w14:textId="3CF5EFA4" w:rsidR="006F72D5" w:rsidRPr="00C67E5F" w:rsidRDefault="006F72D5" w:rsidP="00723200">
            <w:pPr>
              <w:pStyle w:val="Kuupev1"/>
              <w:ind w:left="708"/>
              <w:rPr>
                <w:noProof w:val="0"/>
              </w:rPr>
            </w:pPr>
            <w:r w:rsidRPr="00C67E5F">
              <w:rPr>
                <w:noProof w:val="0"/>
              </w:rPr>
              <w:t xml:space="preserve">11.2) Kas Tagatisfondi nõukogu võiks ümber kujundada nõuandvaks organiks, kuhu kuuluksid erasektori esindajad (erialaliitude esindajad) ning mis annaks nõu eelkõige Tagatisfondi rahastamist puudutavates küsimustes? </w:t>
            </w:r>
          </w:p>
        </w:tc>
        <w:tc>
          <w:tcPr>
            <w:tcW w:w="4674" w:type="dxa"/>
          </w:tcPr>
          <w:p w14:paraId="4DF74E0A" w14:textId="3599D880" w:rsidR="006F72D5" w:rsidRPr="00C67E5F" w:rsidRDefault="00283D91" w:rsidP="006F72D5">
            <w:pPr>
              <w:pStyle w:val="Kuupev1"/>
              <w:rPr>
                <w:noProof w:val="0"/>
              </w:rPr>
            </w:pPr>
            <w:r>
              <w:rPr>
                <w:noProof w:val="0"/>
              </w:rPr>
              <w:t>Me ei toeta seda varianti. Pooldame variant 1.</w:t>
            </w:r>
          </w:p>
        </w:tc>
      </w:tr>
      <w:tr w:rsidR="006F72D5" w:rsidRPr="00C67E5F" w14:paraId="7AC65A05" w14:textId="77777777">
        <w:tc>
          <w:tcPr>
            <w:tcW w:w="4674" w:type="dxa"/>
          </w:tcPr>
          <w:p w14:paraId="64C4A5FF" w14:textId="6CA71199" w:rsidR="006F72D5" w:rsidRPr="00C67E5F" w:rsidRDefault="006F72D5" w:rsidP="00723200">
            <w:pPr>
              <w:pStyle w:val="Kuupev1"/>
              <w:ind w:left="708"/>
              <w:rPr>
                <w:noProof w:val="0"/>
              </w:rPr>
            </w:pPr>
            <w:r w:rsidRPr="00C67E5F">
              <w:rPr>
                <w:noProof w:val="0"/>
              </w:rPr>
              <w:t>11.3) Kas Tagatisfondi juhataja roll tuleks säilitada eraldiseisvalt Finantsinspektsiooni juhtkonnast? Või Kas Tagatisfondi juhataja ülesanded tuleks anda Finantsinspektsiooni juhatusele või nõukogule arvestades funktsioonide lahususe printsiibi täitmise vajadust?</w:t>
            </w:r>
          </w:p>
        </w:tc>
        <w:tc>
          <w:tcPr>
            <w:tcW w:w="4674" w:type="dxa"/>
          </w:tcPr>
          <w:p w14:paraId="67211242" w14:textId="097FD7A9" w:rsidR="006F72D5" w:rsidRPr="00C67E5F" w:rsidRDefault="00283D91" w:rsidP="006F72D5">
            <w:pPr>
              <w:pStyle w:val="Kuupev1"/>
              <w:rPr>
                <w:noProof w:val="0"/>
              </w:rPr>
            </w:pPr>
            <w:r>
              <w:rPr>
                <w:noProof w:val="0"/>
              </w:rPr>
              <w:t>Me ei toeta seda varianti. Pooldame variant 1.</w:t>
            </w:r>
          </w:p>
        </w:tc>
      </w:tr>
      <w:tr w:rsidR="006F72D5" w:rsidRPr="00C67E5F" w14:paraId="079AC2D0" w14:textId="77777777">
        <w:tc>
          <w:tcPr>
            <w:tcW w:w="4674" w:type="dxa"/>
          </w:tcPr>
          <w:p w14:paraId="0F4A7B40" w14:textId="20DDA5F2" w:rsidR="006F72D5" w:rsidRPr="00C67E5F" w:rsidRDefault="006F72D5" w:rsidP="00832CF4">
            <w:pPr>
              <w:pStyle w:val="Kuupev1"/>
              <w:ind w:left="708"/>
              <w:rPr>
                <w:noProof w:val="0"/>
              </w:rPr>
            </w:pPr>
            <w:r w:rsidRPr="00C67E5F">
              <w:rPr>
                <w:noProof w:val="0"/>
              </w:rPr>
              <w:t>11.4) Kas tuleks Finantsinspektsioonis moodustada eraldi üksus või viia Tagatisfondi funktsioon Finantsinspektsiooni kriisilahendamise üksuse alla eeldusel, et sisemiselt suudetakse tagada huvide konflikti vältimine?</w:t>
            </w:r>
          </w:p>
        </w:tc>
        <w:tc>
          <w:tcPr>
            <w:tcW w:w="4674" w:type="dxa"/>
          </w:tcPr>
          <w:p w14:paraId="37670E42" w14:textId="5CE07AFA" w:rsidR="006F72D5" w:rsidRPr="00C67E5F" w:rsidRDefault="00283D91" w:rsidP="006F72D5">
            <w:pPr>
              <w:pStyle w:val="Kuupev1"/>
              <w:rPr>
                <w:noProof w:val="0"/>
              </w:rPr>
            </w:pPr>
            <w:r>
              <w:rPr>
                <w:noProof w:val="0"/>
              </w:rPr>
              <w:t>Me ei toeta seda varianti. Pooldame variant 1.</w:t>
            </w:r>
          </w:p>
        </w:tc>
      </w:tr>
      <w:tr w:rsidR="009E68D9" w:rsidRPr="00C67E5F" w14:paraId="63B92EDE" w14:textId="77777777">
        <w:tc>
          <w:tcPr>
            <w:tcW w:w="4674" w:type="dxa"/>
          </w:tcPr>
          <w:p w14:paraId="1B06C832" w14:textId="69D0021B" w:rsidR="009E68D9" w:rsidRPr="00C67E5F" w:rsidRDefault="009E68D9" w:rsidP="009E68D9">
            <w:pPr>
              <w:pStyle w:val="Kuupev1"/>
              <w:rPr>
                <w:noProof w:val="0"/>
              </w:rPr>
            </w:pPr>
            <w:r w:rsidRPr="00C67E5F">
              <w:rPr>
                <w:noProof w:val="0"/>
              </w:rPr>
              <w:t xml:space="preserve">12) Mismoodi tuleks muuta hüvitiste väljamaksmise protseduuri? Kas see peaks toimuma otse läbi </w:t>
            </w:r>
            <w:r w:rsidRPr="00C67E5F">
              <w:rPr>
                <w:noProof w:val="0"/>
              </w:rPr>
              <w:lastRenderedPageBreak/>
              <w:t>krediidiasutuste, kes on seotud konkreetse nn kahjujuhtumiga?</w:t>
            </w:r>
          </w:p>
        </w:tc>
        <w:tc>
          <w:tcPr>
            <w:tcW w:w="4674" w:type="dxa"/>
          </w:tcPr>
          <w:p w14:paraId="6E3AE03B" w14:textId="62ED3A02" w:rsidR="009E68D9" w:rsidRPr="00C67E5F" w:rsidRDefault="00FE56EE" w:rsidP="009E68D9">
            <w:pPr>
              <w:pStyle w:val="Kuupev1"/>
              <w:rPr>
                <w:noProof w:val="0"/>
              </w:rPr>
            </w:pPr>
            <w:r w:rsidRPr="00C67E5F">
              <w:rPr>
                <w:noProof w:val="0"/>
              </w:rPr>
              <w:lastRenderedPageBreak/>
              <w:t>Seisukoht puudub.</w:t>
            </w:r>
          </w:p>
        </w:tc>
      </w:tr>
      <w:tr w:rsidR="009E68D9" w:rsidRPr="00C67E5F" w14:paraId="664688A7" w14:textId="77777777">
        <w:tc>
          <w:tcPr>
            <w:tcW w:w="4674" w:type="dxa"/>
          </w:tcPr>
          <w:p w14:paraId="573047F4" w14:textId="0CC31666" w:rsidR="009E68D9" w:rsidRPr="00C67E5F" w:rsidRDefault="009E68D9" w:rsidP="00FE56EE">
            <w:pPr>
              <w:pStyle w:val="Kuupev1"/>
              <w:rPr>
                <w:noProof w:val="0"/>
              </w:rPr>
            </w:pPr>
            <w:r w:rsidRPr="00C67E5F">
              <w:rPr>
                <w:noProof w:val="0"/>
              </w:rPr>
              <w:t xml:space="preserve">13) </w:t>
            </w:r>
            <w:r w:rsidR="00FE56EE" w:rsidRPr="00C67E5F">
              <w:rPr>
                <w:noProof w:val="0"/>
              </w:rPr>
              <w:t>Kas on läbipaistvuse suurendamiseks ja infovahetuse paremaks tagamiseks (eelkõige kahjujuhtumiga seotud hoiustajatega suhtlemiseks) tuleks luua eraldi vastav mugav ja lihtne elektrooniline keskkond Tagatisfondi poolt?</w:t>
            </w:r>
          </w:p>
        </w:tc>
        <w:tc>
          <w:tcPr>
            <w:tcW w:w="4674" w:type="dxa"/>
          </w:tcPr>
          <w:p w14:paraId="724543CA" w14:textId="11CC6958" w:rsidR="009E68D9" w:rsidRPr="00C67E5F" w:rsidRDefault="005C2CA8" w:rsidP="009E68D9">
            <w:pPr>
              <w:pStyle w:val="Kuupev1"/>
              <w:rPr>
                <w:noProof w:val="0"/>
              </w:rPr>
            </w:pPr>
            <w:r w:rsidRPr="00C67E5F">
              <w:rPr>
                <w:noProof w:val="0"/>
              </w:rPr>
              <w:t>Seisukoht puudub.</w:t>
            </w:r>
          </w:p>
        </w:tc>
      </w:tr>
      <w:tr w:rsidR="00FE56EE" w:rsidRPr="00C67E5F" w14:paraId="0F3A8D14" w14:textId="77777777">
        <w:tc>
          <w:tcPr>
            <w:tcW w:w="4674" w:type="dxa"/>
          </w:tcPr>
          <w:p w14:paraId="04DA0721" w14:textId="0E5F02B4" w:rsidR="00FE56EE" w:rsidRPr="00C67E5F" w:rsidRDefault="00FE56EE" w:rsidP="005C2CA8">
            <w:pPr>
              <w:pStyle w:val="Kuupev1"/>
              <w:rPr>
                <w:noProof w:val="0"/>
              </w:rPr>
            </w:pPr>
            <w:r w:rsidRPr="00C67E5F">
              <w:rPr>
                <w:noProof w:val="0"/>
              </w:rPr>
              <w:t xml:space="preserve">14) </w:t>
            </w:r>
            <w:r w:rsidR="005C2CA8" w:rsidRPr="00C67E5F">
              <w:rPr>
                <w:noProof w:val="0"/>
              </w:rPr>
              <w:t xml:space="preserve">Kas likvideerijate, pankrotihaldurite, </w:t>
            </w:r>
            <w:proofErr w:type="spellStart"/>
            <w:r w:rsidR="005C2CA8" w:rsidRPr="00C67E5F">
              <w:rPr>
                <w:noProof w:val="0"/>
              </w:rPr>
              <w:t>morato</w:t>
            </w:r>
            <w:proofErr w:type="spellEnd"/>
            <w:r w:rsidR="005C2CA8" w:rsidRPr="00C67E5F">
              <w:rPr>
                <w:noProof w:val="0"/>
              </w:rPr>
              <w:t xml:space="preserve"> </w:t>
            </w:r>
            <w:proofErr w:type="spellStart"/>
            <w:r w:rsidR="005C2CA8" w:rsidRPr="00C67E5F">
              <w:rPr>
                <w:noProof w:val="0"/>
              </w:rPr>
              <w:t>oriumihaldurite</w:t>
            </w:r>
            <w:proofErr w:type="spellEnd"/>
            <w:r w:rsidR="005C2CA8" w:rsidRPr="00C67E5F">
              <w:rPr>
                <w:noProof w:val="0"/>
              </w:rPr>
              <w:t xml:space="preserve"> rolli tuleks muuta (mh arvestades et andmeesituse võimekust nõutakse jooksvalt krediidiasutustes</w:t>
            </w:r>
          </w:p>
        </w:tc>
        <w:tc>
          <w:tcPr>
            <w:tcW w:w="4674" w:type="dxa"/>
          </w:tcPr>
          <w:p w14:paraId="3B503629" w14:textId="15E8DD09" w:rsidR="00FE56EE" w:rsidRPr="00C67E5F" w:rsidRDefault="005C2CA8" w:rsidP="009E68D9">
            <w:pPr>
              <w:pStyle w:val="Kuupev1"/>
              <w:rPr>
                <w:noProof w:val="0"/>
              </w:rPr>
            </w:pPr>
            <w:r w:rsidRPr="00C67E5F">
              <w:rPr>
                <w:noProof w:val="0"/>
              </w:rPr>
              <w:t>Seisukoht puudub.</w:t>
            </w:r>
          </w:p>
        </w:tc>
      </w:tr>
      <w:tr w:rsidR="009E68D9" w:rsidRPr="00C67E5F" w14:paraId="18808E7D" w14:textId="77777777">
        <w:tc>
          <w:tcPr>
            <w:tcW w:w="4674" w:type="dxa"/>
          </w:tcPr>
          <w:p w14:paraId="3AF55AA4" w14:textId="7025EB59" w:rsidR="009E68D9" w:rsidRPr="00C67E5F" w:rsidRDefault="009E68D9" w:rsidP="007330C3">
            <w:pPr>
              <w:pStyle w:val="Kuupev1"/>
              <w:rPr>
                <w:noProof w:val="0"/>
              </w:rPr>
            </w:pPr>
            <w:r w:rsidRPr="00C67E5F">
              <w:rPr>
                <w:noProof w:val="0"/>
              </w:rPr>
              <w:t xml:space="preserve">15) </w:t>
            </w:r>
            <w:r w:rsidR="007330C3" w:rsidRPr="00C67E5F">
              <w:rPr>
                <w:noProof w:val="0"/>
              </w:rPr>
              <w:t>Kas hoiuste tagamise osafondi tuleks koguda rohkem vahendeid kui on ette nähtud minimaalne piirmäär EL õiguses ( mis on 0,8% tagatud hoiustest Mis võiks olla mõistlik/vajalik sihttase (arvestades mh ka krediidiasutuste tagatud/hüvitavate hoiuste jääki)?</w:t>
            </w:r>
          </w:p>
        </w:tc>
        <w:tc>
          <w:tcPr>
            <w:tcW w:w="4674" w:type="dxa"/>
          </w:tcPr>
          <w:p w14:paraId="71A31599" w14:textId="5B43ECC5" w:rsidR="009E68D9" w:rsidRPr="00C67E5F" w:rsidRDefault="001B2C97" w:rsidP="009E68D9">
            <w:pPr>
              <w:pStyle w:val="Kuupev1"/>
              <w:rPr>
                <w:noProof w:val="0"/>
              </w:rPr>
            </w:pPr>
            <w:r w:rsidRPr="00C67E5F">
              <w:rPr>
                <w:noProof w:val="0"/>
              </w:rPr>
              <w:t>Osafondide rahastamise maht peaks selguma riski hindamise tulemusena koostöös vastava valdkonna turuosalistega.</w:t>
            </w:r>
          </w:p>
        </w:tc>
      </w:tr>
      <w:tr w:rsidR="007330C3" w:rsidRPr="00C67E5F" w14:paraId="7960C9FB" w14:textId="77777777">
        <w:tc>
          <w:tcPr>
            <w:tcW w:w="4674" w:type="dxa"/>
          </w:tcPr>
          <w:p w14:paraId="29041AC9" w14:textId="3C5E8AD1" w:rsidR="007330C3" w:rsidRPr="00C67E5F" w:rsidRDefault="007330C3" w:rsidP="009E68D9">
            <w:pPr>
              <w:pStyle w:val="Kuupev1"/>
              <w:rPr>
                <w:noProof w:val="0"/>
              </w:rPr>
            </w:pPr>
            <w:r w:rsidRPr="00C67E5F">
              <w:rPr>
                <w:noProof w:val="0"/>
              </w:rPr>
              <w:t>16) Kas ka teiste Kas ka teiste osafondide (investorikaitse osafond jt) sihttasemeid tuleks üle vaadata ja muuta?</w:t>
            </w:r>
          </w:p>
        </w:tc>
        <w:tc>
          <w:tcPr>
            <w:tcW w:w="4674" w:type="dxa"/>
          </w:tcPr>
          <w:p w14:paraId="1D845941" w14:textId="7E87D760" w:rsidR="007330C3" w:rsidRPr="00C67E5F" w:rsidRDefault="00E402A4" w:rsidP="009E68D9">
            <w:pPr>
              <w:pStyle w:val="Kuupev1"/>
              <w:rPr>
                <w:noProof w:val="0"/>
              </w:rPr>
            </w:pPr>
            <w:r w:rsidRPr="00C67E5F">
              <w:rPr>
                <w:noProof w:val="0"/>
              </w:rPr>
              <w:t>Vt. vastus küsimisele 15.</w:t>
            </w:r>
          </w:p>
        </w:tc>
      </w:tr>
      <w:tr w:rsidR="009E68D9" w:rsidRPr="00C67E5F" w14:paraId="3CFD369B" w14:textId="77777777">
        <w:tc>
          <w:tcPr>
            <w:tcW w:w="4674" w:type="dxa"/>
          </w:tcPr>
          <w:p w14:paraId="16E70749" w14:textId="71827D96" w:rsidR="009E68D9" w:rsidRPr="00C67E5F" w:rsidRDefault="009E68D9" w:rsidP="00021DEC">
            <w:pPr>
              <w:pStyle w:val="Kuupev1"/>
              <w:rPr>
                <w:noProof w:val="0"/>
              </w:rPr>
            </w:pPr>
            <w:r w:rsidRPr="00C67E5F">
              <w:rPr>
                <w:noProof w:val="0"/>
              </w:rPr>
              <w:t xml:space="preserve">17) </w:t>
            </w:r>
            <w:r w:rsidR="00021DEC" w:rsidRPr="00C67E5F">
              <w:rPr>
                <w:noProof w:val="0"/>
              </w:rPr>
              <w:t>Kas ja millised tingimused/piirangud (</w:t>
            </w:r>
            <w:proofErr w:type="spellStart"/>
            <w:r w:rsidR="00021DEC" w:rsidRPr="00C67E5F">
              <w:rPr>
                <w:noProof w:val="0"/>
              </w:rPr>
              <w:t>safe</w:t>
            </w:r>
            <w:proofErr w:type="spellEnd"/>
            <w:r w:rsidR="00021DEC" w:rsidRPr="00C67E5F">
              <w:rPr>
                <w:noProof w:val="0"/>
              </w:rPr>
              <w:t xml:space="preserve"> </w:t>
            </w:r>
            <w:proofErr w:type="spellStart"/>
            <w:r w:rsidR="00021DEC" w:rsidRPr="00C67E5F">
              <w:rPr>
                <w:noProof w:val="0"/>
              </w:rPr>
              <w:t>guard</w:t>
            </w:r>
            <w:proofErr w:type="spellEnd"/>
            <w:r w:rsidR="00021DEC" w:rsidRPr="00C67E5F">
              <w:rPr>
                <w:noProof w:val="0"/>
              </w:rPr>
              <w:t xml:space="preserve"> s) peaksid olema, et osamaksete kogumine turuosalistelt ei oleks liiga koormav?</w:t>
            </w:r>
          </w:p>
        </w:tc>
        <w:tc>
          <w:tcPr>
            <w:tcW w:w="4674" w:type="dxa"/>
          </w:tcPr>
          <w:p w14:paraId="380F4600" w14:textId="41EA499B" w:rsidR="009E68D9" w:rsidRPr="00C67E5F" w:rsidRDefault="00AE2300" w:rsidP="009E68D9">
            <w:pPr>
              <w:pStyle w:val="Kuupev1"/>
              <w:rPr>
                <w:noProof w:val="0"/>
              </w:rPr>
            </w:pPr>
            <w:r w:rsidRPr="00C67E5F">
              <w:rPr>
                <w:noProof w:val="0"/>
              </w:rPr>
              <w:t>Tuleks lähtuda põhimõttest, et heal ajal kogutakse rohkem ja kehval vähem. See tagab sektori jätkusuutlikkuse.</w:t>
            </w:r>
          </w:p>
        </w:tc>
      </w:tr>
      <w:tr w:rsidR="00021DEC" w:rsidRPr="00C67E5F" w14:paraId="390496FE" w14:textId="77777777">
        <w:tc>
          <w:tcPr>
            <w:tcW w:w="4674" w:type="dxa"/>
          </w:tcPr>
          <w:p w14:paraId="6C30B2D0" w14:textId="53A1A949" w:rsidR="00021DEC" w:rsidRPr="00C67E5F" w:rsidRDefault="00021DEC" w:rsidP="009E68D9">
            <w:pPr>
              <w:pStyle w:val="Kuupev1"/>
              <w:rPr>
                <w:noProof w:val="0"/>
              </w:rPr>
            </w:pPr>
            <w:r w:rsidRPr="00C67E5F">
              <w:rPr>
                <w:noProof w:val="0"/>
              </w:rPr>
              <w:t xml:space="preserve">18) </w:t>
            </w:r>
            <w:r w:rsidR="00796C80" w:rsidRPr="00C67E5F">
              <w:rPr>
                <w:noProof w:val="0"/>
              </w:rPr>
              <w:t>Kas on vajadus täpsemalt reguleerida vara paigutamise tingimused ja nõuded?</w:t>
            </w:r>
          </w:p>
        </w:tc>
        <w:tc>
          <w:tcPr>
            <w:tcW w:w="4674" w:type="dxa"/>
          </w:tcPr>
          <w:p w14:paraId="2348C043" w14:textId="06A40B6B" w:rsidR="00021DEC" w:rsidRPr="00C67E5F" w:rsidRDefault="00796C80" w:rsidP="009E68D9">
            <w:pPr>
              <w:pStyle w:val="Kuupev1"/>
              <w:rPr>
                <w:noProof w:val="0"/>
              </w:rPr>
            </w:pPr>
            <w:r w:rsidRPr="00C67E5F">
              <w:rPr>
                <w:noProof w:val="0"/>
              </w:rPr>
              <w:t>Ei näe vajadust muudatuseks.</w:t>
            </w:r>
          </w:p>
        </w:tc>
      </w:tr>
      <w:tr w:rsidR="009E68D9" w:rsidRPr="00C67E5F" w14:paraId="3AE48C2A" w14:textId="77777777">
        <w:tc>
          <w:tcPr>
            <w:tcW w:w="4674" w:type="dxa"/>
          </w:tcPr>
          <w:p w14:paraId="5924B285" w14:textId="23E6096A" w:rsidR="009E68D9" w:rsidRPr="00C67E5F" w:rsidRDefault="009E68D9" w:rsidP="005875C3">
            <w:pPr>
              <w:pStyle w:val="Kuupev1"/>
              <w:rPr>
                <w:noProof w:val="0"/>
              </w:rPr>
            </w:pPr>
            <w:r w:rsidRPr="00C67E5F">
              <w:rPr>
                <w:noProof w:val="0"/>
              </w:rPr>
              <w:t xml:space="preserve">19) </w:t>
            </w:r>
            <w:r w:rsidR="005875C3" w:rsidRPr="00C67E5F">
              <w:rPr>
                <w:noProof w:val="0"/>
              </w:rPr>
              <w:t>Kui Tagatisfondi funktsioonid antakse täielikult üle Finantsinspektsiooni le , kas sel juhul tuleks vara paigutamise nõuded sätestada jätkuvalt seaduse tasandil või muus vormis rahandusministri määrus, FI otsus või muul kujul) kujul)?</w:t>
            </w:r>
          </w:p>
        </w:tc>
        <w:tc>
          <w:tcPr>
            <w:tcW w:w="4674" w:type="dxa"/>
          </w:tcPr>
          <w:p w14:paraId="6FE18CD4" w14:textId="20FAFAEE" w:rsidR="009E68D9" w:rsidRPr="00C67E5F" w:rsidRDefault="00283D91" w:rsidP="009E68D9">
            <w:pPr>
              <w:pStyle w:val="Kuupev1"/>
              <w:rPr>
                <w:noProof w:val="0"/>
              </w:rPr>
            </w:pPr>
            <w:r>
              <w:rPr>
                <w:noProof w:val="0"/>
              </w:rPr>
              <w:t>Me ei toeta seda varianti. Pooldame variant 1.</w:t>
            </w:r>
          </w:p>
        </w:tc>
      </w:tr>
      <w:tr w:rsidR="009E68D9" w:rsidRPr="00C67E5F" w14:paraId="5988ECA5" w14:textId="77777777">
        <w:tc>
          <w:tcPr>
            <w:tcW w:w="4674" w:type="dxa"/>
          </w:tcPr>
          <w:p w14:paraId="6CE1F781" w14:textId="3F204E12" w:rsidR="009E68D9" w:rsidRPr="00C67E5F" w:rsidRDefault="009E68D9" w:rsidP="00AA4167">
            <w:pPr>
              <w:pStyle w:val="Kuupev1"/>
              <w:rPr>
                <w:noProof w:val="0"/>
              </w:rPr>
            </w:pPr>
            <w:r w:rsidRPr="00C67E5F">
              <w:rPr>
                <w:noProof w:val="0"/>
              </w:rPr>
              <w:t xml:space="preserve">20) </w:t>
            </w:r>
            <w:r w:rsidR="00AA4167" w:rsidRPr="00C67E5F">
              <w:rPr>
                <w:noProof w:val="0"/>
              </w:rPr>
              <w:t>Kui Tagatisfond eraldiseisva isikuna likvideeritakse ja Finantsinspektsioonile antakse täielikult üle tagatisskeemi funktsioon, siis mida see tähendaks ESA2010 metoodika klassifitseerimise mõttes kas see omab mõju ka riigieelarve positsiooni mõttes? Kas sel juhul võiksid Tagatisfondi varad olla Rahandusministeeriumi riigikassa osakonna hallata?</w:t>
            </w:r>
          </w:p>
        </w:tc>
        <w:tc>
          <w:tcPr>
            <w:tcW w:w="4674" w:type="dxa"/>
          </w:tcPr>
          <w:p w14:paraId="33E0FE4F" w14:textId="625B7763" w:rsidR="009E68D9" w:rsidRPr="00C67E5F" w:rsidRDefault="00283D91" w:rsidP="009E68D9">
            <w:pPr>
              <w:pStyle w:val="Kuupev1"/>
              <w:rPr>
                <w:noProof w:val="0"/>
              </w:rPr>
            </w:pPr>
            <w:r>
              <w:rPr>
                <w:noProof w:val="0"/>
              </w:rPr>
              <w:t>Me ei toeta seda varianti. Pooldame variant 1.</w:t>
            </w:r>
          </w:p>
        </w:tc>
      </w:tr>
      <w:tr w:rsidR="00AA4167" w:rsidRPr="00C67E5F" w14:paraId="1D755BBD" w14:textId="77777777">
        <w:tc>
          <w:tcPr>
            <w:tcW w:w="4674" w:type="dxa"/>
          </w:tcPr>
          <w:p w14:paraId="1AFDF97D" w14:textId="098F63F9" w:rsidR="00AA4167" w:rsidRPr="00C67E5F" w:rsidRDefault="00AA4167" w:rsidP="009E68D9">
            <w:pPr>
              <w:pStyle w:val="Kuupev1"/>
              <w:rPr>
                <w:noProof w:val="0"/>
              </w:rPr>
            </w:pPr>
            <w:r w:rsidRPr="00C67E5F">
              <w:rPr>
                <w:noProof w:val="0"/>
              </w:rPr>
              <w:t>21) Kas stressitestide tegemise juhised ja läbiviimine vajaks täpsemat regulatsiooni?</w:t>
            </w:r>
          </w:p>
        </w:tc>
        <w:tc>
          <w:tcPr>
            <w:tcW w:w="4674" w:type="dxa"/>
          </w:tcPr>
          <w:p w14:paraId="1C590083" w14:textId="5B8CB0FF" w:rsidR="00AA4167" w:rsidRPr="00C67E5F" w:rsidRDefault="00CF519C" w:rsidP="009E68D9">
            <w:pPr>
              <w:pStyle w:val="Kuupev1"/>
              <w:rPr>
                <w:noProof w:val="0"/>
              </w:rPr>
            </w:pPr>
            <w:r w:rsidRPr="00C67E5F">
              <w:rPr>
                <w:noProof w:val="0"/>
              </w:rPr>
              <w:t>Kui praktikas ei ole probleemi tekkinud, siis ei näe vajadust.</w:t>
            </w:r>
          </w:p>
        </w:tc>
      </w:tr>
      <w:tr w:rsidR="009E68D9" w:rsidRPr="00C67E5F" w14:paraId="0EDA819C" w14:textId="77777777">
        <w:tc>
          <w:tcPr>
            <w:tcW w:w="4674" w:type="dxa"/>
          </w:tcPr>
          <w:p w14:paraId="74EB6EDF" w14:textId="1FDD1D77" w:rsidR="009E68D9" w:rsidRPr="00C67E5F" w:rsidRDefault="009E68D9" w:rsidP="00C47F85">
            <w:pPr>
              <w:pStyle w:val="Kuupev1"/>
              <w:rPr>
                <w:noProof w:val="0"/>
              </w:rPr>
            </w:pPr>
            <w:r w:rsidRPr="00C67E5F">
              <w:rPr>
                <w:noProof w:val="0"/>
              </w:rPr>
              <w:t xml:space="preserve">22) </w:t>
            </w:r>
            <w:r w:rsidR="00C47F85" w:rsidRPr="00C67E5F">
              <w:rPr>
                <w:noProof w:val="0"/>
              </w:rPr>
              <w:t>Kas tagatisskeemi võimekus sõlmida teiste riikide tagatisskeemidega koostöökokkuleppeid suureneb või olemasolevate rakendamine muutub efektiivsemaks, kui Tagatisfondi funktsioonid viiakse täielikult Finantsinspektsiooni alla? Kas tuleks seadusega täpsemalt reguleerida tagatisskeemide vahel sõlmitavate koostöölepete sisu ja vorm?</w:t>
            </w:r>
            <w:r w:rsidRPr="00C67E5F">
              <w:rPr>
                <w:noProof w:val="0"/>
              </w:rPr>
              <w:t xml:space="preserve"> </w:t>
            </w:r>
          </w:p>
        </w:tc>
        <w:tc>
          <w:tcPr>
            <w:tcW w:w="4674" w:type="dxa"/>
          </w:tcPr>
          <w:p w14:paraId="070967A9" w14:textId="1DDF0478" w:rsidR="009E68D9" w:rsidRPr="00C67E5F" w:rsidRDefault="00283D91" w:rsidP="009E68D9">
            <w:pPr>
              <w:pStyle w:val="Kuupev1"/>
              <w:rPr>
                <w:noProof w:val="0"/>
              </w:rPr>
            </w:pPr>
            <w:r>
              <w:rPr>
                <w:noProof w:val="0"/>
              </w:rPr>
              <w:t>Me ei toeta seda varianti. Pooldame variant 1.</w:t>
            </w:r>
          </w:p>
        </w:tc>
      </w:tr>
      <w:tr w:rsidR="00C47F85" w:rsidRPr="00C67E5F" w14:paraId="07685E9F" w14:textId="77777777">
        <w:tc>
          <w:tcPr>
            <w:tcW w:w="4674" w:type="dxa"/>
          </w:tcPr>
          <w:p w14:paraId="648BE926" w14:textId="77777777" w:rsidR="00624B0E" w:rsidRPr="00C67E5F" w:rsidRDefault="00C47F85" w:rsidP="00624B0E">
            <w:pPr>
              <w:pStyle w:val="Kuupev1"/>
              <w:rPr>
                <w:noProof w:val="0"/>
              </w:rPr>
            </w:pPr>
            <w:r w:rsidRPr="00C67E5F">
              <w:rPr>
                <w:noProof w:val="0"/>
              </w:rPr>
              <w:t xml:space="preserve">23) </w:t>
            </w:r>
            <w:r w:rsidR="00624B0E" w:rsidRPr="00C67E5F">
              <w:rPr>
                <w:noProof w:val="0"/>
              </w:rPr>
              <w:t>Kas oleks vaja seadusandlikult täpsemalt ja ulatuslikumalt reguleerida avalikkuse teadlikkuse</w:t>
            </w:r>
          </w:p>
          <w:p w14:paraId="36045B4A" w14:textId="0E334C52" w:rsidR="00C47F85" w:rsidRPr="00C67E5F" w:rsidRDefault="00624B0E" w:rsidP="00624B0E">
            <w:pPr>
              <w:pStyle w:val="Kuupev1"/>
              <w:rPr>
                <w:noProof w:val="0"/>
              </w:rPr>
            </w:pPr>
            <w:r w:rsidRPr="00C67E5F">
              <w:rPr>
                <w:noProof w:val="0"/>
              </w:rPr>
              <w:lastRenderedPageBreak/>
              <w:t>tõstmine tagatisskeemidest ning sellega kaasnevast kaitsest ja hüvest?</w:t>
            </w:r>
          </w:p>
        </w:tc>
        <w:tc>
          <w:tcPr>
            <w:tcW w:w="4674" w:type="dxa"/>
          </w:tcPr>
          <w:p w14:paraId="602F0890" w14:textId="292047D7" w:rsidR="00C47F85" w:rsidRPr="00C67E5F" w:rsidRDefault="00C5422A" w:rsidP="009E68D9">
            <w:pPr>
              <w:pStyle w:val="Kuupev1"/>
              <w:rPr>
                <w:noProof w:val="0"/>
              </w:rPr>
            </w:pPr>
            <w:r>
              <w:rPr>
                <w:noProof w:val="0"/>
              </w:rPr>
              <w:lastRenderedPageBreak/>
              <w:t>Ei. See suurendab moraaliriski.</w:t>
            </w:r>
          </w:p>
        </w:tc>
      </w:tr>
      <w:tr w:rsidR="009E68D9" w:rsidRPr="00C67E5F" w14:paraId="4CCE779C" w14:textId="77777777">
        <w:tc>
          <w:tcPr>
            <w:tcW w:w="4674" w:type="dxa"/>
          </w:tcPr>
          <w:p w14:paraId="6FAAEE86" w14:textId="50DBE690" w:rsidR="009E68D9" w:rsidRPr="00C67E5F" w:rsidRDefault="009E68D9" w:rsidP="00AE1A24">
            <w:pPr>
              <w:pStyle w:val="Kuupev1"/>
              <w:rPr>
                <w:noProof w:val="0"/>
              </w:rPr>
            </w:pPr>
            <w:r w:rsidRPr="00C67E5F">
              <w:rPr>
                <w:noProof w:val="0"/>
              </w:rPr>
              <w:t xml:space="preserve">24) </w:t>
            </w:r>
            <w:r w:rsidR="00AE1A24">
              <w:rPr>
                <w:noProof w:val="0"/>
              </w:rPr>
              <w:t>Kas tuleks hoiuste tagamise osafondi kogutud vahendite kasutamise ulatust Eestis laiendada ning kasutada EL hoiuste tagamise direktiivi artiklis ettenähtud 11 võimalusi st lubada vahendite kasutamist muudel eesmärkidel kui hoiuste hüvitamine)</w:t>
            </w:r>
          </w:p>
        </w:tc>
        <w:tc>
          <w:tcPr>
            <w:tcW w:w="4674" w:type="dxa"/>
          </w:tcPr>
          <w:p w14:paraId="0B8D7502" w14:textId="6213D3AE" w:rsidR="009E68D9" w:rsidRPr="00C67E5F" w:rsidRDefault="00AE1A24" w:rsidP="009E68D9">
            <w:pPr>
              <w:pStyle w:val="Kuupev1"/>
              <w:rPr>
                <w:noProof w:val="0"/>
              </w:rPr>
            </w:pPr>
            <w:r>
              <w:rPr>
                <w:noProof w:val="0"/>
              </w:rPr>
              <w:t>Seisukoht puudub.</w:t>
            </w:r>
          </w:p>
        </w:tc>
      </w:tr>
      <w:tr w:rsidR="00AE1A24" w:rsidRPr="00C67E5F" w14:paraId="34CE3E06" w14:textId="77777777">
        <w:tc>
          <w:tcPr>
            <w:tcW w:w="4674" w:type="dxa"/>
          </w:tcPr>
          <w:p w14:paraId="22683A8C" w14:textId="4BA3628E" w:rsidR="00AE1A24" w:rsidRPr="00C67E5F" w:rsidRDefault="00AE1A24" w:rsidP="009E68D9">
            <w:pPr>
              <w:pStyle w:val="Kuupev1"/>
              <w:rPr>
                <w:noProof w:val="0"/>
              </w:rPr>
            </w:pPr>
            <w:r w:rsidRPr="00C67E5F">
              <w:rPr>
                <w:noProof w:val="0"/>
              </w:rPr>
              <w:t>25) Kas Tagatisfondile tuleks anda hoopis suuremad volitused kriisilahenduses?</w:t>
            </w:r>
            <w:r>
              <w:rPr>
                <w:noProof w:val="0"/>
              </w:rPr>
              <w:t xml:space="preserve"> </w:t>
            </w:r>
          </w:p>
        </w:tc>
        <w:tc>
          <w:tcPr>
            <w:tcW w:w="4674" w:type="dxa"/>
          </w:tcPr>
          <w:p w14:paraId="139ACD9A" w14:textId="7EAFC668" w:rsidR="00AE1A24" w:rsidRPr="00C67E5F" w:rsidRDefault="00DC4D39" w:rsidP="009E68D9">
            <w:pPr>
              <w:pStyle w:val="Kuupev1"/>
              <w:rPr>
                <w:noProof w:val="0"/>
              </w:rPr>
            </w:pPr>
            <w:r>
              <w:rPr>
                <w:noProof w:val="0"/>
              </w:rPr>
              <w:t>Ei. Kriisilahendus võiks jääda Finantsinspektsiooni vastutusalasse.</w:t>
            </w:r>
          </w:p>
        </w:tc>
      </w:tr>
      <w:tr w:rsidR="009E68D9" w:rsidRPr="00C67E5F" w14:paraId="72DA47A9" w14:textId="77777777">
        <w:tc>
          <w:tcPr>
            <w:tcW w:w="4674" w:type="dxa"/>
          </w:tcPr>
          <w:p w14:paraId="27CF8A1E" w14:textId="5E638AFB" w:rsidR="009E68D9" w:rsidRPr="00C67E5F" w:rsidRDefault="009E68D9" w:rsidP="00AE030D">
            <w:pPr>
              <w:pStyle w:val="Kuupev1"/>
              <w:rPr>
                <w:noProof w:val="0"/>
              </w:rPr>
            </w:pPr>
            <w:r w:rsidRPr="00C67E5F">
              <w:rPr>
                <w:noProof w:val="0"/>
              </w:rPr>
              <w:t xml:space="preserve">26) </w:t>
            </w:r>
            <w:r w:rsidR="00AE030D">
              <w:rPr>
                <w:noProof w:val="0"/>
              </w:rPr>
              <w:t>Kas Tagatisfondi reformimise raames tuleks konsolideerida pensionikaitse osafond ja pensionilepingute osafond? Või kas eraldi pensionikaitse ja pensionilepingute osafondidest võiks üldse loobuda, nö liites näiteks pensionikaitse osafondi ja investorkaitse osafondi ning viies pensionilepingute osafondi uude loodavasse kindlustusandjate kriisilahenduse osafondi ?</w:t>
            </w:r>
          </w:p>
        </w:tc>
        <w:tc>
          <w:tcPr>
            <w:tcW w:w="4674" w:type="dxa"/>
          </w:tcPr>
          <w:p w14:paraId="7675A86F" w14:textId="0B307124" w:rsidR="009E68D9" w:rsidRDefault="008B148B" w:rsidP="009E68D9">
            <w:pPr>
              <w:pStyle w:val="Kuupev1"/>
              <w:rPr>
                <w:noProof w:val="0"/>
              </w:rPr>
            </w:pPr>
            <w:r>
              <w:rPr>
                <w:noProof w:val="0"/>
              </w:rPr>
              <w:t xml:space="preserve">Pooldame seisukohta, et pensionilepingute osafondi võiks viia kindlustusandjate kriisilahenduse osafondi koosseisu. Pensionilepingute näol on tegemist kindlustusega, mis oma olemuselt ning sisult sobib paremini kindlustustegevusega kaasnevate riskide katteks mõeldud osafondi riskiprofiiliga. </w:t>
            </w:r>
          </w:p>
          <w:p w14:paraId="00475BCE" w14:textId="77777777" w:rsidR="008B148B" w:rsidRDefault="008B148B" w:rsidP="009E68D9">
            <w:pPr>
              <w:pStyle w:val="Kuupev1"/>
              <w:rPr>
                <w:noProof w:val="0"/>
              </w:rPr>
            </w:pPr>
            <w:r>
              <w:rPr>
                <w:noProof w:val="0"/>
              </w:rPr>
              <w:t xml:space="preserve">Riskiprofiili mõttes on pensionilepingute ja pensionikaitse osafondi riskiprofiilid märksa erinevamad. </w:t>
            </w:r>
          </w:p>
          <w:p w14:paraId="5FF270B2" w14:textId="66E52849" w:rsidR="008B148B" w:rsidRPr="00C67E5F" w:rsidRDefault="008B148B" w:rsidP="009E68D9">
            <w:pPr>
              <w:pStyle w:val="Kuupev1"/>
              <w:rPr>
                <w:noProof w:val="0"/>
              </w:rPr>
            </w:pPr>
            <w:r>
              <w:rPr>
                <w:noProof w:val="0"/>
              </w:rPr>
              <w:t>Pensionikaitse ja investorikaitse osafondide riskiprofiilid on omavahel sarnasemad aga nende liitmise osas meil seisukoht puudub.</w:t>
            </w:r>
          </w:p>
        </w:tc>
      </w:tr>
    </w:tbl>
    <w:p w14:paraId="7E236E0F" w14:textId="66385FF6" w:rsidR="00A46145" w:rsidRDefault="00A46145" w:rsidP="00A46145">
      <w:pPr>
        <w:pStyle w:val="Kuupev1"/>
      </w:pPr>
    </w:p>
    <w:sectPr w:rsidR="00A46145" w:rsidSect="00BE3A07">
      <w:headerReference w:type="default" r:id="rId8"/>
      <w:headerReference w:type="first" r:id="rId9"/>
      <w:pgSz w:w="11906" w:h="16838" w:code="9"/>
      <w:pgMar w:top="1134" w:right="851" w:bottom="1134" w:left="1701" w:header="113" w:footer="567"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43D37" w14:textId="77777777" w:rsidR="00EF363A" w:rsidRPr="00C67E5F" w:rsidRDefault="00EF363A">
      <w:r w:rsidRPr="00C67E5F">
        <w:separator/>
      </w:r>
    </w:p>
  </w:endnote>
  <w:endnote w:type="continuationSeparator" w:id="0">
    <w:p w14:paraId="4C00E0DE" w14:textId="77777777" w:rsidR="00EF363A" w:rsidRPr="00C67E5F" w:rsidRDefault="00EF363A">
      <w:r w:rsidRPr="00C67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9C38A" w14:textId="77777777" w:rsidR="00EF363A" w:rsidRPr="00C67E5F" w:rsidRDefault="00EF363A">
      <w:r w:rsidRPr="00C67E5F">
        <w:separator/>
      </w:r>
    </w:p>
  </w:footnote>
  <w:footnote w:type="continuationSeparator" w:id="0">
    <w:p w14:paraId="65D3DD56" w14:textId="77777777" w:rsidR="00EF363A" w:rsidRPr="00C67E5F" w:rsidRDefault="00EF363A">
      <w:r w:rsidRPr="00C67E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773973"/>
      <w:docPartObj>
        <w:docPartGallery w:val="Page Numbers (Top of Page)"/>
        <w:docPartUnique/>
      </w:docPartObj>
    </w:sdtPr>
    <w:sdtEndPr/>
    <w:sdtContent>
      <w:p w14:paraId="0812BC55" w14:textId="77777777" w:rsidR="00BE3A07" w:rsidRPr="00C67E5F" w:rsidRDefault="00BE3A07">
        <w:pPr>
          <w:pStyle w:val="Pis"/>
          <w:jc w:val="center"/>
        </w:pPr>
        <w:r w:rsidRPr="00C67E5F">
          <w:rPr>
            <w:noProof/>
          </w:rPr>
          <mc:AlternateContent>
            <mc:Choice Requires="wps">
              <w:drawing>
                <wp:anchor distT="0" distB="0" distL="114300" distR="114300" simplePos="0" relativeHeight="251663360" behindDoc="0" locked="0" layoutInCell="1" allowOverlap="1" wp14:anchorId="696EF3B0" wp14:editId="523E6F49">
                  <wp:simplePos x="0" y="0"/>
                  <wp:positionH relativeFrom="page">
                    <wp:posOffset>-323850</wp:posOffset>
                  </wp:positionH>
                  <wp:positionV relativeFrom="paragraph">
                    <wp:posOffset>-71755</wp:posOffset>
                  </wp:positionV>
                  <wp:extent cx="7861465" cy="45719"/>
                  <wp:effectExtent l="0" t="0" r="25400" b="12065"/>
                  <wp:wrapNone/>
                  <wp:docPr id="787509080" name="Rectangle 9"/>
                  <wp:cNvGraphicFramePr/>
                  <a:graphic xmlns:a="http://schemas.openxmlformats.org/drawingml/2006/main">
                    <a:graphicData uri="http://schemas.microsoft.com/office/word/2010/wordprocessingShape">
                      <wps:wsp>
                        <wps:cNvSpPr/>
                        <wps:spPr>
                          <a:xfrm>
                            <a:off x="0" y="0"/>
                            <a:ext cx="7861465" cy="45719"/>
                          </a:xfrm>
                          <a:prstGeom prst="rect">
                            <a:avLst/>
                          </a:prstGeom>
                          <a:solidFill>
                            <a:srgbClr val="471A83"/>
                          </a:solidFill>
                          <a:ln w="25400" cap="flat" cmpd="sng" algn="ctr">
                            <a:solidFill>
                              <a:schemeClr val="accent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624D0" id="Rectangle 9" o:spid="_x0000_s1026" style="position:absolute;margin-left:-25.5pt;margin-top:-5.65pt;width:619pt;height:3.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" fillcolor="#471a83" strokecolor="#471a83 [3204]" strokeweight="2pt">
                  <w10:wrap anchorx="page"/>
                </v:rect>
              </w:pict>
            </mc:Fallback>
          </mc:AlternateContent>
        </w:r>
        <w:r w:rsidRPr="00C67E5F">
          <w:fldChar w:fldCharType="begin"/>
        </w:r>
        <w:r w:rsidRPr="00C67E5F">
          <w:instrText>PAGE   \* MERGEFORMAT</w:instrText>
        </w:r>
        <w:r w:rsidRPr="00C67E5F">
          <w:fldChar w:fldCharType="separate"/>
        </w:r>
        <w:r w:rsidRPr="00C67E5F">
          <w:t>2</w:t>
        </w:r>
        <w:r w:rsidRPr="00C67E5F">
          <w:fldChar w:fldCharType="end"/>
        </w:r>
      </w:p>
    </w:sdtContent>
  </w:sdt>
  <w:p w14:paraId="51CFBD54" w14:textId="77777777" w:rsidR="00037DEB" w:rsidRPr="00C67E5F" w:rsidRDefault="00037DEB">
    <w:pPr>
      <w:pStyle w:val="Pi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FFE7" w14:textId="77777777" w:rsidR="003C4520" w:rsidRPr="00C67E5F" w:rsidRDefault="003C4520">
    <w:pPr>
      <w:pStyle w:val="Pis"/>
    </w:pPr>
    <w:r w:rsidRPr="00C67E5F">
      <w:rPr>
        <w:noProof/>
      </w:rPr>
      <mc:AlternateContent>
        <mc:Choice Requires="wps">
          <w:drawing>
            <wp:anchor distT="0" distB="0" distL="114300" distR="114300" simplePos="0" relativeHeight="251661312" behindDoc="0" locked="0" layoutInCell="1" allowOverlap="1" wp14:anchorId="6CD2F838" wp14:editId="62580D30">
              <wp:simplePos x="0" y="0"/>
              <wp:positionH relativeFrom="page">
                <wp:posOffset>-231775</wp:posOffset>
              </wp:positionH>
              <wp:positionV relativeFrom="paragraph">
                <wp:posOffset>-84929</wp:posOffset>
              </wp:positionV>
              <wp:extent cx="7790180" cy="45719"/>
              <wp:effectExtent l="0" t="0" r="20320" b="12065"/>
              <wp:wrapNone/>
              <wp:docPr id="756343167" name="Rectangle 9"/>
              <wp:cNvGraphicFramePr/>
              <a:graphic xmlns:a="http://schemas.openxmlformats.org/drawingml/2006/main">
                <a:graphicData uri="http://schemas.microsoft.com/office/word/2010/wordprocessingShape">
                  <wps:wsp>
                    <wps:cNvSpPr/>
                    <wps:spPr>
                      <a:xfrm>
                        <a:off x="0" y="0"/>
                        <a:ext cx="7790180" cy="45719"/>
                      </a:xfrm>
                      <a:prstGeom prst="rect">
                        <a:avLst/>
                      </a:prstGeom>
                      <a:solidFill>
                        <a:srgbClr val="471A83"/>
                      </a:solidFill>
                      <a:ln w="25400" cap="flat" cmpd="sng" algn="ctr">
                        <a:solidFill>
                          <a:schemeClr val="accent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FC334" id="Rectangle 9" o:spid="_x0000_s1026" style="position:absolute;margin-left:-18.25pt;margin-top:-6.7pt;width:613.4pt;height:3.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" fillcolor="#471a83" strokecolor="#471a83 [3204]" strokeweight="2pt">
              <w10:wrap anchorx="page"/>
            </v:rect>
          </w:pict>
        </mc:Fallback>
      </mc:AlternateContent>
    </w:r>
    <w:r w:rsidRPr="00C67E5F">
      <w:rPr>
        <w:noProof/>
      </w:rPr>
      <w:drawing>
        <wp:anchor distT="0" distB="0" distL="114300" distR="114300" simplePos="0" relativeHeight="251659264" behindDoc="0" locked="0" layoutInCell="1" allowOverlap="1" wp14:anchorId="4A97CEC9" wp14:editId="07F15A05">
          <wp:simplePos x="0" y="0"/>
          <wp:positionH relativeFrom="margin">
            <wp:posOffset>-775335</wp:posOffset>
          </wp:positionH>
          <wp:positionV relativeFrom="paragraph">
            <wp:posOffset>137795</wp:posOffset>
          </wp:positionV>
          <wp:extent cx="6477635" cy="1196975"/>
          <wp:effectExtent l="0" t="0" r="0" b="3175"/>
          <wp:wrapSquare wrapText="bothSides"/>
          <wp:docPr id="1804363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63503" name="Picture 1804363503"/>
                  <pic:cNvPicPr/>
                </pic:nvPicPr>
                <pic:blipFill>
                  <a:blip r:embed="rId1">
                    <a:extLst>
                      <a:ext uri="{28A0092B-C50C-407E-A947-70E740481C1C}">
                        <a14:useLocalDpi xmlns:a14="http://schemas.microsoft.com/office/drawing/2010/main" val="0"/>
                      </a:ext>
                    </a:extLst>
                  </a:blip>
                  <a:stretch>
                    <a:fillRect/>
                  </a:stretch>
                </pic:blipFill>
                <pic:spPr>
                  <a:xfrm>
                    <a:off x="0" y="0"/>
                    <a:ext cx="6477635" cy="1196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6366"/>
    <w:multiLevelType w:val="multilevel"/>
    <w:tmpl w:val="A386FE56"/>
    <w:lvl w:ilvl="0">
      <w:start w:val="1"/>
      <w:numFmt w:val="decimal"/>
      <w:pStyle w:val="Punktidegasisu"/>
      <w:lvlText w:val="%1."/>
      <w:lvlJc w:val="left"/>
      <w:pPr>
        <w:ind w:left="717" w:hanging="360"/>
      </w:pPr>
    </w:lvl>
    <w:lvl w:ilvl="1">
      <w:start w:val="1"/>
      <w:numFmt w:val="decimal"/>
      <w:lvlText w:val="%1.%2."/>
      <w:lvlJc w:val="left"/>
      <w:pPr>
        <w:tabs>
          <w:tab w:val="num" w:pos="1208"/>
        </w:tabs>
        <w:ind w:left="1208" w:hanging="851"/>
      </w:pPr>
      <w:rPr>
        <w:rFonts w:hint="default"/>
      </w:rPr>
    </w:lvl>
    <w:lvl w:ilvl="2">
      <w:start w:val="1"/>
      <w:numFmt w:val="decimal"/>
      <w:lvlText w:val="%1.%2.%3."/>
      <w:lvlJc w:val="left"/>
      <w:pPr>
        <w:tabs>
          <w:tab w:val="num" w:pos="1208"/>
        </w:tabs>
        <w:ind w:left="1208" w:hanging="851"/>
      </w:pPr>
      <w:rPr>
        <w:rFonts w:hint="default"/>
      </w:rPr>
    </w:lvl>
    <w:lvl w:ilvl="3">
      <w:start w:val="1"/>
      <w:numFmt w:val="decimal"/>
      <w:lvlRestart w:val="0"/>
      <w:lvlText w:val="%1.%2.%3.%4"/>
      <w:lvlJc w:val="left"/>
      <w:pPr>
        <w:tabs>
          <w:tab w:val="num" w:pos="1208"/>
        </w:tabs>
        <w:ind w:left="1208" w:hanging="851"/>
      </w:pPr>
      <w:rPr>
        <w:rFonts w:hint="default"/>
      </w:rPr>
    </w:lvl>
    <w:lvl w:ilvl="4">
      <w:start w:val="1"/>
      <w:numFmt w:val="decimal"/>
      <w:lvlText w:val="(%5)"/>
      <w:lvlJc w:val="left"/>
      <w:pPr>
        <w:tabs>
          <w:tab w:val="num" w:pos="4033"/>
        </w:tabs>
        <w:ind w:left="4033" w:hanging="720"/>
      </w:pPr>
      <w:rPr>
        <w:rFonts w:hint="default"/>
      </w:rPr>
    </w:lvl>
    <w:lvl w:ilvl="5">
      <w:start w:val="1"/>
      <w:numFmt w:val="lowerRoman"/>
      <w:lvlText w:val="%6."/>
      <w:lvlJc w:val="right"/>
      <w:pPr>
        <w:tabs>
          <w:tab w:val="num" w:pos="4393"/>
        </w:tabs>
        <w:ind w:left="4393" w:hanging="180"/>
      </w:pPr>
      <w:rPr>
        <w:rFonts w:hint="default"/>
      </w:rPr>
    </w:lvl>
    <w:lvl w:ilvl="6">
      <w:start w:val="1"/>
      <w:numFmt w:val="decimal"/>
      <w:lvlText w:val="%7."/>
      <w:lvlJc w:val="left"/>
      <w:pPr>
        <w:tabs>
          <w:tab w:val="num" w:pos="5113"/>
        </w:tabs>
        <w:ind w:left="5113" w:hanging="360"/>
      </w:pPr>
      <w:rPr>
        <w:rFonts w:hint="default"/>
      </w:rPr>
    </w:lvl>
    <w:lvl w:ilvl="7">
      <w:start w:val="1"/>
      <w:numFmt w:val="lowerLetter"/>
      <w:lvlText w:val="%8."/>
      <w:lvlJc w:val="left"/>
      <w:pPr>
        <w:tabs>
          <w:tab w:val="num" w:pos="5833"/>
        </w:tabs>
        <w:ind w:left="5833" w:hanging="360"/>
      </w:pPr>
      <w:rPr>
        <w:rFonts w:hint="default"/>
      </w:rPr>
    </w:lvl>
    <w:lvl w:ilvl="8">
      <w:start w:val="1"/>
      <w:numFmt w:val="lowerRoman"/>
      <w:lvlText w:val="%9."/>
      <w:lvlJc w:val="right"/>
      <w:pPr>
        <w:tabs>
          <w:tab w:val="num" w:pos="6553"/>
        </w:tabs>
        <w:ind w:left="6553" w:hanging="180"/>
      </w:pPr>
      <w:rPr>
        <w:rFonts w:hint="default"/>
      </w:rPr>
    </w:lvl>
  </w:abstractNum>
  <w:abstractNum w:abstractNumId="1" w15:restartNumberingAfterBreak="0">
    <w:nsid w:val="0FFE2A63"/>
    <w:multiLevelType w:val="multilevel"/>
    <w:tmpl w:val="4A72496C"/>
    <w:lvl w:ilvl="0">
      <w:start w:val="1"/>
      <w:numFmt w:val="bullet"/>
      <w:pStyle w:val="Loetelu"/>
      <w:lvlText w:val=""/>
      <w:lvlJc w:val="left"/>
      <w:pPr>
        <w:tabs>
          <w:tab w:val="num" w:pos="720"/>
        </w:tabs>
        <w:ind w:left="720" w:hanging="360"/>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31401734"/>
    <w:multiLevelType w:val="multilevel"/>
    <w:tmpl w:val="68920794"/>
    <w:lvl w:ilvl="0">
      <w:start w:val="1"/>
      <w:numFmt w:val="decimal"/>
      <w:pStyle w:val="Pealkiri1"/>
      <w:lvlText w:val="%1."/>
      <w:lvlJc w:val="left"/>
      <w:pPr>
        <w:ind w:left="432" w:hanging="432"/>
      </w:pPr>
      <w:rPr>
        <w:rFonts w:hint="default"/>
      </w:rPr>
    </w:lvl>
    <w:lvl w:ilvl="1">
      <w:start w:val="1"/>
      <w:numFmt w:val="decimal"/>
      <w:pStyle w:val="Pealkiri2"/>
      <w:lvlText w:val="%1.%2."/>
      <w:lvlJc w:val="left"/>
      <w:pPr>
        <w:ind w:left="576" w:hanging="576"/>
      </w:pPr>
      <w:rPr>
        <w:rFonts w:hint="default"/>
      </w:rPr>
    </w:lvl>
    <w:lvl w:ilvl="2">
      <w:start w:val="1"/>
      <w:numFmt w:val="decimal"/>
      <w:pStyle w:val="Pealkiri3"/>
      <w:lvlText w:val="%1.%2.%3."/>
      <w:lvlJc w:val="left"/>
      <w:pPr>
        <w:ind w:left="720" w:hanging="720"/>
      </w:pPr>
      <w:rPr>
        <w:rFonts w:hint="default"/>
      </w:rPr>
    </w:lvl>
    <w:lvl w:ilvl="3">
      <w:start w:val="1"/>
      <w:numFmt w:val="decimal"/>
      <w:pStyle w:val="Pealkiri4"/>
      <w:lvlText w:val="%1.%2.%3.%4."/>
      <w:lvlJc w:val="left"/>
      <w:pPr>
        <w:ind w:left="864" w:hanging="864"/>
      </w:pPr>
      <w:rPr>
        <w:rFonts w:hint="default"/>
      </w:rPr>
    </w:lvl>
    <w:lvl w:ilvl="4">
      <w:start w:val="1"/>
      <w:numFmt w:val="decimal"/>
      <w:pStyle w:val="Pealkiri5"/>
      <w:lvlText w:val="%1.%2.%3.%4.%5."/>
      <w:lvlJc w:val="left"/>
      <w:pPr>
        <w:ind w:left="1008" w:hanging="1008"/>
      </w:pPr>
      <w:rPr>
        <w:rFonts w:hint="default"/>
      </w:rPr>
    </w:lvl>
    <w:lvl w:ilvl="5">
      <w:start w:val="1"/>
      <w:numFmt w:val="decimal"/>
      <w:pStyle w:val="Pealkiri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5AD5C49"/>
    <w:multiLevelType w:val="multilevel"/>
    <w:tmpl w:val="54B06B9E"/>
    <w:lvl w:ilvl="0">
      <w:start w:val="2"/>
      <w:numFmt w:val="decimal"/>
      <w:lvlText w:val="%1."/>
      <w:lvlJc w:val="left"/>
      <w:pPr>
        <w:ind w:left="680" w:hanging="680"/>
      </w:pPr>
      <w:rPr>
        <w:rFonts w:hint="default"/>
      </w:rPr>
    </w:lvl>
    <w:lvl w:ilvl="1">
      <w:start w:val="1"/>
      <w:numFmt w:val="decimal"/>
      <w:pStyle w:val="Nummerdatudloetelu"/>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ind w:left="397" w:hanging="397"/>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D1D76B1"/>
    <w:multiLevelType w:val="multilevel"/>
    <w:tmpl w:val="B376698A"/>
    <w:lvl w:ilvl="0">
      <w:start w:val="1"/>
      <w:numFmt w:val="decimal"/>
      <w:lvlText w:val="%1."/>
      <w:lvlJc w:val="left"/>
      <w:pPr>
        <w:tabs>
          <w:tab w:val="num" w:pos="794"/>
        </w:tabs>
        <w:ind w:left="794" w:hanging="794"/>
      </w:pPr>
      <w:rPr>
        <w:rFonts w:ascii="Arial" w:hAnsi="Arial" w:hint="default"/>
        <w:b/>
        <w:i w:val="0"/>
        <w:caps w:val="0"/>
        <w:color w:val="auto"/>
        <w:sz w:val="24"/>
      </w:rPr>
    </w:lvl>
    <w:lvl w:ilvl="1">
      <w:start w:val="1"/>
      <w:numFmt w:val="decimal"/>
      <w:lvlText w:val="%1.%2"/>
      <w:lvlJc w:val="left"/>
      <w:pPr>
        <w:tabs>
          <w:tab w:val="num" w:pos="794"/>
        </w:tabs>
        <w:ind w:left="794" w:hanging="794"/>
      </w:pPr>
      <w:rPr>
        <w:rFonts w:ascii="Arial" w:hAnsi="Arial" w:hint="default"/>
        <w:b w:val="0"/>
        <w:i w:val="0"/>
        <w:sz w:val="20"/>
      </w:rPr>
    </w:lvl>
    <w:lvl w:ilvl="2">
      <w:start w:val="1"/>
      <w:numFmt w:val="decimal"/>
      <w:lvlText w:val="%1.%2.%3"/>
      <w:lvlJc w:val="left"/>
      <w:pPr>
        <w:tabs>
          <w:tab w:val="num" w:pos="794"/>
        </w:tabs>
        <w:ind w:left="794" w:hanging="794"/>
      </w:pPr>
      <w:rPr>
        <w:rFonts w:ascii="Arial" w:hAnsi="Arial" w:hint="default"/>
        <w:b w:val="0"/>
        <w:i w:val="0"/>
        <w:sz w:val="20"/>
      </w:rPr>
    </w:lvl>
    <w:lvl w:ilvl="3">
      <w:start w:val="1"/>
      <w:numFmt w:val="decimal"/>
      <w:lvlText w:val="%1.%2.%3.%4"/>
      <w:lvlJc w:val="left"/>
      <w:pPr>
        <w:tabs>
          <w:tab w:val="num" w:pos="794"/>
        </w:tabs>
        <w:ind w:left="794" w:hanging="794"/>
      </w:pPr>
      <w:rPr>
        <w:rFonts w:ascii="Arial" w:hAnsi="Arial" w:hint="default"/>
        <w:b w:val="0"/>
        <w:i w:val="0"/>
        <w:sz w:val="20"/>
      </w:rPr>
    </w:lvl>
    <w:lvl w:ilvl="4">
      <w:start w:val="1"/>
      <w:numFmt w:val="decimal"/>
      <w:lvlText w:val=".%1%2%3%4"/>
      <w:lvlJc w:val="left"/>
      <w:pPr>
        <w:tabs>
          <w:tab w:val="num" w:pos="1361"/>
        </w:tabs>
        <w:ind w:left="680" w:firstLine="681"/>
      </w:pPr>
      <w:rPr>
        <w:rFonts w:ascii="Arial" w:hAnsi="Arial" w:hint="default"/>
        <w:b w:val="0"/>
        <w:i w:val="0"/>
        <w:sz w:val="20"/>
      </w:rPr>
    </w:lvl>
    <w:lvl w:ilvl="5">
      <w:start w:val="1"/>
      <w:numFmt w:val="decimal"/>
      <w:lvlText w:val="%1.%2.%3.%4.%5.%6"/>
      <w:lvlJc w:val="left"/>
      <w:pPr>
        <w:ind w:left="1152" w:hanging="1152"/>
      </w:pPr>
      <w:rPr>
        <w:rFonts w:ascii="Arial" w:hAnsi="Arial" w:hint="default"/>
        <w:b w:val="0"/>
        <w:i w:val="0"/>
        <w:sz w:val="20"/>
      </w:rPr>
    </w:lvl>
    <w:lvl w:ilvl="6">
      <w:start w:val="1"/>
      <w:numFmt w:val="decimal"/>
      <w:pStyle w:val="Pealkiri7"/>
      <w:lvlText w:val="%1.%2.%3.%4.%5.%6.%7"/>
      <w:lvlJc w:val="left"/>
      <w:pPr>
        <w:ind w:left="1296" w:hanging="1296"/>
      </w:pPr>
      <w:rPr>
        <w:rFonts w:hint="default"/>
      </w:rPr>
    </w:lvl>
    <w:lvl w:ilvl="7">
      <w:start w:val="1"/>
      <w:numFmt w:val="decimal"/>
      <w:pStyle w:val="Pealkiri8"/>
      <w:lvlText w:val="%1.%2.%3.%4.%5.%6.%7.%8"/>
      <w:lvlJc w:val="left"/>
      <w:pPr>
        <w:ind w:left="1440" w:hanging="1440"/>
      </w:pPr>
      <w:rPr>
        <w:rFonts w:hint="default"/>
      </w:rPr>
    </w:lvl>
    <w:lvl w:ilvl="8">
      <w:start w:val="1"/>
      <w:numFmt w:val="decimal"/>
      <w:pStyle w:val="Pealkiri9"/>
      <w:lvlText w:val="%1.%2.%3.%4.%5.%6.%7.%8.%9"/>
      <w:lvlJc w:val="left"/>
      <w:pPr>
        <w:ind w:left="1584" w:hanging="1584"/>
      </w:pPr>
      <w:rPr>
        <w:rFonts w:hint="default"/>
      </w:rPr>
    </w:lvl>
  </w:abstractNum>
  <w:abstractNum w:abstractNumId="5" w15:restartNumberingAfterBreak="0">
    <w:nsid w:val="72893EB9"/>
    <w:multiLevelType w:val="multilevel"/>
    <w:tmpl w:val="AAD669AE"/>
    <w:lvl w:ilvl="0">
      <w:start w:val="1"/>
      <w:numFmt w:val="decimal"/>
      <w:pStyle w:val="Tasemetegasisu"/>
      <w:lvlText w:val="%1."/>
      <w:lvlJc w:val="left"/>
      <w:pPr>
        <w:tabs>
          <w:tab w:val="num" w:pos="851"/>
        </w:tabs>
        <w:ind w:left="851" w:hanging="567"/>
      </w:pPr>
      <w:rPr>
        <w:rFonts w:hint="default"/>
      </w:rPr>
    </w:lvl>
    <w:lvl w:ilvl="1">
      <w:start w:val="1"/>
      <w:numFmt w:val="lowerLetter"/>
      <w:lvlText w:val="%2."/>
      <w:lvlJc w:val="left"/>
      <w:pPr>
        <w:tabs>
          <w:tab w:val="num" w:pos="1211"/>
        </w:tabs>
        <w:ind w:left="1134" w:hanging="283"/>
      </w:pPr>
      <w:rPr>
        <w:rFonts w:hint="default"/>
      </w:rPr>
    </w:lvl>
    <w:lvl w:ilvl="2">
      <w:start w:val="1"/>
      <w:numFmt w:val="lowerRoman"/>
      <w:lvlText w:val="%3."/>
      <w:lvlJc w:val="right"/>
      <w:pPr>
        <w:tabs>
          <w:tab w:val="num" w:pos="1701"/>
        </w:tabs>
        <w:ind w:left="1701" w:hanging="283"/>
      </w:pPr>
      <w:rPr>
        <w:rFonts w:hint="default"/>
      </w:rPr>
    </w:lvl>
    <w:lvl w:ilvl="3">
      <w:start w:val="1"/>
      <w:numFmt w:val="upperRoman"/>
      <w:lvlRestart w:val="0"/>
      <w:lvlText w:val="%4"/>
      <w:lvlJc w:val="left"/>
      <w:pPr>
        <w:tabs>
          <w:tab w:val="num" w:pos="2421"/>
        </w:tabs>
        <w:ind w:left="1985" w:hanging="284"/>
      </w:pPr>
      <w:rPr>
        <w:rFonts w:hint="default"/>
      </w:rPr>
    </w:lvl>
    <w:lvl w:ilvl="4">
      <w:start w:val="1"/>
      <w:numFmt w:val="decimal"/>
      <w:lvlText w:val="(%5)"/>
      <w:lvlJc w:val="left"/>
      <w:pPr>
        <w:tabs>
          <w:tab w:val="num" w:pos="3960"/>
        </w:tabs>
        <w:ind w:left="3960" w:hanging="72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384256891">
    <w:abstractNumId w:val="0"/>
  </w:num>
  <w:num w:numId="2" w16cid:durableId="961618501">
    <w:abstractNumId w:val="1"/>
  </w:num>
  <w:num w:numId="3" w16cid:durableId="1369717975">
    <w:abstractNumId w:val="5"/>
  </w:num>
  <w:num w:numId="4" w16cid:durableId="2001695400">
    <w:abstractNumId w:val="4"/>
  </w:num>
  <w:num w:numId="5" w16cid:durableId="202596620">
    <w:abstractNumId w:val="2"/>
    <w:lvlOverride w:ilvl="0">
      <w:lvl w:ilvl="0">
        <w:start w:val="1"/>
        <w:numFmt w:val="decimal"/>
        <w:pStyle w:val="Pealkiri1"/>
        <w:lvlText w:val="%1."/>
        <w:lvlJc w:val="left"/>
        <w:pPr>
          <w:ind w:left="432" w:hanging="432"/>
        </w:pPr>
        <w:rPr>
          <w:rFonts w:ascii="Arial" w:hAnsi="Arial" w:hint="default"/>
          <w:b/>
          <w:i w:val="0"/>
          <w:sz w:val="24"/>
        </w:rPr>
      </w:lvl>
    </w:lvlOverride>
    <w:lvlOverride w:ilvl="1">
      <w:lvl w:ilvl="1">
        <w:start w:val="1"/>
        <w:numFmt w:val="decimal"/>
        <w:pStyle w:val="Pealkiri2"/>
        <w:lvlText w:val="%1.%2."/>
        <w:lvlJc w:val="left"/>
        <w:pPr>
          <w:ind w:left="576" w:hanging="576"/>
        </w:pPr>
        <w:rPr>
          <w:rFonts w:ascii="Arial" w:hAnsi="Arial" w:hint="default"/>
          <w:b w:val="0"/>
          <w:i w:val="0"/>
          <w:sz w:val="20"/>
        </w:rPr>
      </w:lvl>
    </w:lvlOverride>
    <w:lvlOverride w:ilvl="2">
      <w:lvl w:ilvl="2">
        <w:start w:val="1"/>
        <w:numFmt w:val="decimal"/>
        <w:pStyle w:val="Pealkiri3"/>
        <w:lvlText w:val="%1.%2.%3."/>
        <w:lvlJc w:val="left"/>
        <w:pPr>
          <w:ind w:left="720" w:hanging="720"/>
        </w:pPr>
        <w:rPr>
          <w:rFonts w:ascii="Arial" w:hAnsi="Arial" w:hint="default"/>
          <w:b w:val="0"/>
          <w:i w:val="0"/>
          <w:sz w:val="20"/>
        </w:rPr>
      </w:lvl>
    </w:lvlOverride>
    <w:lvlOverride w:ilvl="3">
      <w:lvl w:ilvl="3">
        <w:start w:val="1"/>
        <w:numFmt w:val="decimal"/>
        <w:pStyle w:val="Pealkiri4"/>
        <w:lvlText w:val="%1.%2.%3.%4."/>
        <w:lvlJc w:val="left"/>
        <w:pPr>
          <w:ind w:left="864" w:hanging="864"/>
        </w:pPr>
        <w:rPr>
          <w:rFonts w:ascii="Arial" w:hAnsi="Arial" w:hint="default"/>
          <w:b w:val="0"/>
          <w:i w:val="0"/>
          <w:sz w:val="20"/>
        </w:rPr>
      </w:lvl>
    </w:lvlOverride>
    <w:lvlOverride w:ilvl="4">
      <w:lvl w:ilvl="4">
        <w:start w:val="1"/>
        <w:numFmt w:val="decimal"/>
        <w:pStyle w:val="Pealkiri5"/>
        <w:lvlText w:val="%1.%2.%3.%4.%5."/>
        <w:lvlJc w:val="left"/>
        <w:pPr>
          <w:ind w:left="1008" w:hanging="1008"/>
        </w:pPr>
        <w:rPr>
          <w:rFonts w:hint="default"/>
        </w:rPr>
      </w:lvl>
    </w:lvlOverride>
    <w:lvlOverride w:ilvl="5">
      <w:lvl w:ilvl="5">
        <w:start w:val="1"/>
        <w:numFmt w:val="decimal"/>
        <w:pStyle w:val="Pealkiri6"/>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 w16cid:durableId="198515510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45"/>
    <w:rsid w:val="00021DEC"/>
    <w:rsid w:val="00033707"/>
    <w:rsid w:val="00037DEB"/>
    <w:rsid w:val="000F65E5"/>
    <w:rsid w:val="0015556C"/>
    <w:rsid w:val="00173396"/>
    <w:rsid w:val="00193A3E"/>
    <w:rsid w:val="00196EF0"/>
    <w:rsid w:val="001A2337"/>
    <w:rsid w:val="001B24B0"/>
    <w:rsid w:val="001B2C97"/>
    <w:rsid w:val="00224E6D"/>
    <w:rsid w:val="00274473"/>
    <w:rsid w:val="0028235C"/>
    <w:rsid w:val="00283D91"/>
    <w:rsid w:val="002C7F2B"/>
    <w:rsid w:val="002D3FE4"/>
    <w:rsid w:val="0035799F"/>
    <w:rsid w:val="00367148"/>
    <w:rsid w:val="003816D7"/>
    <w:rsid w:val="003C325A"/>
    <w:rsid w:val="003C4520"/>
    <w:rsid w:val="003E4FB3"/>
    <w:rsid w:val="003F7989"/>
    <w:rsid w:val="00496AB9"/>
    <w:rsid w:val="004B2507"/>
    <w:rsid w:val="004C2457"/>
    <w:rsid w:val="004F0C8E"/>
    <w:rsid w:val="004F56DD"/>
    <w:rsid w:val="00504FFB"/>
    <w:rsid w:val="005227F9"/>
    <w:rsid w:val="00583156"/>
    <w:rsid w:val="005875C3"/>
    <w:rsid w:val="005C2CA8"/>
    <w:rsid w:val="00624B0E"/>
    <w:rsid w:val="00630159"/>
    <w:rsid w:val="006944E7"/>
    <w:rsid w:val="006D17B9"/>
    <w:rsid w:val="006F72D5"/>
    <w:rsid w:val="00723200"/>
    <w:rsid w:val="007249ED"/>
    <w:rsid w:val="007330C3"/>
    <w:rsid w:val="007362F7"/>
    <w:rsid w:val="0074169E"/>
    <w:rsid w:val="0077313C"/>
    <w:rsid w:val="00796C80"/>
    <w:rsid w:val="007B3B4E"/>
    <w:rsid w:val="00811ED4"/>
    <w:rsid w:val="00832CF4"/>
    <w:rsid w:val="008407E9"/>
    <w:rsid w:val="00864C56"/>
    <w:rsid w:val="008B148B"/>
    <w:rsid w:val="008F00F4"/>
    <w:rsid w:val="008F1D50"/>
    <w:rsid w:val="009112DC"/>
    <w:rsid w:val="00916E32"/>
    <w:rsid w:val="00927738"/>
    <w:rsid w:val="00935642"/>
    <w:rsid w:val="00965E50"/>
    <w:rsid w:val="009B3329"/>
    <w:rsid w:val="009C201B"/>
    <w:rsid w:val="009C54E4"/>
    <w:rsid w:val="009E68D9"/>
    <w:rsid w:val="009F74BC"/>
    <w:rsid w:val="00A46145"/>
    <w:rsid w:val="00A90F5B"/>
    <w:rsid w:val="00AA4167"/>
    <w:rsid w:val="00AA41C6"/>
    <w:rsid w:val="00AB5DD9"/>
    <w:rsid w:val="00AC69C9"/>
    <w:rsid w:val="00AE030D"/>
    <w:rsid w:val="00AE1A24"/>
    <w:rsid w:val="00AE2300"/>
    <w:rsid w:val="00AF7D82"/>
    <w:rsid w:val="00BE3A07"/>
    <w:rsid w:val="00C01BD4"/>
    <w:rsid w:val="00C37958"/>
    <w:rsid w:val="00C47F85"/>
    <w:rsid w:val="00C5422A"/>
    <w:rsid w:val="00C67E5F"/>
    <w:rsid w:val="00C800E4"/>
    <w:rsid w:val="00C90B8F"/>
    <w:rsid w:val="00CC497E"/>
    <w:rsid w:val="00CE1048"/>
    <w:rsid w:val="00CF519C"/>
    <w:rsid w:val="00D14CD2"/>
    <w:rsid w:val="00D43537"/>
    <w:rsid w:val="00D52809"/>
    <w:rsid w:val="00DC4D39"/>
    <w:rsid w:val="00E402A4"/>
    <w:rsid w:val="00E47140"/>
    <w:rsid w:val="00E80010"/>
    <w:rsid w:val="00E91EF8"/>
    <w:rsid w:val="00EF363A"/>
    <w:rsid w:val="00F15FD4"/>
    <w:rsid w:val="00F56AB2"/>
    <w:rsid w:val="00F77AFF"/>
    <w:rsid w:val="00FC47DD"/>
    <w:rsid w:val="00FD691C"/>
    <w:rsid w:val="00FD72A6"/>
    <w:rsid w:val="00FD7F67"/>
    <w:rsid w:val="00FE56EE"/>
    <w:rsid w:val="00FE65E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4B72B"/>
  <w15:chartTrackingRefBased/>
  <w15:docId w15:val="{816CB1A5-C664-4DD6-AC16-523572DB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t-EE" w:eastAsia="et-EE"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52809"/>
    <w:pPr>
      <w:spacing w:before="240"/>
    </w:pPr>
    <w:rPr>
      <w:rFonts w:cs="Arial"/>
      <w:szCs w:val="22"/>
      <w:lang w:eastAsia="en-US"/>
    </w:rPr>
  </w:style>
  <w:style w:type="paragraph" w:styleId="Pealkiri1">
    <w:name w:val="heading 1"/>
    <w:basedOn w:val="Normaallaad"/>
    <w:next w:val="Normaallaad"/>
    <w:autoRedefine/>
    <w:uiPriority w:val="2"/>
    <w:qFormat/>
    <w:rsid w:val="0077313C"/>
    <w:pPr>
      <w:numPr>
        <w:numId w:val="5"/>
      </w:numPr>
      <w:spacing w:before="360"/>
      <w:outlineLvl w:val="0"/>
    </w:pPr>
    <w:rPr>
      <w:b/>
      <w:bCs/>
      <w:caps/>
      <w:sz w:val="24"/>
      <w:szCs w:val="24"/>
    </w:rPr>
  </w:style>
  <w:style w:type="paragraph" w:styleId="Pealkiri2">
    <w:name w:val="heading 2"/>
    <w:basedOn w:val="Pealkiri1"/>
    <w:next w:val="Normaallaad"/>
    <w:autoRedefine/>
    <w:uiPriority w:val="2"/>
    <w:qFormat/>
    <w:rsid w:val="00FD72A6"/>
    <w:pPr>
      <w:numPr>
        <w:ilvl w:val="1"/>
      </w:numPr>
      <w:spacing w:before="240"/>
      <w:outlineLvl w:val="1"/>
    </w:pPr>
    <w:rPr>
      <w:caps w:val="0"/>
      <w:sz w:val="20"/>
    </w:rPr>
  </w:style>
  <w:style w:type="paragraph" w:styleId="Pealkiri3">
    <w:name w:val="heading 3"/>
    <w:basedOn w:val="Pealkiri2"/>
    <w:next w:val="Normaallaad"/>
    <w:autoRedefine/>
    <w:uiPriority w:val="2"/>
    <w:qFormat/>
    <w:rsid w:val="00196EF0"/>
    <w:pPr>
      <w:numPr>
        <w:ilvl w:val="2"/>
      </w:numPr>
      <w:tabs>
        <w:tab w:val="right" w:pos="1134"/>
      </w:tabs>
      <w:spacing w:before="120"/>
      <w:outlineLvl w:val="2"/>
    </w:pPr>
    <w:rPr>
      <w:iCs/>
      <w:szCs w:val="22"/>
    </w:rPr>
  </w:style>
  <w:style w:type="paragraph" w:styleId="Pealkiri4">
    <w:name w:val="heading 4"/>
    <w:basedOn w:val="Pealkiri3"/>
    <w:next w:val="Normaallaad"/>
    <w:autoRedefine/>
    <w:qFormat/>
    <w:rsid w:val="00196EF0"/>
    <w:pPr>
      <w:numPr>
        <w:ilvl w:val="3"/>
      </w:numPr>
      <w:tabs>
        <w:tab w:val="clear" w:pos="1134"/>
        <w:tab w:val="right" w:pos="1276"/>
      </w:tabs>
      <w:outlineLvl w:val="3"/>
    </w:pPr>
    <w:rPr>
      <w:bCs w:val="0"/>
    </w:rPr>
  </w:style>
  <w:style w:type="paragraph" w:styleId="Pealkiri5">
    <w:name w:val="heading 5"/>
    <w:basedOn w:val="Pealkiri4"/>
    <w:next w:val="Normaallaad"/>
    <w:rsid w:val="00037DEB"/>
    <w:pPr>
      <w:numPr>
        <w:ilvl w:val="4"/>
      </w:numPr>
      <w:tabs>
        <w:tab w:val="clear" w:pos="1276"/>
      </w:tabs>
      <w:outlineLvl w:val="4"/>
    </w:pPr>
  </w:style>
  <w:style w:type="paragraph" w:styleId="Pealkiri6">
    <w:name w:val="heading 6"/>
    <w:basedOn w:val="Pealkiri5"/>
    <w:next w:val="Normaallaad"/>
    <w:rsid w:val="00037DEB"/>
    <w:pPr>
      <w:numPr>
        <w:ilvl w:val="5"/>
      </w:numPr>
      <w:outlineLvl w:val="5"/>
    </w:pPr>
  </w:style>
  <w:style w:type="paragraph" w:styleId="Pealkiri7">
    <w:name w:val="heading 7"/>
    <w:basedOn w:val="Normaallaad"/>
    <w:next w:val="Normaallaad"/>
    <w:rsid w:val="00037DEB"/>
    <w:pPr>
      <w:numPr>
        <w:ilvl w:val="6"/>
        <w:numId w:val="4"/>
      </w:numPr>
      <w:outlineLvl w:val="6"/>
    </w:pPr>
    <w:rPr>
      <w:i/>
      <w:iCs/>
    </w:rPr>
  </w:style>
  <w:style w:type="paragraph" w:styleId="Pealkiri8">
    <w:name w:val="heading 8"/>
    <w:basedOn w:val="Normaallaad"/>
    <w:next w:val="Normaallaad"/>
    <w:rsid w:val="00037DEB"/>
    <w:pPr>
      <w:numPr>
        <w:ilvl w:val="7"/>
        <w:numId w:val="4"/>
      </w:numPr>
      <w:outlineLvl w:val="7"/>
    </w:pPr>
    <w:rPr>
      <w:i/>
      <w:iCs/>
    </w:rPr>
  </w:style>
  <w:style w:type="paragraph" w:styleId="Pealkiri9">
    <w:name w:val="heading 9"/>
    <w:basedOn w:val="Normaallaad"/>
    <w:next w:val="Normaallaad"/>
    <w:rsid w:val="00037DEB"/>
    <w:pPr>
      <w:numPr>
        <w:ilvl w:val="8"/>
        <w:numId w:val="4"/>
      </w:numPr>
      <w:outlineLvl w:val="8"/>
    </w:pPr>
    <w:rPr>
      <w:i/>
      <w:i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semiHidden/>
    <w:rsid w:val="00037DEB"/>
    <w:pPr>
      <w:tabs>
        <w:tab w:val="center" w:pos="4153"/>
        <w:tab w:val="right" w:pos="8306"/>
      </w:tabs>
      <w:spacing w:after="0" w:line="240" w:lineRule="auto"/>
    </w:pPr>
    <w:rPr>
      <w:color w:val="3C3E6F"/>
      <w:sz w:val="18"/>
    </w:rPr>
  </w:style>
  <w:style w:type="paragraph" w:styleId="Pis">
    <w:name w:val="header"/>
    <w:basedOn w:val="Normaallaad"/>
    <w:link w:val="PisMrk"/>
    <w:uiPriority w:val="99"/>
    <w:rsid w:val="00037DEB"/>
    <w:pPr>
      <w:tabs>
        <w:tab w:val="center" w:pos="4153"/>
        <w:tab w:val="right" w:pos="8306"/>
      </w:tabs>
    </w:pPr>
  </w:style>
  <w:style w:type="paragraph" w:customStyle="1" w:styleId="Loetelu">
    <w:name w:val="Loetelu"/>
    <w:basedOn w:val="Normaallaad"/>
    <w:autoRedefine/>
    <w:uiPriority w:val="1"/>
    <w:qFormat/>
    <w:rsid w:val="00D52809"/>
    <w:pPr>
      <w:numPr>
        <w:numId w:val="2"/>
      </w:numPr>
      <w:ind w:left="425" w:hanging="425"/>
    </w:pPr>
  </w:style>
  <w:style w:type="paragraph" w:customStyle="1" w:styleId="Mrkusenumber">
    <w:name w:val="Märkuse number"/>
    <w:basedOn w:val="Normaallaad"/>
    <w:autoRedefine/>
    <w:qFormat/>
    <w:rsid w:val="00037DEB"/>
    <w:rPr>
      <w:vertAlign w:val="superscript"/>
    </w:rPr>
  </w:style>
  <w:style w:type="paragraph" w:customStyle="1" w:styleId="Mrkusetekst">
    <w:name w:val="Märkuse tekst"/>
    <w:basedOn w:val="Normaallaad"/>
    <w:rsid w:val="00037DEB"/>
    <w:pPr>
      <w:ind w:left="227" w:hanging="227"/>
    </w:pPr>
    <w:rPr>
      <w:sz w:val="18"/>
    </w:rPr>
  </w:style>
  <w:style w:type="paragraph" w:customStyle="1" w:styleId="Sisukorrapealkiri1">
    <w:name w:val="Sisukorra pealkiri1"/>
    <w:basedOn w:val="Normaallaad"/>
    <w:unhideWhenUsed/>
    <w:rPr>
      <w:b/>
      <w:caps/>
      <w:sz w:val="24"/>
    </w:rPr>
  </w:style>
  <w:style w:type="paragraph" w:customStyle="1" w:styleId="Tabelisisu10">
    <w:name w:val="Tabeli sisu 10"/>
    <w:basedOn w:val="Normaallaad"/>
    <w:rsid w:val="00037DEB"/>
    <w:pPr>
      <w:spacing w:before="30" w:after="30" w:line="240" w:lineRule="auto"/>
    </w:pPr>
  </w:style>
  <w:style w:type="paragraph" w:styleId="Illustratsiooniloend">
    <w:name w:val="table of figures"/>
    <w:aliases w:val="Lisad sisukorras"/>
    <w:basedOn w:val="Normaallaad"/>
    <w:next w:val="Normaallaad"/>
    <w:semiHidden/>
    <w:rsid w:val="00037DEB"/>
    <w:pPr>
      <w:spacing w:before="120"/>
      <w:ind w:left="867" w:hanging="442"/>
    </w:pPr>
    <w:rPr>
      <w:i/>
    </w:rPr>
  </w:style>
  <w:style w:type="paragraph" w:styleId="SK1">
    <w:name w:val="toc 1"/>
    <w:basedOn w:val="Normaallaad"/>
    <w:next w:val="Normaallaad"/>
    <w:autoRedefine/>
    <w:uiPriority w:val="39"/>
    <w:qFormat/>
    <w:rsid w:val="003C4520"/>
    <w:pPr>
      <w:spacing w:before="360" w:after="240"/>
    </w:pPr>
    <w:rPr>
      <w:rFonts w:asciiTheme="majorHAnsi" w:hAnsiTheme="majorHAnsi" w:cstheme="majorHAnsi"/>
      <w:b/>
      <w:bCs/>
      <w:caps/>
      <w:sz w:val="24"/>
      <w:szCs w:val="24"/>
    </w:rPr>
  </w:style>
  <w:style w:type="paragraph" w:styleId="SK2">
    <w:name w:val="toc 2"/>
    <w:basedOn w:val="Normaallaad"/>
    <w:next w:val="Normaallaad"/>
    <w:autoRedefine/>
    <w:uiPriority w:val="39"/>
    <w:rsid w:val="00037DEB"/>
    <w:pPr>
      <w:spacing w:after="0"/>
    </w:pPr>
    <w:rPr>
      <w:rFonts w:asciiTheme="minorHAnsi" w:hAnsiTheme="minorHAnsi" w:cstheme="minorHAnsi"/>
      <w:b/>
      <w:bCs/>
      <w:szCs w:val="20"/>
    </w:rPr>
  </w:style>
  <w:style w:type="paragraph" w:styleId="SK3">
    <w:name w:val="toc 3"/>
    <w:basedOn w:val="Normaallaad"/>
    <w:next w:val="Normaallaad"/>
    <w:autoRedefine/>
    <w:uiPriority w:val="39"/>
    <w:rsid w:val="00037DEB"/>
    <w:pPr>
      <w:spacing w:before="0" w:after="0"/>
      <w:ind w:left="200"/>
    </w:pPr>
    <w:rPr>
      <w:rFonts w:asciiTheme="minorHAnsi" w:hAnsiTheme="minorHAnsi" w:cstheme="minorHAnsi"/>
      <w:szCs w:val="20"/>
    </w:rPr>
  </w:style>
  <w:style w:type="paragraph" w:styleId="SK4">
    <w:name w:val="toc 4"/>
    <w:basedOn w:val="Normaallaad"/>
    <w:next w:val="Normaallaad"/>
    <w:autoRedefine/>
    <w:semiHidden/>
    <w:rsid w:val="00037DEB"/>
    <w:pPr>
      <w:spacing w:before="0" w:after="0"/>
      <w:ind w:left="400"/>
    </w:pPr>
    <w:rPr>
      <w:rFonts w:asciiTheme="minorHAnsi" w:hAnsiTheme="minorHAnsi" w:cstheme="minorHAnsi"/>
      <w:szCs w:val="20"/>
    </w:rPr>
  </w:style>
  <w:style w:type="paragraph" w:customStyle="1" w:styleId="Dokumendipealkiri">
    <w:name w:val="Dokumendi pealkiri"/>
    <w:basedOn w:val="Normaallaad"/>
    <w:autoRedefine/>
    <w:qFormat/>
    <w:rsid w:val="00E91EF8"/>
    <w:pPr>
      <w:spacing w:before="360" w:after="240"/>
    </w:pPr>
    <w:rPr>
      <w:b/>
      <w:caps/>
      <w:sz w:val="24"/>
    </w:rPr>
  </w:style>
  <w:style w:type="paragraph" w:customStyle="1" w:styleId="Projektiviteemanimetus">
    <w:name w:val="Projekti või teema nimetus"/>
    <w:basedOn w:val="Normaallaad"/>
    <w:rsid w:val="00037DEB"/>
    <w:pPr>
      <w:spacing w:after="0"/>
    </w:pPr>
    <w:rPr>
      <w:b/>
      <w:sz w:val="24"/>
    </w:rPr>
  </w:style>
  <w:style w:type="paragraph" w:customStyle="1" w:styleId="Tasemetegasisu">
    <w:name w:val="Tasemetega sisu"/>
    <w:basedOn w:val="Normaallaad"/>
    <w:uiPriority w:val="1"/>
    <w:qFormat/>
    <w:rsid w:val="00AC69C9"/>
    <w:pPr>
      <w:numPr>
        <w:numId w:val="3"/>
      </w:numPr>
      <w:ind w:left="567"/>
    </w:pPr>
  </w:style>
  <w:style w:type="paragraph" w:customStyle="1" w:styleId="Kommentaar">
    <w:name w:val="Kommentaar"/>
    <w:basedOn w:val="Normaallaad"/>
    <w:uiPriority w:val="1"/>
    <w:qFormat/>
    <w:rsid w:val="00037DEB"/>
    <w:pPr>
      <w:shd w:val="pct10" w:color="auto" w:fill="auto"/>
      <w:spacing w:before="30"/>
      <w:ind w:left="1134"/>
    </w:pPr>
    <w:rPr>
      <w:i/>
      <w:iCs/>
      <w:sz w:val="18"/>
    </w:rPr>
  </w:style>
  <w:style w:type="paragraph" w:customStyle="1" w:styleId="Ilmanumbritevahepealkiri">
    <w:name w:val="Ilmanumbritevahepealkiri"/>
    <w:basedOn w:val="Normaallaad"/>
    <w:autoRedefine/>
    <w:uiPriority w:val="1"/>
    <w:qFormat/>
    <w:rsid w:val="00D52809"/>
    <w:rPr>
      <w:b/>
    </w:rPr>
  </w:style>
  <w:style w:type="paragraph" w:customStyle="1" w:styleId="Punktidegasisu">
    <w:name w:val="Punktidegasisu"/>
    <w:basedOn w:val="Normaallaad"/>
    <w:autoRedefine/>
    <w:uiPriority w:val="1"/>
    <w:qFormat/>
    <w:rsid w:val="00F77AFF"/>
    <w:pPr>
      <w:numPr>
        <w:numId w:val="1"/>
      </w:numPr>
      <w:ind w:left="714" w:hanging="357"/>
    </w:pPr>
  </w:style>
  <w:style w:type="character" w:styleId="Klastatudhperlink">
    <w:name w:val="FollowedHyperlink"/>
    <w:basedOn w:val="Liguvaikefont"/>
    <w:semiHidden/>
    <w:rsid w:val="00037DEB"/>
    <w:rPr>
      <w:rFonts w:ascii="Arial" w:hAnsi="Arial"/>
      <w:color w:val="3C3E6F"/>
      <w:u w:val="single"/>
    </w:rPr>
  </w:style>
  <w:style w:type="character" w:styleId="Hperlink">
    <w:name w:val="Hyperlink"/>
    <w:basedOn w:val="Liguvaikefont"/>
    <w:uiPriority w:val="99"/>
    <w:rsid w:val="00037DEB"/>
    <w:rPr>
      <w:rFonts w:ascii="Arial" w:hAnsi="Arial"/>
      <w:color w:val="3C3E6F"/>
      <w:u w:val="single"/>
    </w:rPr>
  </w:style>
  <w:style w:type="paragraph" w:customStyle="1" w:styleId="Teksthelreal">
    <w:name w:val="Tekst ühel real"/>
    <w:basedOn w:val="Normaallaad"/>
    <w:uiPriority w:val="2"/>
    <w:qFormat/>
    <w:rsid w:val="00037DEB"/>
    <w:pPr>
      <w:spacing w:after="0" w:line="240" w:lineRule="auto"/>
    </w:pPr>
  </w:style>
  <w:style w:type="table" w:styleId="Kontuurtabel">
    <w:name w:val="Table Grid"/>
    <w:aliases w:val="Tabel_varv"/>
    <w:basedOn w:val="Normaaltabel"/>
    <w:uiPriority w:val="59"/>
    <w:rsid w:val="009B3329"/>
    <w:pPr>
      <w:spacing w:before="30" w:after="30" w:line="240" w:lineRule="auto"/>
    </w:pPr>
    <w:rPr>
      <w:color w:val="000000" w:themeColor="text1"/>
    </w:rPr>
    <w:tblPr>
      <w:tblBorders>
        <w:top w:val="single" w:sz="2" w:space="0" w:color="3C3E6F"/>
        <w:left w:val="single" w:sz="2" w:space="0" w:color="3C3E6F"/>
        <w:bottom w:val="single" w:sz="2" w:space="0" w:color="3C3E6F"/>
        <w:right w:val="single" w:sz="2" w:space="0" w:color="3C3E6F"/>
        <w:insideH w:val="single" w:sz="2" w:space="0" w:color="3C3E6F"/>
        <w:insideV w:val="single" w:sz="2" w:space="0" w:color="3C3E6F"/>
      </w:tblBorders>
      <w:tblCellMar>
        <w:left w:w="28" w:type="dxa"/>
        <w:right w:w="28" w:type="dxa"/>
      </w:tblCellMar>
    </w:tblPr>
    <w:tblStylePr w:type="firstRow">
      <w:pPr>
        <w:jc w:val="left"/>
      </w:pPr>
      <w:rPr>
        <w:rFonts w:ascii="Arial" w:hAnsi="Arial"/>
        <w:b/>
        <w:i w:val="0"/>
        <w:sz w:val="20"/>
      </w:rPr>
      <w:tblPr/>
      <w:tcPr>
        <w:shd w:val="clear" w:color="auto" w:fill="D8C4F3" w:themeFill="accent1" w:themeFillTint="33"/>
        <w:vAlign w:val="center"/>
      </w:tcPr>
    </w:tblStylePr>
  </w:style>
  <w:style w:type="table" w:styleId="Helevarjustus">
    <w:name w:val="Light Shading"/>
    <w:basedOn w:val="Normaaltabel"/>
    <w:uiPriority w:val="60"/>
    <w:rsid w:val="00811ED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811ED4"/>
    <w:rPr>
      <w:color w:val="341361" w:themeColor="accent1" w:themeShade="BF"/>
    </w:rPr>
    <w:tblPr>
      <w:tblStyleRowBandSize w:val="1"/>
      <w:tblStyleColBandSize w:val="1"/>
      <w:tblBorders>
        <w:top w:val="single" w:sz="8" w:space="0" w:color="471A83" w:themeColor="accent1"/>
        <w:bottom w:val="single" w:sz="8" w:space="0" w:color="471A83" w:themeColor="accent1"/>
      </w:tblBorders>
    </w:tblPr>
    <w:tblStylePr w:type="firstRow">
      <w:pPr>
        <w:spacing w:before="0" w:after="0" w:line="240" w:lineRule="auto"/>
      </w:pPr>
      <w:rPr>
        <w:b/>
        <w:bCs/>
      </w:rPr>
      <w:tblPr/>
      <w:tcPr>
        <w:tcBorders>
          <w:top w:val="single" w:sz="8" w:space="0" w:color="471A83" w:themeColor="accent1"/>
          <w:left w:val="nil"/>
          <w:bottom w:val="single" w:sz="8" w:space="0" w:color="471A83" w:themeColor="accent1"/>
          <w:right w:val="nil"/>
          <w:insideH w:val="nil"/>
          <w:insideV w:val="nil"/>
        </w:tcBorders>
      </w:tcPr>
    </w:tblStylePr>
    <w:tblStylePr w:type="lastRow">
      <w:pPr>
        <w:spacing w:before="0" w:after="0" w:line="240" w:lineRule="auto"/>
      </w:pPr>
      <w:rPr>
        <w:b/>
        <w:bCs/>
      </w:rPr>
      <w:tblPr/>
      <w:tcPr>
        <w:tcBorders>
          <w:top w:val="single" w:sz="8" w:space="0" w:color="471A83" w:themeColor="accent1"/>
          <w:left w:val="nil"/>
          <w:bottom w:val="single" w:sz="8" w:space="0" w:color="471A8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B6F0" w:themeFill="accent1" w:themeFillTint="3F"/>
      </w:tcPr>
    </w:tblStylePr>
    <w:tblStylePr w:type="band1Horz">
      <w:tblPr/>
      <w:tcPr>
        <w:tcBorders>
          <w:left w:val="nil"/>
          <w:right w:val="nil"/>
          <w:insideH w:val="nil"/>
          <w:insideV w:val="nil"/>
        </w:tcBorders>
        <w:shd w:val="clear" w:color="auto" w:fill="CFB6F0" w:themeFill="accent1" w:themeFillTint="3F"/>
      </w:tcPr>
    </w:tblStylePr>
  </w:style>
  <w:style w:type="table" w:customStyle="1" w:styleId="Tabeltaveline8">
    <w:name w:val="Tabel_taveline_8"/>
    <w:basedOn w:val="Normaaltabel"/>
    <w:uiPriority w:val="99"/>
    <w:rsid w:val="00916E32"/>
    <w:pPr>
      <w:spacing w:before="30" w:after="30" w:line="240" w:lineRule="auto"/>
    </w:pPr>
    <w:rPr>
      <w:sz w:val="16"/>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Pr>
    <w:tblStylePr w:type="firstRow">
      <w:rPr>
        <w:b/>
      </w:rPr>
    </w:tblStylePr>
  </w:style>
  <w:style w:type="table" w:customStyle="1" w:styleId="Tabeltavaline10">
    <w:name w:val="Tabel_tavaline10"/>
    <w:basedOn w:val="Normaaltabel"/>
    <w:uiPriority w:val="99"/>
    <w:rsid w:val="00916E32"/>
    <w:pPr>
      <w:spacing w:before="30" w:after="30" w:line="240" w:lineRule="auto"/>
    </w:p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Pr>
    <w:tblStylePr w:type="firstRow">
      <w:rPr>
        <w:b/>
      </w:rPr>
    </w:tblStylePr>
  </w:style>
  <w:style w:type="paragraph" w:styleId="Sisukorrapealkiri">
    <w:name w:val="TOC Heading"/>
    <w:basedOn w:val="Normaallaad"/>
    <w:uiPriority w:val="39"/>
    <w:rsid w:val="00037DEB"/>
    <w:rPr>
      <w:b/>
      <w:caps/>
      <w:sz w:val="24"/>
    </w:rPr>
  </w:style>
  <w:style w:type="paragraph" w:styleId="Alapealkiri">
    <w:name w:val="Subtitle"/>
    <w:basedOn w:val="Normaallaad"/>
    <w:next w:val="Normaallaad"/>
    <w:link w:val="AlapealkiriMrk"/>
    <w:uiPriority w:val="11"/>
    <w:semiHidden/>
    <w:unhideWhenUsed/>
    <w:qFormat/>
    <w:rsid w:val="00037DEB"/>
    <w:pPr>
      <w:numPr>
        <w:ilvl w:val="1"/>
      </w:numPr>
    </w:pPr>
    <w:rPr>
      <w:rFonts w:asciiTheme="majorHAnsi" w:eastAsiaTheme="majorEastAsia" w:hAnsiTheme="majorHAnsi" w:cstheme="majorBidi"/>
      <w:i/>
      <w:iCs/>
      <w:spacing w:val="15"/>
      <w:sz w:val="24"/>
      <w:szCs w:val="24"/>
    </w:rPr>
  </w:style>
  <w:style w:type="character" w:customStyle="1" w:styleId="AlapealkiriMrk">
    <w:name w:val="Alapealkiri Märk"/>
    <w:basedOn w:val="Liguvaikefont"/>
    <w:link w:val="Alapealkiri"/>
    <w:uiPriority w:val="11"/>
    <w:semiHidden/>
    <w:rsid w:val="00037DEB"/>
    <w:rPr>
      <w:rFonts w:asciiTheme="majorHAnsi" w:eastAsiaTheme="majorEastAsia" w:hAnsiTheme="majorHAnsi" w:cstheme="majorBidi"/>
      <w:i/>
      <w:iCs/>
      <w:snapToGrid w:val="0"/>
      <w:spacing w:val="15"/>
      <w:sz w:val="24"/>
      <w:szCs w:val="24"/>
      <w:lang w:eastAsia="en-US"/>
    </w:rPr>
  </w:style>
  <w:style w:type="paragraph" w:styleId="Dokumendiplaan">
    <w:name w:val="Document Map"/>
    <w:basedOn w:val="Normaallaad"/>
    <w:link w:val="DokumendiplaanMrk"/>
    <w:uiPriority w:val="99"/>
    <w:semiHidden/>
    <w:unhideWhenUsed/>
    <w:rsid w:val="00037DEB"/>
    <w:pPr>
      <w:spacing w:after="0" w:line="240" w:lineRule="auto"/>
    </w:pPr>
    <w:rPr>
      <w:rFonts w:cs="Tahoma"/>
      <w:sz w:val="16"/>
      <w:szCs w:val="16"/>
    </w:rPr>
  </w:style>
  <w:style w:type="character" w:customStyle="1" w:styleId="DokumendiplaanMrk">
    <w:name w:val="Dokumendiplaan Märk"/>
    <w:basedOn w:val="Liguvaikefont"/>
    <w:link w:val="Dokumendiplaan"/>
    <w:uiPriority w:val="99"/>
    <w:semiHidden/>
    <w:rsid w:val="00037DEB"/>
    <w:rPr>
      <w:rFonts w:cs="Tahoma"/>
      <w:snapToGrid w:val="0"/>
      <w:sz w:val="16"/>
      <w:szCs w:val="16"/>
      <w:lang w:eastAsia="en-US"/>
    </w:rPr>
  </w:style>
  <w:style w:type="paragraph" w:styleId="Jutumullitekst">
    <w:name w:val="Balloon Text"/>
    <w:basedOn w:val="Normaallaad"/>
    <w:link w:val="JutumullitekstMrk"/>
    <w:uiPriority w:val="99"/>
    <w:semiHidden/>
    <w:unhideWhenUsed/>
    <w:rsid w:val="00037DEB"/>
    <w:pPr>
      <w:spacing w:after="0" w:line="240" w:lineRule="auto"/>
    </w:pPr>
    <w:rPr>
      <w:rFonts w:cs="Tahoma"/>
      <w:sz w:val="16"/>
      <w:szCs w:val="16"/>
    </w:rPr>
  </w:style>
  <w:style w:type="character" w:customStyle="1" w:styleId="JutumullitekstMrk">
    <w:name w:val="Jutumullitekst Märk"/>
    <w:basedOn w:val="Liguvaikefont"/>
    <w:link w:val="Jutumullitekst"/>
    <w:uiPriority w:val="99"/>
    <w:semiHidden/>
    <w:rsid w:val="00037DEB"/>
    <w:rPr>
      <w:rFonts w:cs="Tahoma"/>
      <w:snapToGrid w:val="0"/>
      <w:sz w:val="16"/>
      <w:szCs w:val="16"/>
      <w:lang w:eastAsia="en-US"/>
    </w:rPr>
  </w:style>
  <w:style w:type="paragraph" w:styleId="Normaallaadveeb">
    <w:name w:val="Normal (Web)"/>
    <w:basedOn w:val="Normaallaad"/>
    <w:uiPriority w:val="99"/>
    <w:semiHidden/>
    <w:unhideWhenUsed/>
    <w:rsid w:val="00037DEB"/>
    <w:rPr>
      <w:rFonts w:cs="Times New Roman"/>
      <w:szCs w:val="24"/>
    </w:rPr>
  </w:style>
  <w:style w:type="paragraph" w:styleId="Pealdis">
    <w:name w:val="caption"/>
    <w:basedOn w:val="Normaallaad"/>
    <w:next w:val="Normaallaad"/>
    <w:uiPriority w:val="35"/>
    <w:semiHidden/>
    <w:unhideWhenUsed/>
    <w:qFormat/>
    <w:rsid w:val="00037DEB"/>
    <w:pPr>
      <w:spacing w:after="200" w:line="240" w:lineRule="auto"/>
    </w:pPr>
    <w:rPr>
      <w:b/>
      <w:bCs/>
      <w:sz w:val="18"/>
      <w:szCs w:val="18"/>
    </w:rPr>
  </w:style>
  <w:style w:type="paragraph" w:styleId="Pealkiri">
    <w:name w:val="Title"/>
    <w:basedOn w:val="Normaallaad"/>
    <w:next w:val="Normaallaad"/>
    <w:link w:val="PealkiriMrk"/>
    <w:uiPriority w:val="10"/>
    <w:rsid w:val="009B3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9B3329"/>
    <w:rPr>
      <w:rFonts w:asciiTheme="majorHAnsi" w:eastAsiaTheme="majorEastAsia" w:hAnsiTheme="majorHAnsi" w:cstheme="majorBidi"/>
      <w:snapToGrid w:val="0"/>
      <w:spacing w:val="-10"/>
      <w:kern w:val="28"/>
      <w:sz w:val="56"/>
      <w:szCs w:val="56"/>
      <w:lang w:eastAsia="en-US"/>
    </w:rPr>
  </w:style>
  <w:style w:type="paragraph" w:styleId="Tsitaat">
    <w:name w:val="Quote"/>
    <w:basedOn w:val="Normaallaad"/>
    <w:next w:val="Normaallaad"/>
    <w:link w:val="TsitaatMrk"/>
    <w:uiPriority w:val="29"/>
    <w:qFormat/>
    <w:rsid w:val="009B3329"/>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9B3329"/>
    <w:rPr>
      <w:rFonts w:cs="Arial"/>
      <w:i/>
      <w:iCs/>
      <w:snapToGrid w:val="0"/>
      <w:color w:val="404040" w:themeColor="text1" w:themeTint="BF"/>
      <w:szCs w:val="22"/>
      <w:lang w:eastAsia="en-US"/>
    </w:rPr>
  </w:style>
  <w:style w:type="paragraph" w:styleId="Loendilik">
    <w:name w:val="List Paragraph"/>
    <w:basedOn w:val="Normaallaad"/>
    <w:uiPriority w:val="34"/>
    <w:rsid w:val="009B3329"/>
    <w:pPr>
      <w:ind w:left="720"/>
      <w:contextualSpacing/>
    </w:pPr>
  </w:style>
  <w:style w:type="character" w:styleId="Selgeltmrgatavrhutus">
    <w:name w:val="Intense Emphasis"/>
    <w:basedOn w:val="Liguvaikefont"/>
    <w:uiPriority w:val="21"/>
    <w:rsid w:val="009B3329"/>
    <w:rPr>
      <w:i/>
      <w:iCs/>
      <w:color w:val="341361" w:themeColor="accent1" w:themeShade="BF"/>
    </w:rPr>
  </w:style>
  <w:style w:type="paragraph" w:styleId="Selgeltmrgatavtsitaat">
    <w:name w:val="Intense Quote"/>
    <w:basedOn w:val="Normaallaad"/>
    <w:next w:val="Normaallaad"/>
    <w:link w:val="SelgeltmrgatavtsitaatMrk"/>
    <w:uiPriority w:val="30"/>
    <w:rsid w:val="009B3329"/>
    <w:pPr>
      <w:pBdr>
        <w:top w:val="single" w:sz="4" w:space="10" w:color="341361" w:themeColor="accent1" w:themeShade="BF"/>
        <w:bottom w:val="single" w:sz="4" w:space="10" w:color="341361" w:themeColor="accent1" w:themeShade="BF"/>
      </w:pBdr>
      <w:spacing w:before="360" w:after="360"/>
      <w:ind w:left="864" w:right="864"/>
      <w:jc w:val="center"/>
    </w:pPr>
    <w:rPr>
      <w:i/>
      <w:iCs/>
      <w:color w:val="341361" w:themeColor="accent1" w:themeShade="BF"/>
    </w:rPr>
  </w:style>
  <w:style w:type="character" w:customStyle="1" w:styleId="SelgeltmrgatavtsitaatMrk">
    <w:name w:val="Selgelt märgatav tsitaat Märk"/>
    <w:basedOn w:val="Liguvaikefont"/>
    <w:link w:val="Selgeltmrgatavtsitaat"/>
    <w:uiPriority w:val="30"/>
    <w:rsid w:val="009B3329"/>
    <w:rPr>
      <w:rFonts w:cs="Arial"/>
      <w:i/>
      <w:iCs/>
      <w:snapToGrid w:val="0"/>
      <w:color w:val="341361" w:themeColor="accent1" w:themeShade="BF"/>
      <w:szCs w:val="22"/>
      <w:lang w:eastAsia="en-US"/>
    </w:rPr>
  </w:style>
  <w:style w:type="character" w:styleId="Selgeltmrgatavviide">
    <w:name w:val="Intense Reference"/>
    <w:basedOn w:val="Liguvaikefont"/>
    <w:uiPriority w:val="32"/>
    <w:rsid w:val="009B3329"/>
    <w:rPr>
      <w:b/>
      <w:bCs/>
      <w:smallCaps/>
      <w:color w:val="341361" w:themeColor="accent1" w:themeShade="BF"/>
      <w:spacing w:val="5"/>
    </w:rPr>
  </w:style>
  <w:style w:type="paragraph" w:styleId="Allmrkusetekst">
    <w:name w:val="footnote text"/>
    <w:basedOn w:val="Normaallaad"/>
    <w:link w:val="AllmrkusetekstMrk"/>
    <w:uiPriority w:val="99"/>
    <w:semiHidden/>
    <w:unhideWhenUsed/>
    <w:rsid w:val="009B3329"/>
    <w:pPr>
      <w:spacing w:after="0" w:line="240" w:lineRule="auto"/>
    </w:pPr>
    <w:rPr>
      <w:szCs w:val="20"/>
    </w:rPr>
  </w:style>
  <w:style w:type="character" w:customStyle="1" w:styleId="AllmrkusetekstMrk">
    <w:name w:val="Allmärkuse tekst Märk"/>
    <w:basedOn w:val="Liguvaikefont"/>
    <w:link w:val="Allmrkusetekst"/>
    <w:uiPriority w:val="99"/>
    <w:semiHidden/>
    <w:rsid w:val="009B3329"/>
    <w:rPr>
      <w:rFonts w:cs="Arial"/>
      <w:lang w:eastAsia="en-US"/>
    </w:rPr>
  </w:style>
  <w:style w:type="character" w:styleId="Allmrkuseviide">
    <w:name w:val="footnote reference"/>
    <w:basedOn w:val="Liguvaikefont"/>
    <w:uiPriority w:val="99"/>
    <w:semiHidden/>
    <w:unhideWhenUsed/>
    <w:rsid w:val="009B3329"/>
    <w:rPr>
      <w:vertAlign w:val="superscript"/>
    </w:rPr>
  </w:style>
  <w:style w:type="paragraph" w:customStyle="1" w:styleId="HEADINGpealkirjata">
    <w:name w:val="HEADING (pealkirjata)"/>
    <w:basedOn w:val="Normaallaad"/>
    <w:link w:val="HEADINGpealkirjataChar"/>
    <w:autoRedefine/>
    <w:qFormat/>
    <w:rsid w:val="00D52809"/>
    <w:pPr>
      <w:spacing w:before="480"/>
    </w:pPr>
    <w:rPr>
      <w:b/>
      <w:caps/>
      <w:sz w:val="24"/>
    </w:rPr>
  </w:style>
  <w:style w:type="character" w:customStyle="1" w:styleId="HEADINGpealkirjataChar">
    <w:name w:val="HEADING (pealkirjata) Char"/>
    <w:basedOn w:val="Liguvaikefont"/>
    <w:link w:val="HEADINGpealkirjata"/>
    <w:rsid w:val="00D52809"/>
    <w:rPr>
      <w:rFonts w:cs="Arial"/>
      <w:b/>
      <w:caps/>
      <w:sz w:val="24"/>
      <w:szCs w:val="22"/>
      <w:lang w:eastAsia="en-US"/>
    </w:rPr>
  </w:style>
  <w:style w:type="paragraph" w:customStyle="1" w:styleId="Kuupev1">
    <w:name w:val="Kuupäev1"/>
    <w:basedOn w:val="Normaallaad"/>
    <w:link w:val="KuupevChar"/>
    <w:qFormat/>
    <w:rsid w:val="009B3329"/>
    <w:rPr>
      <w:noProof/>
    </w:rPr>
  </w:style>
  <w:style w:type="character" w:customStyle="1" w:styleId="KuupevChar">
    <w:name w:val="Kuupäev Char"/>
    <w:basedOn w:val="Liguvaikefont"/>
    <w:link w:val="Kuupev1"/>
    <w:rsid w:val="009B3329"/>
    <w:rPr>
      <w:rFonts w:cs="Arial"/>
      <w:noProof/>
      <w:szCs w:val="22"/>
      <w:lang w:eastAsia="en-US"/>
    </w:rPr>
  </w:style>
  <w:style w:type="paragraph" w:styleId="igusallikateloend">
    <w:name w:val="table of authorities"/>
    <w:basedOn w:val="Normaallaad"/>
    <w:next w:val="Normaallaad"/>
    <w:uiPriority w:val="99"/>
    <w:unhideWhenUsed/>
    <w:rsid w:val="009B3329"/>
    <w:pPr>
      <w:spacing w:after="0"/>
      <w:ind w:left="200" w:hanging="200"/>
    </w:pPr>
  </w:style>
  <w:style w:type="paragraph" w:styleId="SK7">
    <w:name w:val="toc 7"/>
    <w:basedOn w:val="Normaallaad"/>
    <w:next w:val="Normaallaad"/>
    <w:autoRedefine/>
    <w:uiPriority w:val="39"/>
    <w:unhideWhenUsed/>
    <w:rsid w:val="00F77AFF"/>
    <w:pPr>
      <w:spacing w:before="0" w:after="0"/>
      <w:ind w:left="1000"/>
    </w:pPr>
    <w:rPr>
      <w:rFonts w:asciiTheme="minorHAnsi" w:hAnsiTheme="minorHAnsi" w:cstheme="minorHAnsi"/>
      <w:szCs w:val="20"/>
    </w:rPr>
  </w:style>
  <w:style w:type="paragraph" w:styleId="SK5">
    <w:name w:val="toc 5"/>
    <w:basedOn w:val="Normaallaad"/>
    <w:next w:val="Normaallaad"/>
    <w:autoRedefine/>
    <w:uiPriority w:val="39"/>
    <w:unhideWhenUsed/>
    <w:rsid w:val="003C4520"/>
    <w:pPr>
      <w:spacing w:before="0" w:after="0"/>
      <w:ind w:left="600"/>
    </w:pPr>
    <w:rPr>
      <w:rFonts w:asciiTheme="minorHAnsi" w:hAnsiTheme="minorHAnsi" w:cstheme="minorHAnsi"/>
      <w:szCs w:val="20"/>
    </w:rPr>
  </w:style>
  <w:style w:type="paragraph" w:styleId="SK6">
    <w:name w:val="toc 6"/>
    <w:basedOn w:val="Normaallaad"/>
    <w:next w:val="Normaallaad"/>
    <w:autoRedefine/>
    <w:uiPriority w:val="39"/>
    <w:unhideWhenUsed/>
    <w:rsid w:val="003C4520"/>
    <w:pPr>
      <w:spacing w:before="0" w:after="0"/>
      <w:ind w:left="800"/>
    </w:pPr>
    <w:rPr>
      <w:rFonts w:asciiTheme="minorHAnsi" w:hAnsiTheme="minorHAnsi" w:cstheme="minorHAnsi"/>
      <w:szCs w:val="20"/>
    </w:rPr>
  </w:style>
  <w:style w:type="paragraph" w:styleId="SK8">
    <w:name w:val="toc 8"/>
    <w:basedOn w:val="Normaallaad"/>
    <w:next w:val="Normaallaad"/>
    <w:autoRedefine/>
    <w:uiPriority w:val="39"/>
    <w:unhideWhenUsed/>
    <w:rsid w:val="003C4520"/>
    <w:pPr>
      <w:spacing w:before="0" w:after="0"/>
      <w:ind w:left="1200"/>
    </w:pPr>
    <w:rPr>
      <w:rFonts w:asciiTheme="minorHAnsi" w:hAnsiTheme="minorHAnsi" w:cstheme="minorHAnsi"/>
      <w:szCs w:val="20"/>
    </w:rPr>
  </w:style>
  <w:style w:type="paragraph" w:styleId="SK9">
    <w:name w:val="toc 9"/>
    <w:basedOn w:val="Normaallaad"/>
    <w:next w:val="Normaallaad"/>
    <w:autoRedefine/>
    <w:uiPriority w:val="39"/>
    <w:unhideWhenUsed/>
    <w:rsid w:val="003C4520"/>
    <w:pPr>
      <w:spacing w:before="0" w:after="0"/>
      <w:ind w:left="1400"/>
    </w:pPr>
    <w:rPr>
      <w:rFonts w:asciiTheme="minorHAnsi" w:hAnsiTheme="minorHAnsi" w:cstheme="minorHAnsi"/>
      <w:szCs w:val="20"/>
    </w:rPr>
  </w:style>
  <w:style w:type="character" w:customStyle="1" w:styleId="PisMrk">
    <w:name w:val="Päis Märk"/>
    <w:basedOn w:val="Liguvaikefont"/>
    <w:link w:val="Pis"/>
    <w:uiPriority w:val="99"/>
    <w:rsid w:val="00BE3A07"/>
    <w:rPr>
      <w:rFonts w:cs="Arial"/>
      <w:szCs w:val="22"/>
      <w:lang w:eastAsia="en-US"/>
    </w:rPr>
  </w:style>
  <w:style w:type="paragraph" w:customStyle="1" w:styleId="Dokumendisuurpealkiri">
    <w:name w:val="Dokumendi suur pealkiri"/>
    <w:basedOn w:val="HEADINGpealkirjata"/>
    <w:link w:val="DokumendisuurpealkiriChar"/>
    <w:autoRedefine/>
    <w:qFormat/>
    <w:rsid w:val="00D52809"/>
    <w:pPr>
      <w:spacing w:before="600" w:after="480" w:line="240" w:lineRule="auto"/>
    </w:pPr>
    <w:rPr>
      <w:sz w:val="40"/>
    </w:rPr>
  </w:style>
  <w:style w:type="character" w:customStyle="1" w:styleId="DokumendisuurpealkiriChar">
    <w:name w:val="Dokumendi suur pealkiri Char"/>
    <w:basedOn w:val="HEADINGpealkirjataChar"/>
    <w:link w:val="Dokumendisuurpealkiri"/>
    <w:rsid w:val="00D52809"/>
    <w:rPr>
      <w:rFonts w:cs="Arial"/>
      <w:b/>
      <w:caps/>
      <w:sz w:val="40"/>
      <w:szCs w:val="22"/>
      <w:lang w:eastAsia="en-US"/>
    </w:rPr>
  </w:style>
  <w:style w:type="paragraph" w:customStyle="1" w:styleId="Nummerdatudloetelu">
    <w:name w:val="Nummerdatud loetelu"/>
    <w:basedOn w:val="Normaallaad"/>
    <w:link w:val="NummerdatudloeteluChar"/>
    <w:autoRedefine/>
    <w:qFormat/>
    <w:rsid w:val="0077313C"/>
    <w:pPr>
      <w:numPr>
        <w:ilvl w:val="1"/>
        <w:numId w:val="6"/>
      </w:numPr>
      <w:spacing w:before="120"/>
    </w:pPr>
  </w:style>
  <w:style w:type="character" w:customStyle="1" w:styleId="NummerdatudloeteluChar">
    <w:name w:val="Nummerdatud loetelu Char"/>
    <w:basedOn w:val="Liguvaikefont"/>
    <w:link w:val="Nummerdatudloetelu"/>
    <w:rsid w:val="0077313C"/>
    <w:rPr>
      <w:rFonts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lkf.sise\dfs\kataloogid\Tugiteenused\Muu\Blanketid_vormid_stiil\Blanketid&amp;muud_pohivormid\Templates\EKsL_universaalne.dotx" TargetMode="External"/></Relationships>
</file>

<file path=word/theme/theme1.xml><?xml version="1.0" encoding="utf-8"?>
<a:theme xmlns:a="http://schemas.openxmlformats.org/drawingml/2006/main" name="LKF_EKsL">
  <a:themeElements>
    <a:clrScheme name="Custom 1">
      <a:dk1>
        <a:srgbClr val="000000"/>
      </a:dk1>
      <a:lt1>
        <a:srgbClr val="FFFFFF"/>
      </a:lt1>
      <a:dk2>
        <a:srgbClr val="3C1D73"/>
      </a:dk2>
      <a:lt2>
        <a:srgbClr val="6DBC43"/>
      </a:lt2>
      <a:accent1>
        <a:srgbClr val="471A83"/>
      </a:accent1>
      <a:accent2>
        <a:srgbClr val="14349A"/>
      </a:accent2>
      <a:accent3>
        <a:srgbClr val="4AAEE0"/>
      </a:accent3>
      <a:accent4>
        <a:srgbClr val="FDE0E0"/>
      </a:accent4>
      <a:accent5>
        <a:srgbClr val="FFBE95"/>
      </a:accent5>
      <a:accent6>
        <a:srgbClr val="FFCE20"/>
      </a:accent6>
      <a:hlink>
        <a:srgbClr val="6DBC43"/>
      </a:hlink>
      <a:folHlink>
        <a:srgbClr val="6DBC43"/>
      </a:folHlink>
    </a:clrScheme>
    <a:fontScheme name="Klassikaline Office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D7C9C-75C2-4BDF-924E-CE1A370CA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EKsL_universaalne.dotx</Template>
  <TotalTime>53</TotalTime>
  <Pages>4</Pages>
  <Words>1215</Words>
  <Characters>7049</Characters>
  <Application>Microsoft Office Word</Application>
  <DocSecurity>0</DocSecurity>
  <Lines>58</Lines>
  <Paragraphs>16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Dokument</vt:lpstr>
      <vt:lpstr>Dokument</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subject/>
  <dc:creator>Andres Piirsalu</dc:creator>
  <cp:keywords/>
  <dc:description/>
  <cp:lastModifiedBy>Martti Merila</cp:lastModifiedBy>
  <cp:revision>40</cp:revision>
  <cp:lastPrinted>2012-10-01T05:15:00Z</cp:lastPrinted>
  <dcterms:created xsi:type="dcterms:W3CDTF">2026-09-22T09:10:00Z</dcterms:created>
  <dcterms:modified xsi:type="dcterms:W3CDTF">2026-09-28T10:30:00Z</dcterms:modified>
</cp:coreProperties>
</file>