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01805810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40ED3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40ED3">
                    <w:rPr>
                      <w:rFonts w:eastAsia="Times New Roman" w:cs="Arial"/>
                    </w:rPr>
                    <w:t>18.12.2024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45C7816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40ED3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40ED3">
                    <w:rPr>
                      <w:rFonts w:eastAsia="Times New Roman" w:cs="Arial"/>
                    </w:rPr>
                    <w:t>58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1C440C3C" w:rsidR="00C21D9A" w:rsidRPr="00640CAA" w:rsidRDefault="00FE755F" w:rsidP="00B066FE">
            <w:pPr>
              <w:rPr>
                <w:rFonts w:cs="Arial"/>
                <w:b/>
                <w:bCs/>
              </w:rPr>
            </w:pPr>
            <w:r w:rsidRPr="00640CAA">
              <w:rPr>
                <w:rFonts w:cs="Arial"/>
                <w:b/>
                <w:bCs/>
              </w:rPr>
              <w:fldChar w:fldCharType="begin"/>
            </w:r>
            <w:r w:rsidR="00040ED3">
              <w:rPr>
                <w:rFonts w:cs="Arial"/>
                <w:b/>
                <w:bCs/>
              </w:rPr>
              <w:instrText xml:space="preserve"> delta_docName</w:instrText>
            </w:r>
            <w:r w:rsidRPr="00640CAA">
              <w:rPr>
                <w:rFonts w:cs="Arial"/>
                <w:b/>
                <w:bCs/>
              </w:rPr>
              <w:fldChar w:fldCharType="separate"/>
            </w:r>
            <w:r w:rsidR="00040ED3">
              <w:rPr>
                <w:rFonts w:cs="Arial"/>
                <w:b/>
                <w:bCs/>
              </w:rPr>
              <w:t>Sotsiaalkaitseministri 21. detsembri 2015. a määruse nr 74 „Abivahendite loetelu, abivahendite eest tasu maksmise kohustuse riigi poolt ülevõtmise otsustamise ja erandite tegemise tingimused ja kord ning abivahendi kaardi andmed“ muutmine</w:t>
            </w:r>
            <w:r w:rsidRPr="00640CAA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284F461C" w14:textId="77777777" w:rsidR="00640CAA" w:rsidRPr="000041AF" w:rsidRDefault="00640CAA" w:rsidP="00640CAA">
      <w:pPr>
        <w:jc w:val="both"/>
      </w:pPr>
      <w:r w:rsidRPr="000041AF">
        <w:t xml:space="preserve">Määrus kehtestatakse sotsiaalhoolekande seaduse </w:t>
      </w:r>
      <w:r w:rsidRPr="000041AF">
        <w:rPr>
          <w:rFonts w:cs="Arial"/>
          <w:color w:val="202020"/>
          <w:shd w:val="clear" w:color="auto" w:fill="FFFFFF"/>
        </w:rPr>
        <w:t>§ 47 lõigete 2</w:t>
      </w:r>
      <w:r w:rsidRPr="000041AF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Pr="000041AF">
        <w:rPr>
          <w:rFonts w:cs="Arial"/>
          <w:color w:val="202020"/>
          <w:shd w:val="clear" w:color="auto" w:fill="FFFFFF"/>
        </w:rPr>
        <w:t>, 3</w:t>
      </w:r>
      <w:r w:rsidRPr="000041AF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4</w:t>
      </w:r>
      <w:r w:rsidRPr="000041AF">
        <w:rPr>
          <w:rFonts w:cs="Arial"/>
          <w:color w:val="202020"/>
          <w:shd w:val="clear" w:color="auto" w:fill="FFFFFF"/>
        </w:rPr>
        <w:t>, 5 ja 8, § 48 lõike 2, § 50 lõike 10, § 51 lõike 2, § 52 lõike 3 ning § 55 lõigete 2</w:t>
      </w:r>
      <w:r w:rsidRPr="000041AF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Pr="009B72EF">
        <w:rPr>
          <w:rFonts w:cs="Arial"/>
          <w:color w:val="202020"/>
          <w:bdr w:val="none" w:sz="0" w:space="0" w:color="auto" w:frame="1"/>
          <w:shd w:val="clear" w:color="auto" w:fill="FFFFFF"/>
        </w:rPr>
        <w:t xml:space="preserve"> </w:t>
      </w:r>
      <w:r w:rsidRPr="000041AF">
        <w:rPr>
          <w:rFonts w:cs="Arial"/>
          <w:color w:val="202020"/>
          <w:shd w:val="clear" w:color="auto" w:fill="FFFFFF"/>
        </w:rPr>
        <w:t>ja 3 alusel</w:t>
      </w:r>
      <w:r w:rsidRPr="000041AF">
        <w:t>.</w:t>
      </w:r>
    </w:p>
    <w:p w14:paraId="198E7BB3" w14:textId="77777777" w:rsidR="007352AA" w:rsidRDefault="007352AA" w:rsidP="00094BF0">
      <w:pPr>
        <w:rPr>
          <w:rFonts w:cs="Arial"/>
        </w:rPr>
      </w:pPr>
    </w:p>
    <w:p w14:paraId="5E134D04" w14:textId="77777777" w:rsidR="00640CAA" w:rsidRPr="000041AF" w:rsidRDefault="00640CAA" w:rsidP="00640CAA">
      <w:pPr>
        <w:jc w:val="both"/>
      </w:pPr>
      <w:r w:rsidRPr="000041AF">
        <w:rPr>
          <w:b/>
          <w:bCs/>
        </w:rPr>
        <w:t>§ 1.</w:t>
      </w:r>
      <w:r w:rsidRPr="000041AF">
        <w:t xml:space="preserve"> </w:t>
      </w:r>
      <w:r w:rsidRPr="000041AF">
        <w:rPr>
          <w:b/>
          <w:bCs/>
        </w:rPr>
        <w:t>Määruse muutmine</w:t>
      </w:r>
    </w:p>
    <w:p w14:paraId="257E84DF" w14:textId="77777777" w:rsidR="00640CAA" w:rsidRPr="000041AF" w:rsidRDefault="00640CAA" w:rsidP="00640CAA">
      <w:pPr>
        <w:jc w:val="both"/>
      </w:pPr>
    </w:p>
    <w:p w14:paraId="01BC2081" w14:textId="2807F05D" w:rsidR="00640CAA" w:rsidRPr="000041AF" w:rsidRDefault="00640CAA" w:rsidP="00640CAA">
      <w:pPr>
        <w:jc w:val="both"/>
      </w:pPr>
      <w:r w:rsidRPr="000041AF">
        <w:t>Sotsiaalkaitseministri 21. detsembri 2015. a määruses nr 74 „Abivahendite loetelu, abivahendite eest tasu maksmise kohustuse riigi poolt ülevõtmise otsustamise ja erandite tegemise tingimused ja kord ning abivahendi kaardi andmed“ tehakse järgmised muudatused:</w:t>
      </w:r>
    </w:p>
    <w:p w14:paraId="29379EE6" w14:textId="77777777" w:rsidR="00640CAA" w:rsidRPr="000041AF" w:rsidRDefault="00640CAA" w:rsidP="00640CAA">
      <w:pPr>
        <w:jc w:val="both"/>
      </w:pPr>
    </w:p>
    <w:p w14:paraId="55D7B393" w14:textId="77777777" w:rsidR="00640CAA" w:rsidRPr="000041AF" w:rsidRDefault="00640CAA" w:rsidP="00640CAA">
      <w:pPr>
        <w:jc w:val="both"/>
        <w:rPr>
          <w:rFonts w:eastAsia="Times New Roman" w:cs="Arial"/>
          <w:bdr w:val="none" w:sz="0" w:space="0" w:color="auto" w:frame="1"/>
          <w:lang w:eastAsia="et-EE"/>
        </w:rPr>
      </w:pPr>
      <w:r w:rsidRPr="000041AF">
        <w:rPr>
          <w:b/>
          <w:bCs/>
        </w:rPr>
        <w:t>1)</w:t>
      </w:r>
      <w:r w:rsidRPr="000041AF">
        <w:t xml:space="preserve"> määruse pealkiri sõnastatakse järgmiselt</w:t>
      </w:r>
      <w:r w:rsidRPr="000041AF">
        <w:rPr>
          <w:rFonts w:eastAsia="Times New Roman" w:cs="Arial"/>
          <w:bdr w:val="none" w:sz="0" w:space="0" w:color="auto" w:frame="1"/>
          <w:lang w:eastAsia="et-EE"/>
        </w:rPr>
        <w:t>:</w:t>
      </w:r>
    </w:p>
    <w:p w14:paraId="4F10ECF6" w14:textId="77777777" w:rsidR="00640CAA" w:rsidRPr="000041AF" w:rsidRDefault="00640CAA" w:rsidP="00640CAA">
      <w:pPr>
        <w:jc w:val="both"/>
        <w:rPr>
          <w:rFonts w:eastAsia="Times New Roman" w:cs="Arial"/>
          <w:bdr w:val="none" w:sz="0" w:space="0" w:color="auto" w:frame="1"/>
          <w:lang w:eastAsia="et-EE"/>
        </w:rPr>
      </w:pPr>
    </w:p>
    <w:p w14:paraId="575F7C0C" w14:textId="77777777" w:rsidR="00640CAA" w:rsidRPr="000041AF" w:rsidRDefault="00640CAA" w:rsidP="00640CAA">
      <w:pPr>
        <w:jc w:val="both"/>
      </w:pPr>
      <w:r w:rsidRPr="000041AF">
        <w:t>„</w:t>
      </w:r>
      <w:r w:rsidRPr="000041AF">
        <w:rPr>
          <w:b/>
          <w:bCs/>
        </w:rPr>
        <w:t>Abivahendite loetelu, tasu maksmise kohustuse ülevõtmise tingimused ning abivahendi tõendi ja kaardi andmed</w:t>
      </w:r>
      <w:r w:rsidRPr="000041AF">
        <w:t>“;</w:t>
      </w:r>
    </w:p>
    <w:p w14:paraId="0526BAAB" w14:textId="77777777" w:rsidR="00640CAA" w:rsidRPr="000041AF" w:rsidRDefault="00640CAA" w:rsidP="00640CAA">
      <w:pPr>
        <w:jc w:val="both"/>
        <w:rPr>
          <w:rFonts w:cs="Arial"/>
        </w:rPr>
      </w:pPr>
    </w:p>
    <w:p w14:paraId="39D3F196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2)</w:t>
      </w:r>
      <w:r w:rsidRPr="000041AF">
        <w:rPr>
          <w:rFonts w:cs="Arial"/>
        </w:rPr>
        <w:t xml:space="preserve"> määruse preambul sõnastatakse järgmiselt:</w:t>
      </w:r>
    </w:p>
    <w:p w14:paraId="12E7DB91" w14:textId="77777777" w:rsidR="00640CAA" w:rsidRPr="000041AF" w:rsidRDefault="00640CAA" w:rsidP="00640CAA">
      <w:pPr>
        <w:jc w:val="both"/>
        <w:rPr>
          <w:rFonts w:cs="Arial"/>
        </w:rPr>
      </w:pPr>
    </w:p>
    <w:p w14:paraId="63DEF582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„Määrus kehtestatakse sotsiaalhoolekande seaduse § 47 lõigete 2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>, 3</w:t>
      </w:r>
      <w:r w:rsidRPr="000041AF">
        <w:rPr>
          <w:rFonts w:cs="Arial"/>
          <w:vertAlign w:val="superscript"/>
        </w:rPr>
        <w:t>4</w:t>
      </w:r>
      <w:r w:rsidRPr="000041AF">
        <w:rPr>
          <w:rFonts w:cs="Arial"/>
        </w:rPr>
        <w:t>, 5 ja 8, § 48 lõike 2, § 51 lõike 2, § 52 lõike 3 ning § 55 lõigete 2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 xml:space="preserve"> ja 3 alusel.</w:t>
      </w:r>
      <w:bookmarkStart w:id="0" w:name="_Hlk185232707"/>
      <w:r w:rsidRPr="000041AF">
        <w:rPr>
          <w:rFonts w:cs="Arial"/>
        </w:rPr>
        <w:t>“</w:t>
      </w:r>
      <w:bookmarkEnd w:id="0"/>
      <w:r w:rsidRPr="000041AF">
        <w:rPr>
          <w:rFonts w:cs="Arial"/>
        </w:rPr>
        <w:t>;</w:t>
      </w:r>
    </w:p>
    <w:p w14:paraId="7B7D6007" w14:textId="77777777" w:rsidR="00640CAA" w:rsidRPr="000041AF" w:rsidRDefault="00640CAA" w:rsidP="00640CAA">
      <w:pPr>
        <w:jc w:val="both"/>
        <w:rPr>
          <w:rFonts w:cs="Arial"/>
        </w:rPr>
      </w:pPr>
    </w:p>
    <w:p w14:paraId="13D9EAA6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3)</w:t>
      </w:r>
      <w:r w:rsidRPr="000041AF">
        <w:rPr>
          <w:rFonts w:cs="Arial"/>
        </w:rPr>
        <w:t xml:space="preserve"> määruse preambul sõnastatakse järgmiselt:</w:t>
      </w:r>
    </w:p>
    <w:p w14:paraId="2A0BB0C2" w14:textId="77777777" w:rsidR="00640CAA" w:rsidRPr="000041AF" w:rsidRDefault="00640CAA" w:rsidP="00640CAA">
      <w:pPr>
        <w:jc w:val="both"/>
        <w:rPr>
          <w:rFonts w:cs="Arial"/>
        </w:rPr>
      </w:pPr>
    </w:p>
    <w:p w14:paraId="1D88BCC6" w14:textId="58FE1F69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„Määrus kehtestatakse sotsiaalhoolekande seaduse § 47 lõigete 1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>,</w:t>
      </w:r>
      <w:r w:rsidRPr="000041AF" w:rsidDel="000C16DD">
        <w:rPr>
          <w:rFonts w:cs="Arial"/>
        </w:rPr>
        <w:t xml:space="preserve"> </w:t>
      </w:r>
      <w:r w:rsidRPr="000041AF">
        <w:rPr>
          <w:rFonts w:cs="Arial"/>
        </w:rPr>
        <w:t>3</w:t>
      </w:r>
      <w:r w:rsidRPr="000041AF">
        <w:rPr>
          <w:rFonts w:cs="Arial"/>
          <w:vertAlign w:val="superscript"/>
        </w:rPr>
        <w:t>4</w:t>
      </w:r>
      <w:r w:rsidRPr="000041AF">
        <w:rPr>
          <w:rFonts w:cs="Arial"/>
        </w:rPr>
        <w:t>, 5 ja 8, § 48 lõike 2,</w:t>
      </w:r>
      <w:r w:rsidRPr="000041AF" w:rsidDel="006F3F97">
        <w:rPr>
          <w:rFonts w:cs="Arial"/>
        </w:rPr>
        <w:t xml:space="preserve"> </w:t>
      </w:r>
      <w:r w:rsidRPr="000041AF">
        <w:rPr>
          <w:rFonts w:cs="Arial"/>
        </w:rPr>
        <w:t>§ 51 lõike 2, § 52 lõike 3 ning § 55 lõigete 2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 xml:space="preserve"> ja 3 alusel.</w:t>
      </w:r>
      <w:r w:rsidR="0011055D" w:rsidRPr="0011055D">
        <w:rPr>
          <w:rFonts w:cs="Arial"/>
        </w:rPr>
        <w:t xml:space="preserve"> </w:t>
      </w:r>
      <w:r w:rsidR="0011055D" w:rsidRPr="000041AF">
        <w:rPr>
          <w:rFonts w:cs="Arial"/>
        </w:rPr>
        <w:t>“</w:t>
      </w:r>
      <w:r w:rsidRPr="000041AF">
        <w:rPr>
          <w:rFonts w:cs="Arial"/>
        </w:rPr>
        <w:t>;</w:t>
      </w:r>
    </w:p>
    <w:p w14:paraId="21BEB78C" w14:textId="77777777" w:rsidR="00640CAA" w:rsidRPr="000041AF" w:rsidRDefault="00640CAA" w:rsidP="00640CAA">
      <w:pPr>
        <w:jc w:val="both"/>
        <w:rPr>
          <w:rFonts w:cs="Arial"/>
        </w:rPr>
      </w:pPr>
    </w:p>
    <w:p w14:paraId="2C943181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4)</w:t>
      </w:r>
      <w:r w:rsidRPr="000041AF">
        <w:rPr>
          <w:rFonts w:cs="Arial"/>
        </w:rPr>
        <w:t xml:space="preserve"> paragrahvi 1 tekst sõnastatakse järgmiselt:</w:t>
      </w:r>
    </w:p>
    <w:p w14:paraId="4C3BEBD1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</w:p>
    <w:p w14:paraId="31D2957B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>„Määruse</w:t>
      </w:r>
      <w:r>
        <w:rPr>
          <w:rFonts w:cs="Arial"/>
        </w:rPr>
        <w:t>s</w:t>
      </w:r>
      <w:r w:rsidRPr="000041AF">
        <w:rPr>
          <w:rFonts w:cs="Arial"/>
        </w:rPr>
        <w:t xml:space="preserve"> sätestatakse:</w:t>
      </w:r>
    </w:p>
    <w:p w14:paraId="76BD6061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>1) abivahendite loetelu, kuhu on kantud sotsiaalhoolekande seaduse § 48 lõikes 3 nimetatud andmed (määruse lisa);</w:t>
      </w:r>
    </w:p>
    <w:p w14:paraId="5A275B21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 xml:space="preserve">2) abivahendi kasutamise vajaduse </w:t>
      </w:r>
      <w:proofErr w:type="spellStart"/>
      <w:r w:rsidRPr="000041AF">
        <w:rPr>
          <w:rFonts w:cs="Arial"/>
        </w:rPr>
        <w:t>tuvastajad</w:t>
      </w:r>
      <w:proofErr w:type="spellEnd"/>
      <w:r w:rsidRPr="000041AF">
        <w:rPr>
          <w:rFonts w:cs="Arial"/>
        </w:rPr>
        <w:t xml:space="preserve"> sõltuvalt abivahendi keerukusest;</w:t>
      </w:r>
    </w:p>
    <w:p w14:paraId="32DFDE6D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>3) tasu maksmise kohustuse ülevõtmise taotlemisel taotlusele kantavate andmete ja taotlusele lisatavate dokumentide loetelu;</w:t>
      </w:r>
    </w:p>
    <w:p w14:paraId="5164C27B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>4) abivahendi kaardi andmekoosseis;</w:t>
      </w:r>
    </w:p>
    <w:p w14:paraId="2185BC15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>5) abivahendi kasutamise nõustamine;</w:t>
      </w:r>
    </w:p>
    <w:p w14:paraId="228D2B7A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lastRenderedPageBreak/>
        <w:t xml:space="preserve">6) abivahendi eest tasu maksmise kohustuse erandkorras ülevõtmise otsustamise (edaspidi </w:t>
      </w:r>
      <w:r w:rsidRPr="000041AF">
        <w:rPr>
          <w:rFonts w:cs="Arial"/>
          <w:i/>
          <w:iCs/>
        </w:rPr>
        <w:t>erandi otsustami</w:t>
      </w:r>
      <w:r>
        <w:rPr>
          <w:rFonts w:cs="Arial"/>
          <w:i/>
          <w:iCs/>
        </w:rPr>
        <w:t>n</w:t>
      </w:r>
      <w:r w:rsidRPr="000041AF">
        <w:rPr>
          <w:rFonts w:cs="Arial"/>
          <w:i/>
          <w:iCs/>
        </w:rPr>
        <w:t>e</w:t>
      </w:r>
      <w:r w:rsidRPr="000041AF">
        <w:rPr>
          <w:rFonts w:cs="Arial"/>
        </w:rPr>
        <w:t xml:space="preserve">) täpsemad tingimused; </w:t>
      </w:r>
    </w:p>
    <w:p w14:paraId="1CC9A37D" w14:textId="77777777" w:rsidR="00640CAA" w:rsidRDefault="00640CAA" w:rsidP="00640CAA">
      <w:pPr>
        <w:tabs>
          <w:tab w:val="left" w:pos="2400"/>
        </w:tabs>
        <w:jc w:val="both"/>
        <w:rPr>
          <w:rFonts w:cs="Arial"/>
        </w:rPr>
      </w:pPr>
      <w:r w:rsidRPr="000041AF">
        <w:rPr>
          <w:rFonts w:cs="Arial"/>
        </w:rPr>
        <w:t>7) spetsialistid, kellel on abivahendi müümiseks või üürimiseks sobiv kvalifikatsioon ja ettevalmistus</w:t>
      </w:r>
      <w:r>
        <w:rPr>
          <w:rFonts w:cs="Arial"/>
        </w:rPr>
        <w:t>;</w:t>
      </w:r>
    </w:p>
    <w:p w14:paraId="7E91C6C7" w14:textId="77777777" w:rsidR="00640CAA" w:rsidRPr="000041AF" w:rsidRDefault="00640CAA" w:rsidP="00640CAA">
      <w:pPr>
        <w:tabs>
          <w:tab w:val="left" w:pos="2400"/>
        </w:tabs>
        <w:jc w:val="both"/>
        <w:rPr>
          <w:rFonts w:cs="Arial"/>
        </w:rPr>
      </w:pPr>
      <w:r>
        <w:rPr>
          <w:rFonts w:cs="Arial"/>
        </w:rPr>
        <w:t>8)</w:t>
      </w:r>
      <w:r w:rsidRPr="00CD7E79">
        <w:rPr>
          <w:rFonts w:cs="Arial"/>
        </w:rPr>
        <w:t> isikule enne puude raskusastme tuvastamist või töövõime hindamist vajalike, isiku igapäevaelus toimetulekut toetavate abivahendite loetelu.</w:t>
      </w:r>
      <w:r w:rsidRPr="000041AF">
        <w:rPr>
          <w:rFonts w:cs="Arial"/>
        </w:rPr>
        <w:t>“;</w:t>
      </w:r>
    </w:p>
    <w:p w14:paraId="3983AE5D" w14:textId="77777777" w:rsidR="00640CAA" w:rsidRPr="000041AF" w:rsidRDefault="00640CAA" w:rsidP="00640CAA">
      <w:pPr>
        <w:jc w:val="both"/>
        <w:rPr>
          <w:rFonts w:cs="Arial"/>
        </w:rPr>
      </w:pPr>
    </w:p>
    <w:p w14:paraId="0BC4F92F" w14:textId="77777777" w:rsidR="00640CAA" w:rsidRPr="00640CAA" w:rsidRDefault="00640CAA" w:rsidP="00640CAA">
      <w:pPr>
        <w:jc w:val="both"/>
        <w:rPr>
          <w:rFonts w:cs="Arial"/>
        </w:rPr>
      </w:pPr>
      <w:r w:rsidRPr="00640CAA">
        <w:rPr>
          <w:rFonts w:cs="Arial"/>
          <w:b/>
          <w:bCs/>
        </w:rPr>
        <w:t xml:space="preserve">5) </w:t>
      </w:r>
      <w:r w:rsidRPr="00640CAA">
        <w:rPr>
          <w:rFonts w:cs="Arial"/>
        </w:rPr>
        <w:t>paragrahvi 1 punktid 3 ja 4 sõnastatakse järgmiselt:</w:t>
      </w:r>
    </w:p>
    <w:p w14:paraId="1E9839EC" w14:textId="77777777" w:rsidR="00640CAA" w:rsidRPr="00640CAA" w:rsidRDefault="00640CAA" w:rsidP="00640CAA">
      <w:pPr>
        <w:tabs>
          <w:tab w:val="left" w:pos="2400"/>
        </w:tabs>
        <w:jc w:val="both"/>
        <w:rPr>
          <w:rFonts w:cs="Arial"/>
        </w:rPr>
      </w:pPr>
    </w:p>
    <w:p w14:paraId="50F2CEE7" w14:textId="77839E35" w:rsidR="00640CAA" w:rsidRPr="00640CAA" w:rsidRDefault="00640CAA" w:rsidP="00640CAA">
      <w:pPr>
        <w:tabs>
          <w:tab w:val="left" w:pos="2400"/>
        </w:tabs>
        <w:jc w:val="both"/>
        <w:rPr>
          <w:rFonts w:cs="Arial"/>
        </w:rPr>
      </w:pPr>
      <w:r w:rsidRPr="00640CAA">
        <w:rPr>
          <w:rFonts w:cs="Arial"/>
        </w:rPr>
        <w:t>„3) tasu maksmise kohustuse ülevõtmise</w:t>
      </w:r>
      <w:r w:rsidR="001E5CE0">
        <w:rPr>
          <w:rFonts w:cs="Arial"/>
        </w:rPr>
        <w:t xml:space="preserve"> taotlemise</w:t>
      </w:r>
      <w:r w:rsidRPr="00640CAA">
        <w:rPr>
          <w:rFonts w:cs="Arial"/>
        </w:rPr>
        <w:t>ks vajalike andmete ja dokumentide loetelu;</w:t>
      </w:r>
    </w:p>
    <w:p w14:paraId="0DF8484A" w14:textId="77777777" w:rsidR="00640CAA" w:rsidRPr="00640CAA" w:rsidRDefault="00640CAA" w:rsidP="00640CAA">
      <w:pPr>
        <w:tabs>
          <w:tab w:val="left" w:pos="2400"/>
        </w:tabs>
        <w:jc w:val="both"/>
        <w:rPr>
          <w:rFonts w:cs="Arial"/>
        </w:rPr>
      </w:pPr>
      <w:r w:rsidRPr="00640CAA">
        <w:rPr>
          <w:rFonts w:cs="Arial"/>
        </w:rPr>
        <w:t>4) abivahendi tõendi ja kaardi andmekoosseis“;</w:t>
      </w:r>
    </w:p>
    <w:p w14:paraId="08FA0698" w14:textId="77777777" w:rsidR="00640CAA" w:rsidRPr="00640CAA" w:rsidRDefault="00640CAA" w:rsidP="00640CAA">
      <w:pPr>
        <w:jc w:val="both"/>
        <w:rPr>
          <w:rFonts w:cs="Arial"/>
        </w:rPr>
      </w:pPr>
    </w:p>
    <w:p w14:paraId="7ADBA22C" w14:textId="77777777" w:rsidR="00640CAA" w:rsidRPr="00640CAA" w:rsidRDefault="00640CAA" w:rsidP="00640CAA">
      <w:pPr>
        <w:jc w:val="both"/>
        <w:rPr>
          <w:rFonts w:cs="Arial"/>
          <w:b/>
          <w:bCs/>
        </w:rPr>
      </w:pPr>
      <w:r w:rsidRPr="00640CAA">
        <w:rPr>
          <w:rFonts w:cs="Arial"/>
          <w:b/>
          <w:bCs/>
        </w:rPr>
        <w:t xml:space="preserve">6) </w:t>
      </w:r>
      <w:r w:rsidRPr="00640CAA">
        <w:rPr>
          <w:rFonts w:cs="Arial"/>
        </w:rPr>
        <w:t>paragrahvi 1 punkt 8 tunnistatakse kehtetuks;</w:t>
      </w:r>
    </w:p>
    <w:p w14:paraId="56E97196" w14:textId="77777777" w:rsidR="00640CAA" w:rsidRPr="00640CAA" w:rsidRDefault="00640CAA" w:rsidP="00640CAA">
      <w:pPr>
        <w:jc w:val="both"/>
        <w:rPr>
          <w:rFonts w:cs="Arial"/>
        </w:rPr>
      </w:pPr>
    </w:p>
    <w:p w14:paraId="54B76E38" w14:textId="77777777" w:rsidR="00640CAA" w:rsidRPr="00640CAA" w:rsidRDefault="00640CAA" w:rsidP="00640CAA">
      <w:pPr>
        <w:jc w:val="both"/>
        <w:rPr>
          <w:rFonts w:cs="Arial"/>
        </w:rPr>
      </w:pPr>
      <w:r w:rsidRPr="00640CAA">
        <w:rPr>
          <w:rFonts w:cs="Arial"/>
          <w:b/>
          <w:bCs/>
        </w:rPr>
        <w:t>7)</w:t>
      </w:r>
      <w:r w:rsidRPr="00640CAA">
        <w:rPr>
          <w:rFonts w:cs="Arial"/>
        </w:rPr>
        <w:t xml:space="preserve"> paragrahvi 2 pealkiri sõnastatakse järgmiselt:</w:t>
      </w:r>
    </w:p>
    <w:p w14:paraId="1C0C354F" w14:textId="77777777" w:rsidR="00640CAA" w:rsidRPr="00640CAA" w:rsidRDefault="00640CAA" w:rsidP="00640CAA">
      <w:pPr>
        <w:jc w:val="both"/>
        <w:rPr>
          <w:rFonts w:cs="Arial"/>
        </w:rPr>
      </w:pPr>
    </w:p>
    <w:p w14:paraId="1B65DECF" w14:textId="086AAFF9" w:rsidR="00640CAA" w:rsidRPr="00640CAA" w:rsidRDefault="00640CAA" w:rsidP="00640CAA">
      <w:pPr>
        <w:jc w:val="both"/>
        <w:rPr>
          <w:rFonts w:cs="Arial"/>
          <w:b/>
          <w:bCs/>
        </w:rPr>
      </w:pPr>
      <w:r w:rsidRPr="00640CAA">
        <w:rPr>
          <w:rFonts w:cs="Arial"/>
        </w:rPr>
        <w:t>„</w:t>
      </w:r>
      <w:r w:rsidRPr="00640CAA">
        <w:rPr>
          <w:rFonts w:cs="Arial"/>
          <w:b/>
          <w:bCs/>
        </w:rPr>
        <w:t>§ 2. Tasu maksmise kohustuse ülevõtmise</w:t>
      </w:r>
      <w:r w:rsidR="00111910">
        <w:rPr>
          <w:rFonts w:cs="Arial"/>
          <w:b/>
          <w:bCs/>
        </w:rPr>
        <w:t xml:space="preserve"> taotlemise</w:t>
      </w:r>
      <w:r w:rsidRPr="00640CAA">
        <w:rPr>
          <w:rFonts w:cs="Arial"/>
          <w:b/>
          <w:bCs/>
        </w:rPr>
        <w:t>ks vajalikud andmed ja dokumendid</w:t>
      </w:r>
      <w:r w:rsidRPr="00640CAA">
        <w:rPr>
          <w:rFonts w:cs="Arial"/>
        </w:rPr>
        <w:t>“</w:t>
      </w:r>
    </w:p>
    <w:p w14:paraId="2E216D23" w14:textId="77777777" w:rsidR="00640CAA" w:rsidRPr="00640CAA" w:rsidRDefault="00640CAA" w:rsidP="00640CAA">
      <w:pPr>
        <w:jc w:val="both"/>
        <w:rPr>
          <w:rFonts w:cs="Arial"/>
        </w:rPr>
      </w:pPr>
    </w:p>
    <w:p w14:paraId="5364AB8F" w14:textId="77777777" w:rsidR="00640CAA" w:rsidRPr="000041AF" w:rsidRDefault="00640CAA" w:rsidP="00640CAA">
      <w:pPr>
        <w:jc w:val="both"/>
        <w:rPr>
          <w:rFonts w:cs="Arial"/>
        </w:rPr>
      </w:pPr>
      <w:r w:rsidRPr="00640CAA">
        <w:rPr>
          <w:rFonts w:cs="Arial"/>
          <w:b/>
          <w:bCs/>
        </w:rPr>
        <w:t>8)</w:t>
      </w:r>
      <w:r w:rsidRPr="00640CAA">
        <w:rPr>
          <w:rFonts w:cs="Arial"/>
        </w:rPr>
        <w:t xml:space="preserve"> paragrahvi 2 lõige 2</w:t>
      </w:r>
      <w:r w:rsidRPr="00640CAA">
        <w:rPr>
          <w:rFonts w:cs="Arial"/>
          <w:vertAlign w:val="superscript"/>
        </w:rPr>
        <w:t>1</w:t>
      </w:r>
      <w:r w:rsidRPr="00640CAA">
        <w:rPr>
          <w:rFonts w:cs="Arial"/>
        </w:rPr>
        <w:t xml:space="preserve"> sõnastatakse järgmiselt:</w:t>
      </w:r>
    </w:p>
    <w:p w14:paraId="5816709A" w14:textId="77777777" w:rsidR="00640CAA" w:rsidRPr="000041AF" w:rsidRDefault="00640CAA" w:rsidP="00640CAA">
      <w:pPr>
        <w:jc w:val="both"/>
        <w:rPr>
          <w:rFonts w:cs="Arial"/>
        </w:rPr>
      </w:pPr>
    </w:p>
    <w:p w14:paraId="6FEAB41C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„(2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>) Abivahendi kasutamise vajaduse võib tuvastada ja sellekohase tõendi väljastada:</w:t>
      </w:r>
    </w:p>
    <w:p w14:paraId="1A0C9328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1) arst;</w:t>
      </w:r>
    </w:p>
    <w:p w14:paraId="6F76181B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2) õde;</w:t>
      </w:r>
    </w:p>
    <w:p w14:paraId="2087B4F4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3) ämmaemand;</w:t>
      </w:r>
    </w:p>
    <w:p w14:paraId="1135B2E9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4) füsioterapeut, kellel on füsioterapeudi kutse või riiklikult tunnustatud kõrgharidus füsioteraapias või sellele vastav kvalifikatsioon ja kes töötab tõendi väljastamise hetkel füsioterapeudina rehabilitatsiooni- või tervishoiuteenuse osutaja juures;</w:t>
      </w:r>
    </w:p>
    <w:p w14:paraId="541D45F2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5) tegevusterapeut, kellel on tegevusterapeudi kutse või riiklikult tunnustatud kõrgharidus tegevusteraapias või sellele vastav kvalifikatsioon ja kes töötab tõendi väljastamise hetkel tegevusterapeudina rehabilitatsiooni- või tervishoiuteenuse osutaja juures;</w:t>
      </w:r>
    </w:p>
    <w:p w14:paraId="021142B0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6) logopeed, kellel on logopeedi 7. või 8. taseme kutse;</w:t>
      </w:r>
    </w:p>
    <w:p w14:paraId="6B381162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eastAsia="Arial" w:cs="Arial"/>
        </w:rPr>
        <w:t xml:space="preserve">7) audioloog, kellel on magistrikraad </w:t>
      </w:r>
      <w:proofErr w:type="spellStart"/>
      <w:r w:rsidRPr="000041AF">
        <w:rPr>
          <w:rFonts w:eastAsia="Arial" w:cs="Arial"/>
        </w:rPr>
        <w:t>audioloogias</w:t>
      </w:r>
      <w:proofErr w:type="spellEnd"/>
      <w:r w:rsidRPr="000041AF">
        <w:rPr>
          <w:rFonts w:eastAsia="Arial" w:cs="Arial"/>
        </w:rPr>
        <w:t>;</w:t>
      </w:r>
    </w:p>
    <w:p w14:paraId="60FFC653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8) rehabilitatsioonimeeskond rehabilitatsiooniplaanina.“;</w:t>
      </w:r>
    </w:p>
    <w:p w14:paraId="4F685A4F" w14:textId="77777777" w:rsidR="00640CAA" w:rsidRPr="000041AF" w:rsidRDefault="00640CAA" w:rsidP="00640CAA">
      <w:pPr>
        <w:jc w:val="both"/>
        <w:rPr>
          <w:rFonts w:cs="Arial"/>
        </w:rPr>
      </w:pPr>
    </w:p>
    <w:p w14:paraId="715D61B6" w14:textId="77777777" w:rsidR="00640CAA" w:rsidRPr="000041AF" w:rsidRDefault="00640CAA" w:rsidP="00640CAA">
      <w:pPr>
        <w:jc w:val="both"/>
        <w:rPr>
          <w:rFonts w:cs="Arial"/>
        </w:rPr>
      </w:pPr>
      <w:r>
        <w:rPr>
          <w:rFonts w:cs="Arial"/>
          <w:b/>
          <w:bCs/>
        </w:rPr>
        <w:t>9</w:t>
      </w:r>
      <w:r w:rsidRPr="000041AF">
        <w:rPr>
          <w:rFonts w:cs="Arial"/>
          <w:b/>
          <w:bCs/>
        </w:rPr>
        <w:t>)</w:t>
      </w:r>
      <w:r w:rsidRPr="000041AF">
        <w:rPr>
          <w:rFonts w:cs="Arial"/>
        </w:rPr>
        <w:t xml:space="preserve"> paragrahvi 2 lõiked 2</w:t>
      </w:r>
      <w:r w:rsidRPr="000041AF">
        <w:rPr>
          <w:rFonts w:cs="Arial"/>
          <w:vertAlign w:val="superscript"/>
        </w:rPr>
        <w:t>2</w:t>
      </w:r>
      <w:r w:rsidRPr="000041AF">
        <w:rPr>
          <w:rFonts w:cs="Arial"/>
        </w:rPr>
        <w:t>–3 tunnistatakse kehtetuks;</w:t>
      </w:r>
    </w:p>
    <w:p w14:paraId="267A7B3B" w14:textId="77777777" w:rsidR="00640CAA" w:rsidRPr="000041AF" w:rsidRDefault="00640CAA" w:rsidP="00640CAA">
      <w:pPr>
        <w:jc w:val="both"/>
        <w:rPr>
          <w:rFonts w:cs="Arial"/>
        </w:rPr>
      </w:pPr>
    </w:p>
    <w:p w14:paraId="43D64081" w14:textId="77777777" w:rsidR="00640CAA" w:rsidRPr="000041AF" w:rsidRDefault="00640CAA" w:rsidP="00640CAA">
      <w:pPr>
        <w:jc w:val="both"/>
        <w:rPr>
          <w:rFonts w:cs="Arial"/>
        </w:rPr>
      </w:pPr>
      <w:r>
        <w:rPr>
          <w:rFonts w:cs="Arial"/>
          <w:b/>
          <w:bCs/>
        </w:rPr>
        <w:t>10</w:t>
      </w:r>
      <w:r w:rsidRPr="000041AF">
        <w:rPr>
          <w:rFonts w:cs="Arial"/>
          <w:b/>
          <w:bCs/>
        </w:rPr>
        <w:t>)</w:t>
      </w:r>
      <w:r w:rsidRPr="000041AF">
        <w:rPr>
          <w:rFonts w:cs="Arial"/>
        </w:rPr>
        <w:t xml:space="preserve"> määrust täiendatakse §-ga 2</w:t>
      </w:r>
      <w:r w:rsidRPr="000041AF">
        <w:rPr>
          <w:rFonts w:cs="Arial"/>
          <w:vertAlign w:val="superscript"/>
        </w:rPr>
        <w:t>1</w:t>
      </w:r>
      <w:r w:rsidRPr="009B72EF">
        <w:rPr>
          <w:rFonts w:cs="Arial"/>
        </w:rPr>
        <w:t xml:space="preserve"> </w:t>
      </w:r>
      <w:r w:rsidRPr="000041AF">
        <w:rPr>
          <w:rFonts w:cs="Arial"/>
        </w:rPr>
        <w:t>järgmises sõnastuses:</w:t>
      </w:r>
    </w:p>
    <w:p w14:paraId="0D7565F0" w14:textId="77777777" w:rsidR="00640CAA" w:rsidRPr="000041AF" w:rsidRDefault="00640CAA" w:rsidP="00640CAA">
      <w:pPr>
        <w:jc w:val="both"/>
        <w:rPr>
          <w:rFonts w:cs="Arial"/>
        </w:rPr>
      </w:pPr>
    </w:p>
    <w:p w14:paraId="6BD47031" w14:textId="77777777" w:rsidR="00640CAA" w:rsidRPr="000041AF" w:rsidRDefault="00640CAA" w:rsidP="00640CAA">
      <w:pPr>
        <w:jc w:val="both"/>
        <w:rPr>
          <w:rFonts w:cs="Arial"/>
          <w:b/>
          <w:bCs/>
        </w:rPr>
      </w:pPr>
      <w:r w:rsidRPr="000041AF">
        <w:rPr>
          <w:rFonts w:cs="Arial"/>
        </w:rPr>
        <w:t>„</w:t>
      </w:r>
      <w:r w:rsidRPr="000041AF">
        <w:rPr>
          <w:rFonts w:cs="Arial"/>
          <w:b/>
          <w:bCs/>
        </w:rPr>
        <w:t>§ 2</w:t>
      </w:r>
      <w:r w:rsidRPr="000041AF">
        <w:rPr>
          <w:rFonts w:cs="Arial"/>
          <w:b/>
          <w:bCs/>
          <w:vertAlign w:val="superscript"/>
        </w:rPr>
        <w:t>1</w:t>
      </w:r>
      <w:r w:rsidRPr="000041AF">
        <w:rPr>
          <w:rFonts w:cs="Arial"/>
          <w:b/>
          <w:bCs/>
        </w:rPr>
        <w:t>. Abivahendi tõend</w:t>
      </w:r>
    </w:p>
    <w:p w14:paraId="4FE0F6FE" w14:textId="77777777" w:rsidR="00640CAA" w:rsidRPr="000041AF" w:rsidRDefault="00640CAA" w:rsidP="00640CAA">
      <w:pPr>
        <w:jc w:val="both"/>
        <w:rPr>
          <w:rFonts w:cs="Arial"/>
        </w:rPr>
      </w:pPr>
    </w:p>
    <w:p w14:paraId="04705D65" w14:textId="128FF59C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</w:t>
      </w:r>
      <w:r>
        <w:rPr>
          <w:rFonts w:cs="Arial"/>
        </w:rPr>
        <w:t>1</w:t>
      </w:r>
      <w:r w:rsidRPr="000041AF">
        <w:rPr>
          <w:rFonts w:cs="Arial"/>
        </w:rPr>
        <w:t>) Abivahendi tõendit on õigus väljastada § 2 lõikes 2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 xml:space="preserve"> nimetatud isikutel.</w:t>
      </w:r>
    </w:p>
    <w:p w14:paraId="65BBAD7A" w14:textId="77777777" w:rsidR="00640CAA" w:rsidRPr="000041AF" w:rsidRDefault="00640CAA" w:rsidP="00640CAA">
      <w:pPr>
        <w:jc w:val="both"/>
        <w:rPr>
          <w:rFonts w:cs="Arial"/>
        </w:rPr>
      </w:pPr>
    </w:p>
    <w:p w14:paraId="6BFB0D97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</w:t>
      </w:r>
      <w:r>
        <w:rPr>
          <w:rFonts w:cs="Arial"/>
        </w:rPr>
        <w:t>2</w:t>
      </w:r>
      <w:r w:rsidRPr="000041AF">
        <w:rPr>
          <w:rFonts w:cs="Arial"/>
        </w:rPr>
        <w:t>) Abivahendi tõendile kantakse järgmised andmed:</w:t>
      </w:r>
    </w:p>
    <w:p w14:paraId="194545C1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1)</w:t>
      </w:r>
      <w:r w:rsidRPr="000041AF" w:rsidDel="00A025F7">
        <w:rPr>
          <w:rFonts w:cs="Arial"/>
        </w:rPr>
        <w:t xml:space="preserve"> </w:t>
      </w:r>
      <w:r w:rsidRPr="000041AF">
        <w:rPr>
          <w:rFonts w:cs="Arial"/>
        </w:rPr>
        <w:t>isiku üldandmed (ees- ja perekonnanimi, isikukood);</w:t>
      </w:r>
    </w:p>
    <w:p w14:paraId="1191C62C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 xml:space="preserve">2) tõendi väljastaja andmed (asutuse ja abivahendi vajaduse </w:t>
      </w:r>
      <w:proofErr w:type="spellStart"/>
      <w:r w:rsidRPr="000041AF">
        <w:rPr>
          <w:rFonts w:cs="Arial"/>
        </w:rPr>
        <w:t>tuvastaja</w:t>
      </w:r>
      <w:proofErr w:type="spellEnd"/>
      <w:r w:rsidRPr="000041AF">
        <w:rPr>
          <w:rFonts w:cs="Arial"/>
        </w:rPr>
        <w:t xml:space="preserve"> andmed);</w:t>
      </w:r>
    </w:p>
    <w:p w14:paraId="206C3D49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3) abivahendi andmed (abivahendi ISO-kood, nimetus või kirjeldus);</w:t>
      </w:r>
    </w:p>
    <w:p w14:paraId="7377CEF1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4) abivahendi määramise põhjus (diagnoosist või funktsioonihäirest lähtuvalt);</w:t>
      </w:r>
    </w:p>
    <w:p w14:paraId="564AE0F2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5) tõendi üldandmed (tõendi allkirjastaja ja allkirjastamise aeg).“;</w:t>
      </w:r>
    </w:p>
    <w:p w14:paraId="11A48540" w14:textId="77777777" w:rsidR="00640CAA" w:rsidRPr="000041AF" w:rsidRDefault="00640CAA" w:rsidP="00640CAA">
      <w:pPr>
        <w:jc w:val="both"/>
        <w:rPr>
          <w:rFonts w:cs="Arial"/>
        </w:rPr>
      </w:pPr>
    </w:p>
    <w:p w14:paraId="6F9899DA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1</w:t>
      </w:r>
      <w:r>
        <w:rPr>
          <w:rFonts w:cs="Arial"/>
          <w:b/>
          <w:bCs/>
        </w:rPr>
        <w:t>1</w:t>
      </w:r>
      <w:r w:rsidRPr="000041AF">
        <w:rPr>
          <w:rFonts w:cs="Arial"/>
          <w:b/>
          <w:bCs/>
        </w:rPr>
        <w:t>)</w:t>
      </w:r>
      <w:r w:rsidRPr="000041AF">
        <w:rPr>
          <w:rFonts w:cs="Arial"/>
        </w:rPr>
        <w:t xml:space="preserve"> paragrahvi 3 lõike 1 punktides 23 ja 24 asendatakse sõna „erimenetluse“ sõnaga „erandi“;</w:t>
      </w:r>
    </w:p>
    <w:p w14:paraId="4C53237A" w14:textId="77777777" w:rsidR="00640CAA" w:rsidRPr="000041AF" w:rsidRDefault="00640CAA" w:rsidP="00640CAA">
      <w:pPr>
        <w:jc w:val="both"/>
      </w:pPr>
    </w:p>
    <w:p w14:paraId="2C84CCB9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1</w:t>
      </w:r>
      <w:r>
        <w:rPr>
          <w:rFonts w:cs="Arial"/>
          <w:b/>
          <w:bCs/>
        </w:rPr>
        <w:t>2</w:t>
      </w:r>
      <w:r w:rsidRPr="000041AF">
        <w:rPr>
          <w:rFonts w:cs="Arial"/>
          <w:b/>
          <w:bCs/>
        </w:rPr>
        <w:t>)</w:t>
      </w:r>
      <w:r w:rsidRPr="000041AF">
        <w:rPr>
          <w:rFonts w:cs="Arial"/>
        </w:rPr>
        <w:t xml:space="preserve"> paragrahv 7 sõnastatakse järgmiselt:</w:t>
      </w:r>
    </w:p>
    <w:p w14:paraId="7DAEA108" w14:textId="77777777" w:rsidR="00640CAA" w:rsidRPr="000041AF" w:rsidRDefault="00640CAA" w:rsidP="00640CAA">
      <w:pPr>
        <w:jc w:val="both"/>
        <w:rPr>
          <w:rFonts w:cs="Arial"/>
        </w:rPr>
      </w:pPr>
    </w:p>
    <w:p w14:paraId="2F64A937" w14:textId="026A1672" w:rsidR="00640CAA" w:rsidRPr="000041AF" w:rsidRDefault="00640CAA" w:rsidP="00640CAA">
      <w:pPr>
        <w:jc w:val="both"/>
        <w:rPr>
          <w:rFonts w:cs="Arial"/>
          <w:b/>
          <w:bCs/>
        </w:rPr>
      </w:pPr>
      <w:r w:rsidRPr="000041AF">
        <w:rPr>
          <w:rFonts w:cs="Arial"/>
        </w:rPr>
        <w:t>„</w:t>
      </w:r>
      <w:r w:rsidRPr="000041AF">
        <w:rPr>
          <w:rFonts w:cs="Arial"/>
          <w:b/>
          <w:bCs/>
        </w:rPr>
        <w:t xml:space="preserve">§ 7. Tasu maksmise kohustuse </w:t>
      </w:r>
      <w:r w:rsidR="00105652">
        <w:rPr>
          <w:rFonts w:cs="Arial"/>
          <w:b/>
          <w:bCs/>
        </w:rPr>
        <w:t xml:space="preserve">ülevõtmise </w:t>
      </w:r>
      <w:r w:rsidRPr="000041AF">
        <w:rPr>
          <w:rFonts w:cs="Arial"/>
          <w:b/>
          <w:bCs/>
        </w:rPr>
        <w:t>erandi otsustamine</w:t>
      </w:r>
    </w:p>
    <w:p w14:paraId="43BC7FD1" w14:textId="77777777" w:rsidR="00640CAA" w:rsidRPr="000041AF" w:rsidRDefault="00640CAA" w:rsidP="00640CAA">
      <w:pPr>
        <w:jc w:val="both"/>
        <w:rPr>
          <w:rFonts w:cs="Arial"/>
        </w:rPr>
      </w:pPr>
    </w:p>
    <w:p w14:paraId="318050CA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(1) Sotsiaalkindlustusamet võib erandkorras isiku taotluse alusel omaosalust vähendada kuni viie protsendini, kuid mitte alla 7 euro</w:t>
      </w:r>
      <w:r>
        <w:rPr>
          <w:rFonts w:cs="Arial"/>
        </w:rPr>
        <w:t>,</w:t>
      </w:r>
      <w:r w:rsidRPr="000041AF">
        <w:rPr>
          <w:rFonts w:cs="Arial"/>
        </w:rPr>
        <w:t xml:space="preserve"> kui isiku majanduslik olukord ei võimalda omaosalust tasuda.</w:t>
      </w:r>
    </w:p>
    <w:p w14:paraId="22A82363" w14:textId="77777777" w:rsidR="00640CAA" w:rsidRPr="000041AF" w:rsidRDefault="00640CAA" w:rsidP="00640CAA">
      <w:pPr>
        <w:jc w:val="both"/>
        <w:rPr>
          <w:rFonts w:cs="Arial"/>
        </w:rPr>
      </w:pPr>
    </w:p>
    <w:p w14:paraId="276243D0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 xml:space="preserve">(2) Sotsiaalkindlustusamet võib erandkorras võtta uue abivahendi eest tasu maksmise kohustuse </w:t>
      </w:r>
      <w:r>
        <w:rPr>
          <w:rFonts w:cs="Arial"/>
        </w:rPr>
        <w:t xml:space="preserve">üle </w:t>
      </w:r>
      <w:r w:rsidRPr="000041AF">
        <w:rPr>
          <w:rFonts w:cs="Arial"/>
        </w:rPr>
        <w:t>enne isikule hüvitatud sama ISO-koodiga abivahendi kasutusaja lõppu, kui abivahend on muutunud kasutajale ebasobivaks:</w:t>
      </w:r>
    </w:p>
    <w:p w14:paraId="7FD05AE6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1) tervislikel põhjustel (näiteks kuulmise või nägemise halvenemine);</w:t>
      </w:r>
    </w:p>
    <w:p w14:paraId="773C2FAC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2) kasutajast mitteolenevatel põhjustel (näiteks kasvamine lapseeas või hävimine õnnetusjuhtumi tagajärjel).</w:t>
      </w:r>
    </w:p>
    <w:p w14:paraId="5AFDDF15" w14:textId="77777777" w:rsidR="00640CAA" w:rsidRPr="000041AF" w:rsidRDefault="00640CAA" w:rsidP="00640CAA">
      <w:pPr>
        <w:jc w:val="both"/>
        <w:rPr>
          <w:rFonts w:cs="Arial"/>
        </w:rPr>
      </w:pPr>
    </w:p>
    <w:p w14:paraId="5863FD5F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(3) Sotsiaalkindlustusamet võib erandkorras võtta tasu maksmise kohustuse üle abivahendi eest, mille nimetus ei ole kantud abivahendite loetellu.</w:t>
      </w:r>
    </w:p>
    <w:p w14:paraId="0EFC1010" w14:textId="77777777" w:rsidR="00640CAA" w:rsidRPr="000041AF" w:rsidRDefault="00640CAA" w:rsidP="00640CAA">
      <w:pPr>
        <w:jc w:val="both"/>
        <w:rPr>
          <w:rFonts w:cs="Arial"/>
        </w:rPr>
      </w:pPr>
    </w:p>
    <w:p w14:paraId="7700F486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(4) Sotsiaalkindlustusamet võib erandkorras abivahendi kasutusaja jooksul abivahendile kehtestatud piirlimiiti suurendada, kui isikul on diagnoosist või funktsioonihäirest tulenev põhjendatud vajadus kasutada piirlimiidist suuremat kogust.</w:t>
      </w:r>
    </w:p>
    <w:p w14:paraId="7AB1BA27" w14:textId="77777777" w:rsidR="00640CAA" w:rsidRPr="000041AF" w:rsidRDefault="00640CAA" w:rsidP="00640CAA">
      <w:pPr>
        <w:jc w:val="both"/>
        <w:rPr>
          <w:rStyle w:val="Kommentaariviide"/>
        </w:rPr>
      </w:pPr>
    </w:p>
    <w:p w14:paraId="0F3F6594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(5) Sotsiaalkindlustusamet võib erandkorras otsustada abivahendile kehtestatud piirhinna muutmise, kui sobiva funktsionaalsusega abivahendit ei ole võimalik piirhinnasiseselt leida.</w:t>
      </w:r>
    </w:p>
    <w:p w14:paraId="0E28988A" w14:textId="77777777" w:rsidR="00640CAA" w:rsidRPr="000041AF" w:rsidRDefault="00640CAA" w:rsidP="00640CAA">
      <w:pPr>
        <w:jc w:val="both"/>
        <w:rPr>
          <w:rFonts w:cs="Arial"/>
        </w:rPr>
      </w:pPr>
    </w:p>
    <w:p w14:paraId="46709B55" w14:textId="198AF1C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(6) Sotsiaalkindlustusamet võib erandkorras otsustada abivahendile kehtestatud müügi- või üüritehingu nõude muutmise:</w:t>
      </w:r>
    </w:p>
    <w:p w14:paraId="6903E45E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 xml:space="preserve">1) kui lühiajalise vajaduse tõttu ei ole otstarbekas abivahendit osta; </w:t>
      </w:r>
    </w:p>
    <w:p w14:paraId="555CD7D8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2) kui pikaajalise vajaduse tõttu ei ole majanduslikult otstarbekas abivahendit üürida;</w:t>
      </w:r>
    </w:p>
    <w:p w14:paraId="65D1504F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3) isiku terviseseisundist tulenevatel põhjustel.</w:t>
      </w:r>
    </w:p>
    <w:p w14:paraId="2A02D48C" w14:textId="77777777" w:rsidR="00640CAA" w:rsidRPr="000041AF" w:rsidRDefault="00640CAA" w:rsidP="00640CAA">
      <w:pPr>
        <w:jc w:val="both"/>
        <w:rPr>
          <w:rFonts w:cs="Arial"/>
        </w:rPr>
      </w:pPr>
    </w:p>
    <w:p w14:paraId="49A0BD46" w14:textId="2347EE3A" w:rsidR="00640CAA" w:rsidRPr="000041AF" w:rsidRDefault="00640CAA" w:rsidP="00640CAA">
      <w:pPr>
        <w:jc w:val="both"/>
        <w:rPr>
          <w:rFonts w:cs="Arial"/>
          <w:b/>
          <w:bCs/>
        </w:rPr>
      </w:pPr>
      <w:r w:rsidRPr="000041AF">
        <w:rPr>
          <w:rFonts w:cs="Arial"/>
        </w:rPr>
        <w:t xml:space="preserve">(7) Tasu maksmise kohustuse </w:t>
      </w:r>
      <w:r w:rsidR="00105652">
        <w:rPr>
          <w:rFonts w:cs="Arial"/>
        </w:rPr>
        <w:t xml:space="preserve">ülevõtmise </w:t>
      </w:r>
      <w:r w:rsidRPr="000041AF">
        <w:rPr>
          <w:rFonts w:cs="Arial"/>
        </w:rPr>
        <w:t>erand</w:t>
      </w:r>
      <w:r w:rsidR="00105652">
        <w:rPr>
          <w:rFonts w:cs="Arial"/>
        </w:rPr>
        <w:t>i taotlemiseks</w:t>
      </w:r>
      <w:r w:rsidRPr="000041AF">
        <w:rPr>
          <w:rFonts w:cs="Arial"/>
        </w:rPr>
        <w:t xml:space="preserve"> lisab isik taotlusele:</w:t>
      </w:r>
    </w:p>
    <w:p w14:paraId="368A0C09" w14:textId="5E9B91BC" w:rsidR="00640CAA" w:rsidRPr="000041AF" w:rsidRDefault="00640CAA" w:rsidP="00640CAA">
      <w:pPr>
        <w:jc w:val="both"/>
        <w:rPr>
          <w:rFonts w:cs="Arial"/>
        </w:rPr>
      </w:pPr>
      <w:r w:rsidRPr="38E1E42A">
        <w:rPr>
          <w:rFonts w:cs="Arial"/>
        </w:rPr>
        <w:t xml:space="preserve">1) abivahendite loetelus abivahendile kehtestatud piirhinna ühekordse tõstmise või loeteluvälise abivahendi taotlemiseks või kui abivahendile ei ole kehtestatud piirhinda, vähemalt kaks ühestel alustel võrreldavat </w:t>
      </w:r>
      <w:r w:rsidRPr="00640CAA">
        <w:rPr>
          <w:rFonts w:cs="Arial"/>
        </w:rPr>
        <w:t>hinnapakkumust (kui abivahendit pakub ainult üks teenuseosutaja, lisatakse vaid üks hinnapakkum</w:t>
      </w:r>
      <w:r w:rsidR="0011055D">
        <w:rPr>
          <w:rFonts w:cs="Arial"/>
        </w:rPr>
        <w:t>us</w:t>
      </w:r>
      <w:r w:rsidRPr="00640CAA">
        <w:rPr>
          <w:rFonts w:cs="Arial"/>
        </w:rPr>
        <w:t>);</w:t>
      </w:r>
    </w:p>
    <w:p w14:paraId="68FC746F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2) enne abivahendi kasutusaja lõppu sama ISO-koodi ja nimetusega abivahendi taotlemiseks selgitused ja põhjendused uue abivahendi vajaduse kohta;</w:t>
      </w:r>
    </w:p>
    <w:p w14:paraId="380BA4E2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3) abivahendi omaosaluse vähendamiseks selgitused ja põhjendused omaosaluse vähendamise vajaduse kohta;</w:t>
      </w:r>
    </w:p>
    <w:p w14:paraId="31C154C9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4) paragrahvi 2 lõikes 2 nimetatud tõendi abivahendi vajaduse kohta;</w:t>
      </w:r>
    </w:p>
    <w:p w14:paraId="60DE5EF6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5) loeteluvälise abivahendi taotlemiseks eriarsti, füsioterapeudi või tegevusterapeudi tõendi abivahendi vajaduse kohta.</w:t>
      </w:r>
    </w:p>
    <w:p w14:paraId="4DEDE932" w14:textId="77777777" w:rsidR="00640CAA" w:rsidRPr="000041AF" w:rsidRDefault="00640CAA" w:rsidP="00640CAA">
      <w:pPr>
        <w:jc w:val="both"/>
        <w:rPr>
          <w:rFonts w:cs="Arial"/>
        </w:rPr>
      </w:pPr>
    </w:p>
    <w:p w14:paraId="3B17F73C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</w:rPr>
        <w:t>(8) Sotsiaalkindlustusamet võtab tasu maksmise kohustuse üle ilma korduva abivahendi vajaduse tuvastamiseta</w:t>
      </w:r>
      <w:r w:rsidRPr="000041AF" w:rsidDel="00287229">
        <w:rPr>
          <w:rFonts w:cs="Arial"/>
        </w:rPr>
        <w:t xml:space="preserve"> </w:t>
      </w:r>
      <w:r w:rsidRPr="000041AF">
        <w:rPr>
          <w:rFonts w:cs="Arial"/>
        </w:rPr>
        <w:t>määruse lisas nimetatud juhtudel.“;</w:t>
      </w:r>
    </w:p>
    <w:p w14:paraId="21748AFF" w14:textId="77777777" w:rsidR="00640CAA" w:rsidRPr="000041AF" w:rsidRDefault="00640CAA" w:rsidP="00640CAA">
      <w:pPr>
        <w:jc w:val="both"/>
        <w:rPr>
          <w:rFonts w:cs="Arial"/>
        </w:rPr>
      </w:pPr>
    </w:p>
    <w:p w14:paraId="0F051615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1</w:t>
      </w:r>
      <w:r>
        <w:rPr>
          <w:rFonts w:cs="Arial"/>
          <w:b/>
          <w:bCs/>
        </w:rPr>
        <w:t>3</w:t>
      </w:r>
      <w:r w:rsidRPr="00B6392F">
        <w:rPr>
          <w:rFonts w:cs="Arial"/>
          <w:b/>
        </w:rPr>
        <w:t>)</w:t>
      </w:r>
      <w:r w:rsidRPr="000041AF">
        <w:rPr>
          <w:rFonts w:cs="Arial"/>
        </w:rPr>
        <w:t xml:space="preserve"> paragrahv 7</w:t>
      </w:r>
      <w:r w:rsidRPr="000041AF">
        <w:rPr>
          <w:rFonts w:cs="Arial"/>
          <w:vertAlign w:val="superscript"/>
        </w:rPr>
        <w:t>1</w:t>
      </w:r>
      <w:r w:rsidRPr="000041AF">
        <w:rPr>
          <w:rFonts w:cs="Arial"/>
        </w:rPr>
        <w:t xml:space="preserve"> tunnistatakse kehtetuks;</w:t>
      </w:r>
    </w:p>
    <w:p w14:paraId="512CD502" w14:textId="77777777" w:rsidR="00640CAA" w:rsidRPr="000041AF" w:rsidRDefault="00640CAA" w:rsidP="00640CAA">
      <w:pPr>
        <w:jc w:val="both"/>
        <w:rPr>
          <w:rFonts w:cs="Arial"/>
        </w:rPr>
      </w:pPr>
    </w:p>
    <w:p w14:paraId="3FF47C1A" w14:textId="77777777" w:rsidR="00640CAA" w:rsidRPr="000041AF" w:rsidRDefault="00640CAA" w:rsidP="00640CAA">
      <w:pPr>
        <w:jc w:val="both"/>
        <w:rPr>
          <w:rFonts w:cs="Arial"/>
        </w:rPr>
      </w:pPr>
      <w:r w:rsidRPr="000041AF">
        <w:rPr>
          <w:rFonts w:cs="Arial"/>
          <w:b/>
          <w:bCs/>
        </w:rPr>
        <w:t>1</w:t>
      </w:r>
      <w:r>
        <w:rPr>
          <w:rFonts w:cs="Arial"/>
          <w:b/>
          <w:bCs/>
        </w:rPr>
        <w:t>4</w:t>
      </w:r>
      <w:r w:rsidRPr="00B6392F">
        <w:rPr>
          <w:rFonts w:cs="Arial"/>
          <w:b/>
        </w:rPr>
        <w:t>)</w:t>
      </w:r>
      <w:r w:rsidRPr="000041AF">
        <w:rPr>
          <w:rFonts w:cs="Arial"/>
        </w:rPr>
        <w:t xml:space="preserve"> määruse lisa asendatakse käesoleva määruse lisaga.</w:t>
      </w:r>
    </w:p>
    <w:p w14:paraId="2149CB23" w14:textId="77777777" w:rsidR="00640CAA" w:rsidRPr="000041AF" w:rsidRDefault="00640CAA" w:rsidP="00640CAA">
      <w:pPr>
        <w:jc w:val="both"/>
        <w:rPr>
          <w:rFonts w:cs="Arial"/>
        </w:rPr>
      </w:pPr>
    </w:p>
    <w:p w14:paraId="2702C174" w14:textId="77777777" w:rsidR="00640CAA" w:rsidRPr="000041AF" w:rsidRDefault="00640CAA" w:rsidP="00640CAA">
      <w:pPr>
        <w:jc w:val="both"/>
        <w:rPr>
          <w:b/>
          <w:bCs/>
        </w:rPr>
      </w:pPr>
      <w:r w:rsidRPr="000041AF">
        <w:rPr>
          <w:b/>
          <w:bCs/>
        </w:rPr>
        <w:t>§ 2. Määruse jõustumine</w:t>
      </w:r>
    </w:p>
    <w:p w14:paraId="2FC43A69" w14:textId="77777777" w:rsidR="00640CAA" w:rsidRPr="000041AF" w:rsidRDefault="00640CAA" w:rsidP="00640CAA">
      <w:pPr>
        <w:jc w:val="both"/>
      </w:pPr>
    </w:p>
    <w:p w14:paraId="16019BA0" w14:textId="1EEA72EF" w:rsidR="00640CAA" w:rsidRPr="000041AF" w:rsidRDefault="00640CAA" w:rsidP="00640CAA">
      <w:pPr>
        <w:jc w:val="both"/>
      </w:pPr>
      <w:r w:rsidRPr="000041AF">
        <w:t>(1) Määrus jõustub 1. jaanuaril 2025. a.</w:t>
      </w:r>
    </w:p>
    <w:p w14:paraId="56BBF58E" w14:textId="77777777" w:rsidR="00640CAA" w:rsidRPr="000041AF" w:rsidRDefault="00640CAA" w:rsidP="00640CAA">
      <w:pPr>
        <w:jc w:val="both"/>
      </w:pPr>
    </w:p>
    <w:p w14:paraId="03C83DC7" w14:textId="2F95D6AD" w:rsidR="00640CAA" w:rsidRPr="00C115A2" w:rsidRDefault="00640CAA" w:rsidP="00640CAA">
      <w:pPr>
        <w:jc w:val="both"/>
      </w:pPr>
      <w:r w:rsidRPr="000041AF">
        <w:t>(2) Määruse § 1 punktid 1, 3, 5</w:t>
      </w:r>
      <w:r>
        <w:t>–7</w:t>
      </w:r>
      <w:r w:rsidR="000C6BAE">
        <w:t>,</w:t>
      </w:r>
      <w:r w:rsidRPr="000041AF">
        <w:t xml:space="preserve"> </w:t>
      </w:r>
      <w:r>
        <w:t>10</w:t>
      </w:r>
      <w:r w:rsidRPr="000041AF">
        <w:t xml:space="preserve"> ja </w:t>
      </w:r>
      <w:r>
        <w:t>13</w:t>
      </w:r>
      <w:r w:rsidRPr="000041AF">
        <w:t xml:space="preserve"> jõustuvad 1. septembril 2025. a.</w:t>
      </w:r>
    </w:p>
    <w:p w14:paraId="33F6B211" w14:textId="77777777" w:rsidR="00640CAA" w:rsidRPr="000041AF" w:rsidRDefault="00640CAA" w:rsidP="00640CAA">
      <w:pPr>
        <w:jc w:val="both"/>
        <w:rPr>
          <w:rFonts w:cs="Arial"/>
        </w:rPr>
      </w:pPr>
    </w:p>
    <w:p w14:paraId="1A1A078D" w14:textId="77777777" w:rsidR="00640CAA" w:rsidRPr="000041AF" w:rsidRDefault="00640CAA" w:rsidP="00640CAA">
      <w:pPr>
        <w:jc w:val="both"/>
        <w:rPr>
          <w:rFonts w:cs="Arial"/>
        </w:rPr>
        <w:sectPr w:rsidR="00640CAA" w:rsidRPr="000041AF" w:rsidSect="00640CAA">
          <w:head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654EC93F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</w:p>
    <w:p w14:paraId="14B24B49" w14:textId="1A24ABEF" w:rsidR="00CC6E7B" w:rsidRDefault="00CC6E7B" w:rsidP="00CC6E7B">
      <w:pPr>
        <w:rPr>
          <w:rFonts w:cs="Arial"/>
        </w:rPr>
      </w:pPr>
      <w:r>
        <w:rPr>
          <w:rFonts w:cs="Arial"/>
        </w:rPr>
        <w:fldChar w:fldCharType="begin"/>
      </w:r>
      <w:r w:rsidR="00040ED3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040ED3">
        <w:rPr>
          <w:rFonts w:cs="Arial"/>
        </w:rPr>
        <w:t xml:space="preserve">Signe </w:t>
      </w:r>
      <w:proofErr w:type="spellStart"/>
      <w:r w:rsidR="00040ED3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299B457F" w14:textId="5C59BE27" w:rsidR="00567656" w:rsidRDefault="00CC6E7B" w:rsidP="00567656">
      <w:pPr>
        <w:rPr>
          <w:rFonts w:cs="Arial"/>
        </w:rPr>
      </w:pPr>
      <w:r>
        <w:rPr>
          <w:rFonts w:cs="Arial"/>
        </w:rPr>
        <w:fldChar w:fldCharType="begin"/>
      </w:r>
      <w:r w:rsidR="00040ED3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040ED3">
        <w:rPr>
          <w:rFonts w:cs="Arial"/>
        </w:rPr>
        <w:t>sotsiaalkaitseminister</w:t>
      </w:r>
      <w:r>
        <w:rPr>
          <w:rFonts w:cs="Arial"/>
        </w:rPr>
        <w:fldChar w:fldCharType="end"/>
      </w:r>
    </w:p>
    <w:p w14:paraId="7AA99BD9" w14:textId="77777777" w:rsidR="00CC6E7B" w:rsidRDefault="00CC6E7B" w:rsidP="00567656">
      <w:pPr>
        <w:rPr>
          <w:rFonts w:cs="Arial"/>
        </w:rPr>
      </w:pPr>
    </w:p>
    <w:p w14:paraId="7BAAA752" w14:textId="4027B20F" w:rsidR="0011055D" w:rsidRDefault="00040ED3" w:rsidP="00567656">
      <w:pPr>
        <w:rPr>
          <w:rFonts w:cs="Arial"/>
        </w:rPr>
      </w:pPr>
      <w:r w:rsidDel="00040ED3">
        <w:rPr>
          <w:rFonts w:cs="Arial"/>
        </w:rPr>
        <w:t xml:space="preserve"> </w:t>
      </w:r>
      <w:r w:rsidR="00E91964">
        <w:rPr>
          <w:rFonts w:cs="Arial"/>
        </w:rPr>
        <w:t>(allkirjastatud digitaalselt)</w:t>
      </w:r>
    </w:p>
    <w:p w14:paraId="6CDEB77D" w14:textId="27BF4C7D" w:rsidR="00CC6E7B" w:rsidRDefault="00CC6E7B" w:rsidP="00CC6E7B">
      <w:pPr>
        <w:rPr>
          <w:rFonts w:cs="Arial"/>
        </w:rPr>
      </w:pPr>
      <w:r>
        <w:rPr>
          <w:rFonts w:cs="Arial"/>
        </w:rPr>
        <w:fldChar w:fldCharType="begin"/>
      </w:r>
      <w:r w:rsidR="00040ED3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proofErr w:type="spellStart"/>
      <w:r w:rsidR="00040ED3">
        <w:rPr>
          <w:rFonts w:cs="Arial"/>
        </w:rPr>
        <w:t>Maarjo</w:t>
      </w:r>
      <w:proofErr w:type="spellEnd"/>
      <w:r w:rsidR="00040ED3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44C5E7E3" w14:textId="3F86C66C" w:rsidR="00567656" w:rsidRDefault="00CC6E7B" w:rsidP="00567656">
      <w:r>
        <w:rPr>
          <w:rFonts w:cs="Arial"/>
        </w:rPr>
        <w:fldChar w:fldCharType="begin"/>
      </w:r>
      <w:r w:rsidR="00040ED3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40ED3">
        <w:rPr>
          <w:rFonts w:cs="Arial"/>
        </w:rPr>
        <w:t>kantsler</w:t>
      </w:r>
      <w:r>
        <w:rPr>
          <w:rFonts w:cs="Arial"/>
        </w:rPr>
        <w:fldChar w:fldCharType="end"/>
      </w:r>
      <w:r w:rsidR="00040ED3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4AE6B621" w14:textId="77777777" w:rsidR="00567656" w:rsidRDefault="00567656" w:rsidP="00567656">
      <w:pPr>
        <w:sectPr w:rsidR="00567656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3A1F064" w14:textId="582502D4" w:rsidR="00D300EA" w:rsidRDefault="009744D7" w:rsidP="00D300EA">
      <w:pPr>
        <w:jc w:val="both"/>
      </w:pPr>
      <w:r>
        <w:t>Lisa</w:t>
      </w:r>
    </w:p>
    <w:p w14:paraId="7D75E2ED" w14:textId="3B93E416" w:rsidR="00D300EA" w:rsidRDefault="00D300EA" w:rsidP="00D300EA">
      <w:pPr>
        <w:jc w:val="both"/>
      </w:pPr>
      <w:r>
        <w:t>Abivahendite loetelu</w:t>
      </w:r>
    </w:p>
    <w:p w14:paraId="7D7F86F9" w14:textId="01197B42" w:rsidR="00D300EA" w:rsidRDefault="00D300EA" w:rsidP="00D300EA">
      <w:pPr>
        <w:jc w:val="both"/>
      </w:pPr>
    </w:p>
    <w:p w14:paraId="2703139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065B5A1" w14:textId="77777777" w:rsidR="00640CAA" w:rsidRPr="00E52553" w:rsidRDefault="00640CAA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040ED3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8F59F28" w14:textId="77777777" w:rsidR="00640CAA" w:rsidRDefault="00640CA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ECC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40ED3"/>
    <w:rsid w:val="00070153"/>
    <w:rsid w:val="000725E2"/>
    <w:rsid w:val="0009319A"/>
    <w:rsid w:val="00094BF0"/>
    <w:rsid w:val="000964E2"/>
    <w:rsid w:val="000C6B61"/>
    <w:rsid w:val="000C6BAE"/>
    <w:rsid w:val="000D0B25"/>
    <w:rsid w:val="000D7732"/>
    <w:rsid w:val="000E125F"/>
    <w:rsid w:val="000E7648"/>
    <w:rsid w:val="00105652"/>
    <w:rsid w:val="0011055D"/>
    <w:rsid w:val="00111910"/>
    <w:rsid w:val="00113F1F"/>
    <w:rsid w:val="00144C39"/>
    <w:rsid w:val="001604DB"/>
    <w:rsid w:val="00181F9C"/>
    <w:rsid w:val="001D53AE"/>
    <w:rsid w:val="001E5CE0"/>
    <w:rsid w:val="00202D28"/>
    <w:rsid w:val="00222719"/>
    <w:rsid w:val="00293ECF"/>
    <w:rsid w:val="003051D3"/>
    <w:rsid w:val="00311234"/>
    <w:rsid w:val="003925B0"/>
    <w:rsid w:val="00395743"/>
    <w:rsid w:val="003B3CE2"/>
    <w:rsid w:val="003D0DFA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54234D"/>
    <w:rsid w:val="00567656"/>
    <w:rsid w:val="00567685"/>
    <w:rsid w:val="005843E9"/>
    <w:rsid w:val="00587F56"/>
    <w:rsid w:val="005A7CA4"/>
    <w:rsid w:val="005F2689"/>
    <w:rsid w:val="005F3B7F"/>
    <w:rsid w:val="00610A9F"/>
    <w:rsid w:val="00640CAA"/>
    <w:rsid w:val="006612F3"/>
    <w:rsid w:val="007135C5"/>
    <w:rsid w:val="007325C5"/>
    <w:rsid w:val="007352AA"/>
    <w:rsid w:val="00746EED"/>
    <w:rsid w:val="00792503"/>
    <w:rsid w:val="007E62F6"/>
    <w:rsid w:val="00805127"/>
    <w:rsid w:val="00805BB9"/>
    <w:rsid w:val="00807F76"/>
    <w:rsid w:val="00812D03"/>
    <w:rsid w:val="00890213"/>
    <w:rsid w:val="008B1F70"/>
    <w:rsid w:val="008C2747"/>
    <w:rsid w:val="008E39C6"/>
    <w:rsid w:val="008E65AA"/>
    <w:rsid w:val="008F32F7"/>
    <w:rsid w:val="00932069"/>
    <w:rsid w:val="00954AD4"/>
    <w:rsid w:val="009744D7"/>
    <w:rsid w:val="009835FB"/>
    <w:rsid w:val="009D10F3"/>
    <w:rsid w:val="00A07444"/>
    <w:rsid w:val="00A26081"/>
    <w:rsid w:val="00A31525"/>
    <w:rsid w:val="00A35A14"/>
    <w:rsid w:val="00A42D4B"/>
    <w:rsid w:val="00A92036"/>
    <w:rsid w:val="00AA6C33"/>
    <w:rsid w:val="00B066FE"/>
    <w:rsid w:val="00B20D57"/>
    <w:rsid w:val="00B25BF0"/>
    <w:rsid w:val="00B55121"/>
    <w:rsid w:val="00B81116"/>
    <w:rsid w:val="00BC71EE"/>
    <w:rsid w:val="00BE049C"/>
    <w:rsid w:val="00C16907"/>
    <w:rsid w:val="00C2142D"/>
    <w:rsid w:val="00C21D9A"/>
    <w:rsid w:val="00C55F57"/>
    <w:rsid w:val="00C6109A"/>
    <w:rsid w:val="00C6556C"/>
    <w:rsid w:val="00CB128E"/>
    <w:rsid w:val="00CC5B01"/>
    <w:rsid w:val="00CC6E7B"/>
    <w:rsid w:val="00D10F06"/>
    <w:rsid w:val="00D23855"/>
    <w:rsid w:val="00D300EA"/>
    <w:rsid w:val="00D321B8"/>
    <w:rsid w:val="00D35360"/>
    <w:rsid w:val="00D7161C"/>
    <w:rsid w:val="00D85F55"/>
    <w:rsid w:val="00DA3FAA"/>
    <w:rsid w:val="00DD66B1"/>
    <w:rsid w:val="00DF5F81"/>
    <w:rsid w:val="00E52553"/>
    <w:rsid w:val="00E76A1E"/>
    <w:rsid w:val="00E91964"/>
    <w:rsid w:val="00EA42AE"/>
    <w:rsid w:val="00EB023C"/>
    <w:rsid w:val="00EB07A4"/>
    <w:rsid w:val="00EC109F"/>
    <w:rsid w:val="00EF0205"/>
    <w:rsid w:val="00FB7A35"/>
    <w:rsid w:val="00FC4B04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86EE242D-2BDD-48D0-9478-BAF3DA19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640CA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40CA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40CAA"/>
    <w:rPr>
      <w:rFonts w:ascii="Arial" w:hAnsi="Arial"/>
      <w:sz w:val="20"/>
      <w:szCs w:val="20"/>
      <w:lang w:val="et-EE"/>
    </w:rPr>
  </w:style>
  <w:style w:type="paragraph" w:styleId="Redaktsioon">
    <w:name w:val="Revision"/>
    <w:hidden/>
    <w:uiPriority w:val="99"/>
    <w:semiHidden/>
    <w:rsid w:val="0011055D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8AD461A-C96A-451E-98E6-2EC4CC4758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1078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2024-12-18T12:48:00Z</dcterms:created>
  <dcterms:modified xsi:type="dcterms:W3CDTF">2024-12-18T12:48:00Z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2024-12-12T08:09:05Z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9a859b33-9582-4594-9fca-75dfdf393720</vt:lpwstr>
  </property>
  <property fmtid="{D5CDD505-2E9C-101B-9397-08002B2CF9AE}" pid="17" name="MSIP_Label_defa4170-0d19-0005-0004-bc88714345d2_ContentBits">
    <vt:lpwstr>0</vt:lpwstr>
  </property>
</Properties>
</file>