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7" w:type="dxa"/>
          <w:right w:w="57" w:type="dxa"/>
        </w:tblCellMar>
        <w:tblLook w:val="0000" w:firstRow="0" w:lastRow="0" w:firstColumn="0" w:lastColumn="0" w:noHBand="0" w:noVBand="0"/>
      </w:tblPr>
      <w:tblGrid>
        <w:gridCol w:w="4785"/>
        <w:gridCol w:w="4785"/>
      </w:tblGrid>
      <w:tr w:rsidR="001F7066" w14:paraId="1CE32126" w14:textId="77777777" w:rsidTr="005D1B8C">
        <w:tc>
          <w:tcPr>
            <w:tcW w:w="4785" w:type="dxa"/>
          </w:tcPr>
          <w:p w14:paraId="00BC39E2" w14:textId="77777777" w:rsidR="001F7066" w:rsidRDefault="009A617B" w:rsidP="005D1B8C">
            <w:pPr>
              <w:pStyle w:val="Teksthelreal"/>
              <w:rPr>
                <w:noProof/>
              </w:rPr>
            </w:pPr>
            <w:r>
              <w:rPr>
                <w:noProof/>
              </w:rPr>
              <w:t>Birgit Lao</w:t>
            </w:r>
          </w:p>
          <w:p w14:paraId="37B9D598" w14:textId="77777777" w:rsidR="009A617B" w:rsidRDefault="009A617B" w:rsidP="005D1B8C">
            <w:pPr>
              <w:pStyle w:val="Teksthelreal"/>
              <w:rPr>
                <w:noProof/>
              </w:rPr>
            </w:pPr>
            <w:r>
              <w:rPr>
                <w:noProof/>
              </w:rPr>
              <w:t>Terviseamet</w:t>
            </w:r>
          </w:p>
          <w:p w14:paraId="537C28D2" w14:textId="77777777" w:rsidR="009A617B" w:rsidRDefault="009A617B" w:rsidP="005D1B8C">
            <w:pPr>
              <w:pStyle w:val="Teksthelreal"/>
              <w:rPr>
                <w:noProof/>
              </w:rPr>
            </w:pPr>
            <w:r>
              <w:rPr>
                <w:noProof/>
              </w:rPr>
              <w:t>Paldiski mnt 81, 10617</w:t>
            </w:r>
          </w:p>
          <w:p w14:paraId="60946822" w14:textId="06478927" w:rsidR="009A617B" w:rsidRDefault="009A617B" w:rsidP="005D1B8C">
            <w:pPr>
              <w:pStyle w:val="Teksthelreal"/>
            </w:pPr>
            <w:r>
              <w:rPr>
                <w:noProof/>
              </w:rPr>
              <w:t>Tallinn</w:t>
            </w:r>
          </w:p>
        </w:tc>
        <w:tc>
          <w:tcPr>
            <w:tcW w:w="4785" w:type="dxa"/>
          </w:tcPr>
          <w:p w14:paraId="386BDBFC" w14:textId="03212643" w:rsidR="001F7066" w:rsidRDefault="009A617B" w:rsidP="005D1B8C">
            <w:pPr>
              <w:pStyle w:val="Kuupevjaviide"/>
            </w:pPr>
            <w:r>
              <w:t>23.10.2025</w:t>
            </w:r>
            <w:r w:rsidR="001F7066">
              <w:t xml:space="preserve"> nr </w:t>
            </w:r>
            <w:r w:rsidR="00FB4562">
              <w:t>1282</w:t>
            </w:r>
          </w:p>
        </w:tc>
      </w:tr>
    </w:tbl>
    <w:p w14:paraId="507B7709" w14:textId="77777777" w:rsidR="001F7066" w:rsidRDefault="001F7066" w:rsidP="001F7066">
      <w:pPr>
        <w:pStyle w:val="Teksthelreal"/>
      </w:pPr>
    </w:p>
    <w:p w14:paraId="2B927202" w14:textId="77777777" w:rsidR="001F7066" w:rsidRDefault="001F7066" w:rsidP="001F7066">
      <w:pPr>
        <w:pStyle w:val="Teksthelreal"/>
      </w:pPr>
    </w:p>
    <w:p w14:paraId="2C2C731F" w14:textId="77777777" w:rsidR="001F7066" w:rsidRDefault="001F7066" w:rsidP="001F7066">
      <w:pPr>
        <w:pStyle w:val="Teksthelreal"/>
      </w:pPr>
    </w:p>
    <w:p w14:paraId="40492F2C" w14:textId="77777777" w:rsidR="001F7066" w:rsidRDefault="001F7066" w:rsidP="001F7066">
      <w:pPr>
        <w:pStyle w:val="Teksthelreal"/>
      </w:pPr>
    </w:p>
    <w:p w14:paraId="52A38CB1" w14:textId="77777777" w:rsidR="001F7066" w:rsidRDefault="001F7066" w:rsidP="001F7066">
      <w:pPr>
        <w:pStyle w:val="Teksthelreal"/>
      </w:pPr>
    </w:p>
    <w:p w14:paraId="693FDB0C" w14:textId="77777777" w:rsidR="00801CAC" w:rsidRDefault="00801CAC" w:rsidP="00801CAC">
      <w:pPr>
        <w:spacing w:before="120" w:after="0" w:line="254" w:lineRule="auto"/>
        <w:rPr>
          <w:rFonts w:eastAsia="Calibri"/>
          <w:b/>
          <w:snapToGrid/>
          <w:kern w:val="2"/>
          <w:szCs w:val="20"/>
        </w:rPr>
      </w:pPr>
      <w:r w:rsidRPr="007B744C">
        <w:rPr>
          <w:rFonts w:eastAsia="Calibri"/>
          <w:b/>
          <w:snapToGrid/>
          <w:kern w:val="2"/>
          <w:szCs w:val="20"/>
        </w:rPr>
        <w:t xml:space="preserve">Märgukiri, selgitustaotlus ja teabenõue: veebilehel </w:t>
      </w:r>
      <w:hyperlink r:id="rId8" w:history="1">
        <w:r w:rsidRPr="007B744C">
          <w:rPr>
            <w:rFonts w:eastAsia="Calibri"/>
            <w:b/>
            <w:snapToGrid/>
            <w:color w:val="0563C1"/>
            <w:kern w:val="2"/>
            <w:szCs w:val="20"/>
            <w:u w:val="single"/>
          </w:rPr>
          <w:t>www.medmal.ee</w:t>
        </w:r>
      </w:hyperlink>
      <w:r w:rsidRPr="007B744C">
        <w:rPr>
          <w:rFonts w:eastAsia="Calibri"/>
          <w:b/>
          <w:snapToGrid/>
          <w:kern w:val="2"/>
          <w:szCs w:val="20"/>
        </w:rPr>
        <w:t xml:space="preserve"> Northern1 International Insurance Brokers OÜ poolt avaldatud teave tervishoiuteenuse osutaja kohustusliku vastutuskindlustuse ja selle turustamistegevus Eestis</w:t>
      </w:r>
    </w:p>
    <w:p w14:paraId="51C33D97" w14:textId="77777777" w:rsidR="00801CAC" w:rsidRDefault="00801CAC" w:rsidP="00801CAC">
      <w:pPr>
        <w:spacing w:after="0" w:line="240" w:lineRule="auto"/>
        <w:rPr>
          <w:rFonts w:eastAsia="Calibri"/>
          <w:b/>
          <w:snapToGrid/>
          <w:kern w:val="2"/>
          <w:szCs w:val="20"/>
        </w:rPr>
      </w:pPr>
    </w:p>
    <w:p w14:paraId="4A1EA8B7" w14:textId="77777777" w:rsidR="00801CAC" w:rsidRPr="007B744C" w:rsidRDefault="00801CAC" w:rsidP="00801CAC">
      <w:pPr>
        <w:spacing w:after="0" w:line="240" w:lineRule="auto"/>
        <w:rPr>
          <w:rFonts w:eastAsia="Calibri"/>
          <w:b/>
          <w:snapToGrid/>
          <w:kern w:val="2"/>
          <w:szCs w:val="20"/>
        </w:rPr>
      </w:pPr>
    </w:p>
    <w:p w14:paraId="153B4CAD" w14:textId="618069F0" w:rsidR="00801CAC" w:rsidRDefault="00801CAC" w:rsidP="00801CAC">
      <w:pPr>
        <w:rPr>
          <w:rFonts w:eastAsia="Calibri"/>
          <w:bCs/>
          <w:snapToGrid/>
          <w:kern w:val="2"/>
          <w:szCs w:val="20"/>
        </w:rPr>
      </w:pPr>
      <w:r w:rsidRPr="007B744C">
        <w:rPr>
          <w:rFonts w:eastAsia="Calibri"/>
          <w:bCs/>
          <w:snapToGrid/>
          <w:kern w:val="2"/>
          <w:szCs w:val="20"/>
        </w:rPr>
        <w:t xml:space="preserve">Lugupeetud </w:t>
      </w:r>
      <w:r>
        <w:rPr>
          <w:rFonts w:eastAsia="Calibri"/>
          <w:bCs/>
          <w:snapToGrid/>
          <w:kern w:val="2"/>
          <w:szCs w:val="20"/>
        </w:rPr>
        <w:t>Birgit Lao</w:t>
      </w:r>
    </w:p>
    <w:p w14:paraId="1EF9344F" w14:textId="77777777" w:rsidR="00801CAC" w:rsidRDefault="00801CAC" w:rsidP="00801CAC">
      <w:pPr>
        <w:spacing w:after="0" w:line="240" w:lineRule="auto"/>
        <w:rPr>
          <w:rFonts w:eastAsia="Calibri"/>
          <w:bCs/>
          <w:snapToGrid/>
          <w:kern w:val="2"/>
          <w:szCs w:val="20"/>
        </w:rPr>
      </w:pPr>
    </w:p>
    <w:p w14:paraId="59587BA9" w14:textId="77777777" w:rsidR="00801CAC" w:rsidRPr="007B744C" w:rsidRDefault="00801CAC" w:rsidP="00801CAC">
      <w:pPr>
        <w:rPr>
          <w:rFonts w:eastAsia="Calibri"/>
          <w:snapToGrid/>
          <w:kern w:val="2"/>
          <w:szCs w:val="20"/>
        </w:rPr>
      </w:pPr>
      <w:r w:rsidRPr="007B744C">
        <w:rPr>
          <w:rFonts w:eastAsia="Calibri"/>
          <w:snapToGrid/>
          <w:kern w:val="2"/>
          <w:szCs w:val="20"/>
        </w:rPr>
        <w:t>Eesti Kindlustusseltside Liit (</w:t>
      </w:r>
      <w:r w:rsidRPr="007B744C">
        <w:rPr>
          <w:rFonts w:eastAsia="Calibri"/>
          <w:b/>
          <w:bCs/>
          <w:snapToGrid/>
          <w:kern w:val="2"/>
          <w:szCs w:val="20"/>
        </w:rPr>
        <w:t>EKsL</w:t>
      </w:r>
      <w:r w:rsidRPr="007B744C">
        <w:rPr>
          <w:rFonts w:eastAsia="Calibri"/>
          <w:snapToGrid/>
          <w:kern w:val="2"/>
          <w:szCs w:val="20"/>
        </w:rPr>
        <w:t>) on kõiki Eestis tegutsevaid kindlustusandjaid ühendav erialaliit, kes kindlustuse keskse asutusena esindab kindlustusandjate huve, soodustab kindlustustegevuse arengut, ühtlustab liikmete kindlustuspraktikat.</w:t>
      </w:r>
    </w:p>
    <w:p w14:paraId="328CEEBE" w14:textId="77777777" w:rsidR="00801CAC" w:rsidRPr="007B744C" w:rsidRDefault="00801CAC" w:rsidP="00801CAC">
      <w:pPr>
        <w:rPr>
          <w:rFonts w:eastAsia="Calibri"/>
          <w:snapToGrid/>
          <w:kern w:val="2"/>
          <w:szCs w:val="20"/>
        </w:rPr>
      </w:pPr>
      <w:r w:rsidRPr="007B744C">
        <w:rPr>
          <w:rFonts w:eastAsia="Calibri"/>
          <w:snapToGrid/>
          <w:kern w:val="2"/>
          <w:szCs w:val="20"/>
        </w:rPr>
        <w:t>EKsL juhib Terviseameti tähelepanu seoses veebis (</w:t>
      </w:r>
      <w:hyperlink r:id="rId9" w:history="1">
        <w:r w:rsidRPr="007B744C">
          <w:rPr>
            <w:rFonts w:eastAsia="Calibri"/>
            <w:snapToGrid/>
            <w:color w:val="0563C1"/>
            <w:kern w:val="2"/>
            <w:szCs w:val="20"/>
            <w:u w:val="single"/>
          </w:rPr>
          <w:t>www.medmal.ee</w:t>
        </w:r>
      </w:hyperlink>
      <w:r w:rsidRPr="007B744C">
        <w:rPr>
          <w:rFonts w:eastAsia="Calibri"/>
          <w:snapToGrid/>
          <w:kern w:val="2"/>
          <w:szCs w:val="20"/>
        </w:rPr>
        <w:t>) Northern1 International Insurance Brokers OÜ (</w:t>
      </w:r>
      <w:r w:rsidRPr="007B744C">
        <w:rPr>
          <w:rFonts w:eastAsia="Calibri"/>
          <w:b/>
          <w:bCs/>
          <w:snapToGrid/>
          <w:kern w:val="2"/>
          <w:szCs w:val="20"/>
        </w:rPr>
        <w:t>Northern1</w:t>
      </w:r>
      <w:r w:rsidRPr="007B744C">
        <w:rPr>
          <w:rFonts w:eastAsia="Calibri"/>
          <w:snapToGrid/>
          <w:kern w:val="2"/>
          <w:szCs w:val="20"/>
        </w:rPr>
        <w:t>) poolt avaldatud teabele tervishoiuteenuse osutaja kohustusliku vastutuskindlustuse kohta.</w:t>
      </w:r>
    </w:p>
    <w:p w14:paraId="63AFBB86" w14:textId="77777777" w:rsidR="00801CAC" w:rsidRPr="007B744C" w:rsidRDefault="00801CAC" w:rsidP="00801CAC">
      <w:pPr>
        <w:rPr>
          <w:rFonts w:eastAsia="Calibri"/>
          <w:snapToGrid/>
          <w:kern w:val="2"/>
          <w:szCs w:val="20"/>
        </w:rPr>
      </w:pPr>
      <w:r w:rsidRPr="007B744C">
        <w:rPr>
          <w:rFonts w:eastAsia="Calibri"/>
          <w:snapToGrid/>
          <w:kern w:val="2"/>
          <w:szCs w:val="20"/>
        </w:rPr>
        <w:t xml:space="preserve">Nimelt veebilehel </w:t>
      </w:r>
      <w:hyperlink r:id="rId10" w:history="1">
        <w:r w:rsidRPr="007B744C">
          <w:rPr>
            <w:rFonts w:eastAsia="Calibri"/>
            <w:snapToGrid/>
            <w:color w:val="0563C1"/>
            <w:kern w:val="2"/>
            <w:szCs w:val="20"/>
            <w:u w:val="single"/>
          </w:rPr>
          <w:t>www.medmal.ee</w:t>
        </w:r>
      </w:hyperlink>
      <w:r w:rsidRPr="007B744C">
        <w:rPr>
          <w:rFonts w:eastAsia="Calibri"/>
          <w:snapToGrid/>
          <w:kern w:val="2"/>
          <w:szCs w:val="20"/>
        </w:rPr>
        <w:t xml:space="preserve"> avaldab kindlustusmaakler Northern1 järgmise teabe (allolevad väljavõtted on tehtud </w:t>
      </w:r>
      <w:hyperlink r:id="rId11" w:history="1">
        <w:r w:rsidRPr="007B744C">
          <w:rPr>
            <w:rFonts w:eastAsia="Calibri"/>
            <w:snapToGrid/>
            <w:color w:val="0563C1"/>
            <w:kern w:val="2"/>
            <w:szCs w:val="20"/>
            <w:u w:val="single"/>
          </w:rPr>
          <w:t>www.medmal.ee</w:t>
        </w:r>
      </w:hyperlink>
      <w:r w:rsidRPr="007B744C">
        <w:rPr>
          <w:rFonts w:eastAsia="Calibri"/>
          <w:snapToGrid/>
          <w:kern w:val="2"/>
          <w:szCs w:val="20"/>
        </w:rPr>
        <w:t xml:space="preserve"> seisuga 22.10.2025), mis võib olla eksitav nii Northern1 majandus- ja kutsetegevuse tegeliku sisu, selle tegevuse vastavuse osas kindlustustegevuse seaduse (</w:t>
      </w:r>
      <w:r w:rsidRPr="007B744C">
        <w:rPr>
          <w:rFonts w:eastAsia="Calibri"/>
          <w:b/>
          <w:bCs/>
          <w:snapToGrid/>
          <w:kern w:val="2"/>
          <w:szCs w:val="20"/>
        </w:rPr>
        <w:t>KindlTS</w:t>
      </w:r>
      <w:r w:rsidRPr="007B744C">
        <w:rPr>
          <w:rFonts w:eastAsia="Calibri"/>
          <w:snapToGrid/>
          <w:kern w:val="2"/>
          <w:szCs w:val="20"/>
        </w:rPr>
        <w:t>) nõuetele ning vahendatava kindlustustoote vastavuse osas tervishoiuteenuse osutaja kohustusliku vastutuskindlustuse seaduse (</w:t>
      </w:r>
      <w:r w:rsidRPr="007B744C">
        <w:rPr>
          <w:rFonts w:eastAsia="Calibri"/>
          <w:b/>
          <w:bCs/>
          <w:snapToGrid/>
          <w:kern w:val="2"/>
          <w:szCs w:val="20"/>
        </w:rPr>
        <w:t>TOKVS</w:t>
      </w:r>
      <w:r w:rsidRPr="007B744C">
        <w:rPr>
          <w:rFonts w:eastAsia="Calibri"/>
          <w:snapToGrid/>
          <w:kern w:val="2"/>
          <w:szCs w:val="20"/>
        </w:rPr>
        <w:t>) nõuetele järgmiste asjaolude tõttu:</w:t>
      </w:r>
    </w:p>
    <w:p w14:paraId="67B9EEFA" w14:textId="77777777" w:rsidR="00801CAC" w:rsidRPr="007B744C" w:rsidRDefault="00801CAC" w:rsidP="00801CAC">
      <w:pPr>
        <w:numPr>
          <w:ilvl w:val="0"/>
          <w:numId w:val="46"/>
        </w:numPr>
        <w:ind w:left="567" w:hanging="567"/>
        <w:contextualSpacing/>
        <w:rPr>
          <w:rFonts w:eastAsia="Calibri"/>
          <w:b/>
          <w:bCs/>
          <w:snapToGrid/>
          <w:kern w:val="2"/>
          <w:szCs w:val="20"/>
        </w:rPr>
      </w:pPr>
      <w:r w:rsidRPr="007B744C">
        <w:rPr>
          <w:rFonts w:eastAsia="Calibri"/>
          <w:b/>
          <w:bCs/>
          <w:snapToGrid/>
          <w:kern w:val="2"/>
          <w:szCs w:val="20"/>
        </w:rPr>
        <w:t xml:space="preserve">Northern1 avaldab veebilehel </w:t>
      </w:r>
      <w:hyperlink r:id="rId12" w:history="1">
        <w:r w:rsidRPr="007B744C">
          <w:rPr>
            <w:rFonts w:eastAsia="Calibri"/>
            <w:b/>
            <w:bCs/>
            <w:snapToGrid/>
            <w:color w:val="0563C1"/>
            <w:kern w:val="2"/>
            <w:szCs w:val="20"/>
            <w:u w:val="single"/>
          </w:rPr>
          <w:t>www.medmal.ee</w:t>
        </w:r>
      </w:hyperlink>
      <w:r w:rsidRPr="007B744C">
        <w:rPr>
          <w:rFonts w:eastAsia="Calibri"/>
          <w:b/>
          <w:bCs/>
          <w:snapToGrid/>
          <w:kern w:val="2"/>
          <w:szCs w:val="20"/>
        </w:rPr>
        <w:t>, et vahendab vaid ühe kindlustusandja kindlustuslepinguid:</w:t>
      </w:r>
    </w:p>
    <w:p w14:paraId="6311CADA" w14:textId="233D7871" w:rsidR="00801CAC" w:rsidRPr="007B744C" w:rsidRDefault="00801CAC" w:rsidP="00801CAC">
      <w:pPr>
        <w:rPr>
          <w:rFonts w:eastAsia="Calibri"/>
          <w:snapToGrid/>
          <w:kern w:val="2"/>
          <w:szCs w:val="20"/>
        </w:rPr>
      </w:pPr>
      <w:r w:rsidRPr="007B744C">
        <w:rPr>
          <w:rFonts w:eastAsia="Calibri"/>
          <w:noProof/>
          <w:snapToGrid/>
          <w:kern w:val="2"/>
          <w:szCs w:val="20"/>
        </w:rPr>
        <w:drawing>
          <wp:inline distT="0" distB="0" distL="0" distR="0" wp14:anchorId="5B9F72A1" wp14:editId="570CDB14">
            <wp:extent cx="5762625" cy="762000"/>
            <wp:effectExtent l="0" t="0" r="9525" b="0"/>
            <wp:docPr id="927330013" name="Pilt 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762000"/>
                    </a:xfrm>
                    <a:prstGeom prst="rect">
                      <a:avLst/>
                    </a:prstGeom>
                    <a:noFill/>
                    <a:ln>
                      <a:noFill/>
                    </a:ln>
                  </pic:spPr>
                </pic:pic>
              </a:graphicData>
            </a:graphic>
          </wp:inline>
        </w:drawing>
      </w:r>
    </w:p>
    <w:p w14:paraId="3CA00BD3"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snapToGrid/>
          <w:kern w:val="2"/>
          <w:szCs w:val="20"/>
        </w:rPr>
        <w:t>Teadaolevalt on Euroopa Liidu kindlustusturul ka teisi sarnaste kindlustuslepingute kindlustusandjaid. Näiteks Eesti turul pakub tervishoiuteenuse osutaja vastutuskindlustust PZU Kindlustuse kaubamärgi all tegutsev AB ”Lietuvos draudimas” Eesti filiaal, kes on EKsL-ile kinnitanud, et PZU tervishoiuteenuse osutajate kohustuslikku vastutuskindlustust vahendavad mitmed kindlustusmaaklerid, ent mitte Northern1.</w:t>
      </w:r>
    </w:p>
    <w:p w14:paraId="62F27671"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snapToGrid/>
          <w:kern w:val="2"/>
          <w:szCs w:val="20"/>
        </w:rPr>
        <w:t xml:space="preserve">Northern1 on kantud Finantsinspektsiooni poolt kindlustusmaaklerite nimekirja, väljastatud on tegevusluba nr 4.1-1/52 piiriüleste teenuste osutamiseks. </w:t>
      </w:r>
    </w:p>
    <w:p w14:paraId="0AB6B042"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b/>
          <w:bCs/>
          <w:snapToGrid/>
          <w:kern w:val="2"/>
          <w:szCs w:val="20"/>
        </w:rPr>
        <w:t>Eeltoodust tulenevalt on EKsL pöördunud Finantsinspektsiooni poole ja palunud kontrollida, kas Northern1 poolt veebilehel kirjeldatud tegevuse puhul on tegemist KindlTS § 174 lg 1 tähenduses kindlustusmaakleri majandus- ja kutsetegevusega või on pigem tegemist kindlustusagendiga</w:t>
      </w:r>
      <w:r w:rsidRPr="007B744C">
        <w:rPr>
          <w:rFonts w:eastAsia="Calibri"/>
          <w:snapToGrid/>
          <w:kern w:val="2"/>
          <w:szCs w:val="20"/>
        </w:rPr>
        <w:t xml:space="preserve">? </w:t>
      </w:r>
    </w:p>
    <w:p w14:paraId="1D949A56"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snapToGrid/>
          <w:kern w:val="2"/>
          <w:szCs w:val="20"/>
        </w:rPr>
        <w:lastRenderedPageBreak/>
        <w:t xml:space="preserve">Kindlustuse turustaja ei saa samaaegselt olla mõlemas rollis, tegemist on olemusliku huvide konfliktiga, sest KindlTS § 175 lg 1 ja § 192 sätestatud kindlustusmaakleri kohustusi ei ole võimalik täita, kui vahendatakse vaid ühe kindlustusandja sellist kindlustustoodet, mille väljatöötamises turustaja on ise osalenud: </w:t>
      </w:r>
    </w:p>
    <w:p w14:paraId="68F19E38" w14:textId="77777777" w:rsidR="00801CAC" w:rsidRPr="007B744C" w:rsidRDefault="00801CAC" w:rsidP="00801CAC">
      <w:pPr>
        <w:ind w:left="567"/>
        <w:contextualSpacing/>
        <w:rPr>
          <w:rFonts w:eastAsia="Calibri"/>
          <w:b/>
          <w:bCs/>
          <w:snapToGrid/>
          <w:kern w:val="2"/>
          <w:szCs w:val="20"/>
        </w:rPr>
      </w:pPr>
    </w:p>
    <w:p w14:paraId="184FC767" w14:textId="322CABF9" w:rsidR="00801CAC" w:rsidRPr="007B744C" w:rsidRDefault="00801CAC" w:rsidP="00801CAC">
      <w:pPr>
        <w:ind w:left="567"/>
        <w:contextualSpacing/>
        <w:rPr>
          <w:rFonts w:eastAsia="Calibri"/>
          <w:snapToGrid/>
          <w:kern w:val="2"/>
          <w:szCs w:val="20"/>
        </w:rPr>
      </w:pPr>
      <w:r w:rsidRPr="007B744C">
        <w:rPr>
          <w:rFonts w:eastAsia="Calibri"/>
          <w:noProof/>
          <w:snapToGrid/>
          <w:kern w:val="2"/>
          <w:szCs w:val="20"/>
        </w:rPr>
        <w:drawing>
          <wp:inline distT="0" distB="0" distL="0" distR="0" wp14:anchorId="0EFD7F9B" wp14:editId="1E796537">
            <wp:extent cx="5029200" cy="647700"/>
            <wp:effectExtent l="0" t="0" r="0" b="0"/>
            <wp:docPr id="1274544401" name="Pilt 3" descr="A close 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 up of black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647700"/>
                    </a:xfrm>
                    <a:prstGeom prst="rect">
                      <a:avLst/>
                    </a:prstGeom>
                    <a:noFill/>
                    <a:ln>
                      <a:noFill/>
                    </a:ln>
                  </pic:spPr>
                </pic:pic>
              </a:graphicData>
            </a:graphic>
          </wp:inline>
        </w:drawing>
      </w:r>
    </w:p>
    <w:p w14:paraId="47A173F6"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snapToGrid/>
          <w:kern w:val="2"/>
          <w:szCs w:val="20"/>
        </w:rPr>
        <w:t>Seega ei ole arusaadav, kuidas kindlustusmaakleri Northern1 tegevus vastab samaaegselt kindlustusagendi tegevusele kehtivatele nõuetele. Samas Northern1 rolli presenteerimine tervishoiuteenuse osutajatele kindlustusmaaklerina on eksitav ning sellisena potentsiaalsete klientide ja teiste kindlustusturu osaliste suhtes ebaaus.</w:t>
      </w:r>
    </w:p>
    <w:p w14:paraId="17EA9164"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b/>
          <w:bCs/>
          <w:snapToGrid/>
          <w:kern w:val="2"/>
          <w:szCs w:val="20"/>
        </w:rPr>
        <w:t>Eeltoodud lõik viitab (nii nagu ka Eestis registreeritud ja ainult Eesti siseturule suunatud veebilehel kindlustustoote turustamine) ka püsivale majandustegevusele, mille kese asub Eestis.</w:t>
      </w:r>
      <w:r w:rsidRPr="007B744C">
        <w:rPr>
          <w:rFonts w:eastAsia="Calibri"/>
          <w:snapToGrid/>
          <w:kern w:val="2"/>
          <w:szCs w:val="20"/>
        </w:rPr>
        <w:t xml:space="preserve"> EKsL-l on lisaks andmeid, et Northern1 korraldab Eestis regulaarseid MedMal kindlustustoote tutvustusi, so turustab füüsiliselt Eestis kohapeal eespool viidatud kindlustusandja „</w:t>
      </w:r>
      <w:r w:rsidRPr="007B744C">
        <w:rPr>
          <w:rFonts w:eastAsia="Calibri"/>
          <w:i/>
          <w:iCs/>
          <w:snapToGrid/>
          <w:kern w:val="2"/>
          <w:szCs w:val="20"/>
        </w:rPr>
        <w:t>Eesti oma ravividage kindlustustoodet</w:t>
      </w:r>
      <w:r w:rsidRPr="007B744C">
        <w:rPr>
          <w:rFonts w:eastAsia="Calibri"/>
          <w:snapToGrid/>
          <w:kern w:val="2"/>
          <w:szCs w:val="20"/>
        </w:rPr>
        <w:t>“ [kirjaviis muutmata].</w:t>
      </w:r>
    </w:p>
    <w:p w14:paraId="1CD867D2" w14:textId="77777777" w:rsidR="00801CAC" w:rsidRPr="007B744C" w:rsidRDefault="00801CAC" w:rsidP="00801CAC">
      <w:pPr>
        <w:numPr>
          <w:ilvl w:val="1"/>
          <w:numId w:val="47"/>
        </w:numPr>
        <w:ind w:left="567"/>
        <w:contextualSpacing/>
        <w:rPr>
          <w:rFonts w:eastAsia="Calibri"/>
          <w:snapToGrid/>
          <w:kern w:val="2"/>
          <w:szCs w:val="20"/>
        </w:rPr>
      </w:pPr>
      <w:r w:rsidRPr="007B744C">
        <w:rPr>
          <w:rFonts w:eastAsia="Calibri"/>
          <w:b/>
          <w:bCs/>
          <w:snapToGrid/>
          <w:kern w:val="2"/>
          <w:szCs w:val="20"/>
        </w:rPr>
        <w:t>Arvestades, Northern1 tegevuse sisuks on KindlTS § 175 lg 2 tunnustele vastava kindlustuse turustusteenus (</w:t>
      </w:r>
      <w:r w:rsidRPr="007B744C">
        <w:rPr>
          <w:rFonts w:eastAsia="Calibri"/>
          <w:i/>
          <w:iCs/>
          <w:snapToGrid/>
          <w:kern w:val="2"/>
          <w:szCs w:val="20"/>
        </w:rPr>
        <w:t>kindlustusagent on isik, kes tegeleb tasu eest agendilepingu alusel kindlustuse turustamisega ühe või mitme kindlustusandja jaoks ja huvides või sõlmib kindlustuslepinguid nende nimel ja arvel</w:t>
      </w:r>
      <w:r w:rsidRPr="007B744C">
        <w:rPr>
          <w:rFonts w:eastAsia="Calibri"/>
          <w:b/>
          <w:bCs/>
          <w:snapToGrid/>
          <w:kern w:val="2"/>
          <w:szCs w:val="20"/>
        </w:rPr>
        <w:t>), siis on EKsL palunud Finantsinspektsioonil hinnata, kas tegemist võiks olla püsiva tegevuskohaga, mis eeldab kindlustusandja filiaali registreerimist vastavalt KindlTS § 36 lg 2</w:t>
      </w:r>
      <w:r w:rsidRPr="007B744C">
        <w:rPr>
          <w:rFonts w:eastAsia="Calibri"/>
          <w:snapToGrid/>
          <w:kern w:val="2"/>
          <w:szCs w:val="20"/>
        </w:rPr>
        <w:t xml:space="preserve"> (</w:t>
      </w:r>
      <w:r w:rsidRPr="007B744C">
        <w:rPr>
          <w:rFonts w:eastAsia="Calibri"/>
          <w:i/>
          <w:iCs/>
          <w:snapToGrid/>
          <w:kern w:val="2"/>
          <w:szCs w:val="20"/>
        </w:rPr>
        <w:t>KindlTS § 36 lg 2 sätestab, et kui välisriigi kindlustusandjat alaliselt esindama volitatud isik tegeleb Eestis püsivalt kindlustusagendi tegevuse või kindlustustegevusega, loetakse volitatud isiku tegevus välisriigi kindlustusandja Eesti filiaali tegevuseks ning sellise tegevuse jätkamiseks peab kindlustusandja käesoleva seaduse §-de 37–40 kohaselt asutama filiaali</w:t>
      </w:r>
      <w:r w:rsidRPr="007B744C">
        <w:rPr>
          <w:rFonts w:eastAsia="Calibri"/>
          <w:snapToGrid/>
          <w:kern w:val="2"/>
          <w:szCs w:val="20"/>
        </w:rPr>
        <w:t>.)?</w:t>
      </w:r>
    </w:p>
    <w:p w14:paraId="3513A97F" w14:textId="77777777" w:rsidR="00801CAC" w:rsidRPr="007B744C" w:rsidRDefault="00801CAC" w:rsidP="00801CAC">
      <w:pPr>
        <w:ind w:left="567"/>
        <w:contextualSpacing/>
        <w:rPr>
          <w:rFonts w:eastAsia="Calibri"/>
          <w:snapToGrid/>
          <w:kern w:val="2"/>
          <w:szCs w:val="20"/>
        </w:rPr>
      </w:pPr>
    </w:p>
    <w:p w14:paraId="4E5A4E8B" w14:textId="77777777" w:rsidR="00801CAC" w:rsidRPr="007B744C" w:rsidRDefault="00801CAC" w:rsidP="00801CAC">
      <w:pPr>
        <w:numPr>
          <w:ilvl w:val="0"/>
          <w:numId w:val="46"/>
        </w:numPr>
        <w:ind w:left="567" w:hanging="567"/>
        <w:contextualSpacing/>
        <w:rPr>
          <w:rFonts w:eastAsia="Calibri"/>
          <w:b/>
          <w:bCs/>
          <w:snapToGrid/>
          <w:kern w:val="2"/>
          <w:szCs w:val="20"/>
        </w:rPr>
      </w:pPr>
      <w:r w:rsidRPr="007B744C">
        <w:rPr>
          <w:rFonts w:eastAsia="Calibri"/>
          <w:b/>
          <w:bCs/>
          <w:snapToGrid/>
          <w:kern w:val="2"/>
          <w:szCs w:val="20"/>
        </w:rPr>
        <w:t>Tervishoiuteenuse kohustusliku vastutuskindlustuse turustamine eeldab TOKVS § 5 lg-tes 2 (</w:t>
      </w:r>
      <w:r w:rsidRPr="007B744C">
        <w:rPr>
          <w:rFonts w:eastAsia="Calibri"/>
          <w:i/>
          <w:iCs/>
          <w:snapToGrid/>
          <w:kern w:val="2"/>
          <w:szCs w:val="20"/>
        </w:rPr>
        <w:t xml:space="preserve">tervishoiuteenuse osutaja kindlustuskohustuse täitmise tõendamiseks esitab kindlustusandja või tema volitatud isik käesoleva paragrahvi lõikes 1 nimetatud andmed infosüsteemide andmevahetuskihi kaudu Terviseameti peetavasse tervishoiukorralduse infosüsteemi.) </w:t>
      </w:r>
      <w:r w:rsidRPr="007B744C">
        <w:rPr>
          <w:rFonts w:eastAsia="Calibri"/>
          <w:b/>
          <w:bCs/>
          <w:i/>
          <w:iCs/>
          <w:snapToGrid/>
          <w:kern w:val="2"/>
          <w:szCs w:val="20"/>
        </w:rPr>
        <w:t>ja 5-7</w:t>
      </w:r>
      <w:r w:rsidRPr="007B744C">
        <w:rPr>
          <w:rFonts w:eastAsia="Calibri"/>
          <w:b/>
          <w:bCs/>
          <w:snapToGrid/>
          <w:kern w:val="2"/>
          <w:szCs w:val="20"/>
        </w:rPr>
        <w:t xml:space="preserve"> sätestatud nõuetele vastavat teabevahetust Terviseametiga, sest kindlustusandja peab andmevahetuskihi kaudu esitama Terviseametile kindlustuslepingute sõlmimise ja täitmise, sh kahjude kohta erinevaid, spetsiifilisi ning tundlikke andmeid. </w:t>
      </w:r>
    </w:p>
    <w:p w14:paraId="7984096D" w14:textId="77777777" w:rsidR="00801CAC" w:rsidRPr="007B744C" w:rsidRDefault="00801CAC" w:rsidP="00801CAC">
      <w:pPr>
        <w:numPr>
          <w:ilvl w:val="1"/>
          <w:numId w:val="48"/>
        </w:numPr>
        <w:ind w:left="567"/>
        <w:contextualSpacing/>
        <w:rPr>
          <w:rFonts w:eastAsia="Calibri"/>
          <w:b/>
          <w:bCs/>
          <w:snapToGrid/>
          <w:kern w:val="2"/>
          <w:szCs w:val="20"/>
        </w:rPr>
      </w:pPr>
      <w:r w:rsidRPr="007B744C">
        <w:rPr>
          <w:rFonts w:eastAsia="Calibri"/>
          <w:b/>
          <w:bCs/>
          <w:snapToGrid/>
          <w:kern w:val="2"/>
          <w:szCs w:val="20"/>
        </w:rPr>
        <w:t xml:space="preserve">Palume Terviseametilt teavet, kas </w:t>
      </w:r>
      <w:hyperlink r:id="rId15" w:history="1">
        <w:r w:rsidRPr="007B744C">
          <w:rPr>
            <w:rFonts w:eastAsia="Calibri"/>
            <w:b/>
            <w:bCs/>
            <w:snapToGrid/>
            <w:color w:val="0563C1"/>
            <w:kern w:val="2"/>
            <w:szCs w:val="20"/>
            <w:u w:val="single"/>
          </w:rPr>
          <w:t>www.medmal.ee</w:t>
        </w:r>
      </w:hyperlink>
      <w:r w:rsidRPr="007B744C">
        <w:rPr>
          <w:rFonts w:eastAsia="Calibri"/>
          <w:b/>
          <w:bCs/>
          <w:snapToGrid/>
          <w:kern w:val="2"/>
          <w:szCs w:val="20"/>
        </w:rPr>
        <w:t xml:space="preserve"> veebilehelt nähtuvatel teenusosutajatel (Lloyd’s Insurance Company S.A,</w:t>
      </w:r>
      <w:r w:rsidRPr="007B744C">
        <w:rPr>
          <w:rFonts w:eastAsia="Calibri"/>
          <w:snapToGrid/>
          <w:kern w:val="2"/>
          <w:szCs w:val="20"/>
        </w:rPr>
        <w:t xml:space="preserve"> </w:t>
      </w:r>
      <w:r w:rsidRPr="007B744C">
        <w:rPr>
          <w:rFonts w:eastAsia="Calibri"/>
          <w:b/>
          <w:bCs/>
          <w:snapToGrid/>
          <w:kern w:val="2"/>
          <w:szCs w:val="20"/>
        </w:rPr>
        <w:t>Northern1 International Insurance Brokers OÜ, Crawford) on vastavad tehnilised lahendused välja töötatud ja liidestatud, et saaks alustada TOKVS-is ja selle rakendusaktis (Terviseministri 21.10.2024  määrus nr 39 „Kindlustusandja esitatav tervishoiuteenuse osutaja kohustusliku vastutuskindlustuse aruanne“) sätestatud nõuetele vastava kindlustusteenuse osutamisega kaasnevate kohustuste täitmisega?</w:t>
      </w:r>
    </w:p>
    <w:p w14:paraId="596AA01E" w14:textId="77777777" w:rsidR="00801CAC" w:rsidRPr="007B744C" w:rsidRDefault="00801CAC" w:rsidP="00801CAC">
      <w:pPr>
        <w:ind w:left="207"/>
        <w:rPr>
          <w:rFonts w:eastAsia="Calibri"/>
          <w:b/>
          <w:bCs/>
          <w:snapToGrid/>
          <w:kern w:val="2"/>
          <w:szCs w:val="20"/>
        </w:rPr>
      </w:pPr>
    </w:p>
    <w:p w14:paraId="6A8D931C" w14:textId="77777777" w:rsidR="00801CAC" w:rsidRPr="007B744C" w:rsidRDefault="00801CAC" w:rsidP="00801CAC">
      <w:pPr>
        <w:numPr>
          <w:ilvl w:val="0"/>
          <w:numId w:val="46"/>
        </w:numPr>
        <w:ind w:left="567" w:hanging="567"/>
        <w:contextualSpacing/>
        <w:rPr>
          <w:rFonts w:eastAsia="Calibri"/>
          <w:b/>
          <w:bCs/>
          <w:snapToGrid/>
          <w:kern w:val="2"/>
          <w:szCs w:val="20"/>
        </w:rPr>
      </w:pPr>
      <w:hyperlink r:id="rId16" w:history="1">
        <w:r w:rsidRPr="007B744C">
          <w:rPr>
            <w:rFonts w:eastAsia="Calibri"/>
            <w:b/>
            <w:bCs/>
            <w:snapToGrid/>
            <w:color w:val="0563C1"/>
            <w:kern w:val="2"/>
            <w:szCs w:val="20"/>
            <w:u w:val="single"/>
          </w:rPr>
          <w:t>www.medmal.ee</w:t>
        </w:r>
      </w:hyperlink>
      <w:r w:rsidRPr="007B744C">
        <w:rPr>
          <w:rFonts w:eastAsia="Calibri"/>
          <w:b/>
          <w:bCs/>
          <w:snapToGrid/>
          <w:kern w:val="2"/>
          <w:szCs w:val="20"/>
        </w:rPr>
        <w:t xml:space="preserve"> veebilehe kohaselt on kahjukäsitlejaks Crawford, kes aga Eestis ei tegutse otse ega ka koostööpartnerite kaudu, vt väljavõtet </w:t>
      </w:r>
      <w:hyperlink r:id="rId17" w:history="1">
        <w:r w:rsidRPr="007B744C">
          <w:rPr>
            <w:rFonts w:eastAsia="Calibri"/>
            <w:b/>
            <w:bCs/>
            <w:snapToGrid/>
            <w:color w:val="0563C1"/>
            <w:kern w:val="2"/>
            <w:szCs w:val="20"/>
            <w:u w:val="single"/>
          </w:rPr>
          <w:t>www.medmal.ee</w:t>
        </w:r>
      </w:hyperlink>
      <w:r w:rsidRPr="007B744C">
        <w:rPr>
          <w:rFonts w:eastAsia="Calibri"/>
          <w:b/>
          <w:bCs/>
          <w:snapToGrid/>
          <w:kern w:val="2"/>
          <w:szCs w:val="20"/>
        </w:rPr>
        <w:t xml:space="preserve"> ja seal lingitud lehelt </w:t>
      </w:r>
      <w:hyperlink r:id="rId18" w:history="1">
        <w:r w:rsidRPr="007B744C">
          <w:rPr>
            <w:rFonts w:eastAsia="Calibri"/>
            <w:b/>
            <w:bCs/>
            <w:snapToGrid/>
            <w:color w:val="0563C1"/>
            <w:kern w:val="2"/>
            <w:szCs w:val="20"/>
            <w:u w:val="single"/>
          </w:rPr>
          <w:t>www.crawco.com</w:t>
        </w:r>
      </w:hyperlink>
      <w:r w:rsidRPr="007B744C">
        <w:rPr>
          <w:rFonts w:eastAsia="Calibri"/>
          <w:b/>
          <w:bCs/>
          <w:snapToGrid/>
          <w:kern w:val="2"/>
          <w:szCs w:val="20"/>
        </w:rPr>
        <w:t>:</w:t>
      </w:r>
    </w:p>
    <w:p w14:paraId="54518ECF" w14:textId="645FC78C" w:rsidR="00801CAC" w:rsidRPr="007B744C" w:rsidRDefault="00801CAC" w:rsidP="00801CAC">
      <w:pPr>
        <w:ind w:left="709"/>
        <w:contextualSpacing/>
        <w:rPr>
          <w:rFonts w:eastAsia="Calibri"/>
          <w:b/>
          <w:bCs/>
          <w:snapToGrid/>
          <w:kern w:val="2"/>
          <w:szCs w:val="20"/>
        </w:rPr>
      </w:pPr>
      <w:r w:rsidRPr="007B744C">
        <w:rPr>
          <w:rFonts w:eastAsia="Calibri"/>
          <w:b/>
          <w:noProof/>
          <w:snapToGrid/>
          <w:kern w:val="2"/>
          <w:szCs w:val="20"/>
        </w:rPr>
        <w:drawing>
          <wp:inline distT="0" distB="0" distL="0" distR="0" wp14:anchorId="2E150D1D" wp14:editId="4EBDD9F7">
            <wp:extent cx="5762625" cy="952500"/>
            <wp:effectExtent l="0" t="0" r="9525" b="0"/>
            <wp:docPr id="1121372908" name="Pilt 2" descr="A close-up of a medica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up of a medical tex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952500"/>
                    </a:xfrm>
                    <a:prstGeom prst="rect">
                      <a:avLst/>
                    </a:prstGeom>
                    <a:noFill/>
                    <a:ln>
                      <a:noFill/>
                    </a:ln>
                  </pic:spPr>
                </pic:pic>
              </a:graphicData>
            </a:graphic>
          </wp:inline>
        </w:drawing>
      </w:r>
    </w:p>
    <w:p w14:paraId="57E07BC8" w14:textId="427BAF41" w:rsidR="00801CAC" w:rsidRPr="007B744C" w:rsidRDefault="00801CAC" w:rsidP="00801CAC">
      <w:pPr>
        <w:ind w:left="1070"/>
        <w:contextualSpacing/>
        <w:rPr>
          <w:rFonts w:eastAsia="Calibri"/>
          <w:b/>
          <w:bCs/>
          <w:snapToGrid/>
          <w:kern w:val="2"/>
          <w:szCs w:val="20"/>
        </w:rPr>
      </w:pPr>
      <w:r w:rsidRPr="007B744C">
        <w:rPr>
          <w:rFonts w:eastAsia="Calibri"/>
          <w:noProof/>
          <w:snapToGrid/>
          <w:kern w:val="2"/>
          <w:szCs w:val="20"/>
        </w:rPr>
        <w:lastRenderedPageBreak/>
        <w:drawing>
          <wp:inline distT="0" distB="0" distL="0" distR="0" wp14:anchorId="78A4E706" wp14:editId="7EA2B160">
            <wp:extent cx="4000500" cy="2748280"/>
            <wp:effectExtent l="0" t="0" r="0" b="0"/>
            <wp:docPr id="2074689683" name="Pilt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creenshot of a compute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0" cy="2748280"/>
                    </a:xfrm>
                    <a:prstGeom prst="rect">
                      <a:avLst/>
                    </a:prstGeom>
                    <a:noFill/>
                    <a:ln>
                      <a:noFill/>
                    </a:ln>
                  </pic:spPr>
                </pic:pic>
              </a:graphicData>
            </a:graphic>
          </wp:inline>
        </w:drawing>
      </w:r>
    </w:p>
    <w:p w14:paraId="59F986AA" w14:textId="77777777" w:rsidR="00801CAC" w:rsidRPr="007B744C" w:rsidRDefault="00801CAC" w:rsidP="00801CAC">
      <w:pPr>
        <w:numPr>
          <w:ilvl w:val="1"/>
          <w:numId w:val="49"/>
        </w:numPr>
        <w:contextualSpacing/>
        <w:rPr>
          <w:rFonts w:eastAsia="Calibri"/>
          <w:snapToGrid/>
          <w:kern w:val="2"/>
          <w:szCs w:val="20"/>
        </w:rPr>
      </w:pPr>
      <w:r w:rsidRPr="007B744C">
        <w:rPr>
          <w:rFonts w:eastAsia="Calibri"/>
          <w:snapToGrid/>
          <w:kern w:val="2"/>
          <w:szCs w:val="20"/>
        </w:rPr>
        <w:t xml:space="preserve">TOKVS § 6 lg 1 sätestab, et </w:t>
      </w:r>
      <w:r w:rsidRPr="007B744C">
        <w:rPr>
          <w:rFonts w:eastAsia="Calibri"/>
          <w:i/>
          <w:iCs/>
          <w:snapToGrid/>
          <w:kern w:val="2"/>
          <w:szCs w:val="20"/>
        </w:rPr>
        <w:t>vastutuskindlustuslepingut on õigus sõlmida kindlustusandjal, kellel on õigus kindlustada Eestis asuvat kindlustusriski. Kui välisriigi kindlustusandja tegutseb Eestis, siis peab ta määrama kontaktisiku, kelle poole on tervishoiuteenuse osutajal ja õigustatud isikul võimalik pöörduda eesti keeles ja Eestis asuvas kontaktpunktis</w:t>
      </w:r>
      <w:r w:rsidRPr="007B744C">
        <w:rPr>
          <w:rFonts w:eastAsia="Calibri"/>
          <w:snapToGrid/>
          <w:kern w:val="2"/>
          <w:szCs w:val="20"/>
        </w:rPr>
        <w:t>.</w:t>
      </w:r>
    </w:p>
    <w:p w14:paraId="54B00DE2" w14:textId="77777777" w:rsidR="00801CAC" w:rsidRPr="007B744C" w:rsidRDefault="00801CAC" w:rsidP="00801CAC">
      <w:pPr>
        <w:numPr>
          <w:ilvl w:val="1"/>
          <w:numId w:val="49"/>
        </w:numPr>
        <w:contextualSpacing/>
        <w:rPr>
          <w:rFonts w:eastAsia="Calibri"/>
          <w:b/>
          <w:bCs/>
          <w:snapToGrid/>
          <w:kern w:val="2"/>
          <w:szCs w:val="20"/>
        </w:rPr>
      </w:pPr>
      <w:r w:rsidRPr="007B744C">
        <w:rPr>
          <w:rFonts w:eastAsia="Calibri"/>
          <w:b/>
          <w:bCs/>
          <w:snapToGrid/>
          <w:kern w:val="2"/>
          <w:szCs w:val="20"/>
        </w:rPr>
        <w:t xml:space="preserve">Eeltoodu põhjal palume Terviseametil kontrollida, kuidas on tagatud, et kahjujuhtumite korral on tagatud, et </w:t>
      </w:r>
      <w:hyperlink r:id="rId21" w:history="1">
        <w:r w:rsidRPr="007B744C">
          <w:rPr>
            <w:rFonts w:eastAsia="Calibri"/>
            <w:b/>
            <w:bCs/>
            <w:snapToGrid/>
            <w:color w:val="0563C1"/>
            <w:kern w:val="2"/>
            <w:szCs w:val="20"/>
            <w:u w:val="single"/>
          </w:rPr>
          <w:t>www.medmal.ee</w:t>
        </w:r>
      </w:hyperlink>
      <w:r w:rsidRPr="007B744C">
        <w:rPr>
          <w:rFonts w:eastAsia="Calibri"/>
          <w:b/>
          <w:bCs/>
          <w:snapToGrid/>
          <w:kern w:val="2"/>
          <w:szCs w:val="20"/>
        </w:rPr>
        <w:t xml:space="preserve"> „kindlustuslahenduse“ pakkujal on piisavalt rahalisi vahendeid ning piisavalt võimalusi ja oskusi, et TOKVS-iga kaetud väga spetsiifilisi kahjujuhtumeid nõuetekohaselt lahendada ning teha seda Eestis asuvas kontaktpunktis? </w:t>
      </w:r>
    </w:p>
    <w:p w14:paraId="0111870C" w14:textId="77777777" w:rsidR="00801CAC" w:rsidRPr="007B744C" w:rsidRDefault="00801CAC" w:rsidP="00801CAC">
      <w:pPr>
        <w:numPr>
          <w:ilvl w:val="0"/>
          <w:numId w:val="46"/>
        </w:numPr>
        <w:ind w:left="567" w:hanging="567"/>
        <w:contextualSpacing/>
        <w:rPr>
          <w:rFonts w:eastAsia="Calibri"/>
          <w:snapToGrid/>
          <w:color w:val="000000"/>
          <w:kern w:val="2"/>
          <w:sz w:val="24"/>
          <w:szCs w:val="24"/>
          <w:lang w:eastAsia="et-EE"/>
        </w:rPr>
      </w:pPr>
      <w:r w:rsidRPr="007B744C">
        <w:rPr>
          <w:rFonts w:eastAsia="Calibri"/>
          <w:snapToGrid/>
          <w:kern w:val="2"/>
          <w:szCs w:val="20"/>
        </w:rPr>
        <w:t>Eelmises punktis 3 viidatud Lloyds „ülemaailmse ravivigade (</w:t>
      </w:r>
      <w:r w:rsidRPr="007B744C">
        <w:rPr>
          <w:rFonts w:eastAsia="Calibri"/>
          <w:i/>
          <w:iCs/>
          <w:snapToGrid/>
          <w:kern w:val="2"/>
          <w:szCs w:val="20"/>
        </w:rPr>
        <w:t>Medical Malpractice</w:t>
      </w:r>
      <w:r w:rsidRPr="007B744C">
        <w:rPr>
          <w:rFonts w:eastAsia="Calibri"/>
          <w:snapToGrid/>
          <w:kern w:val="2"/>
          <w:szCs w:val="20"/>
        </w:rPr>
        <w:t>) kindlustustoote“ erinevus TOKVS-is sätestatud kohustuslikust vastutuskindlustusest on kindlustusvaldkonnas üldteadaolevalt see, et kindlustuskaitset pakutakse „</w:t>
      </w:r>
      <w:r w:rsidRPr="007B744C">
        <w:rPr>
          <w:rFonts w:eastAsia="Calibri"/>
          <w:i/>
          <w:iCs/>
          <w:snapToGrid/>
          <w:kern w:val="2"/>
          <w:szCs w:val="20"/>
        </w:rPr>
        <w:t>Claims made</w:t>
      </w:r>
      <w:r w:rsidRPr="007B744C">
        <w:rPr>
          <w:rFonts w:eastAsia="Calibri"/>
          <w:snapToGrid/>
          <w:kern w:val="2"/>
          <w:szCs w:val="20"/>
        </w:rPr>
        <w:t xml:space="preserve">“ põhimõttel. TOKVS § 10 kohaselt peab kindlustuskaitse lähtuma rikkumise toimumise ajahetkest. </w:t>
      </w:r>
      <w:r w:rsidRPr="007B744C">
        <w:rPr>
          <w:rFonts w:eastAsia="Calibri"/>
          <w:b/>
          <w:bCs/>
          <w:snapToGrid/>
          <w:kern w:val="2"/>
          <w:szCs w:val="20"/>
        </w:rPr>
        <w:t xml:space="preserve">Palume Terviseametil hinnata, kas </w:t>
      </w:r>
      <w:hyperlink r:id="rId22" w:history="1">
        <w:r w:rsidRPr="007B744C">
          <w:rPr>
            <w:rFonts w:eastAsia="Calibri"/>
            <w:b/>
            <w:bCs/>
            <w:snapToGrid/>
            <w:color w:val="0563C1"/>
            <w:kern w:val="2"/>
            <w:szCs w:val="20"/>
            <w:u w:val="single"/>
          </w:rPr>
          <w:t>www.medmal.ee</w:t>
        </w:r>
      </w:hyperlink>
      <w:r w:rsidRPr="007B744C">
        <w:rPr>
          <w:rFonts w:eastAsia="Calibri"/>
          <w:b/>
          <w:bCs/>
          <w:snapToGrid/>
          <w:kern w:val="2"/>
          <w:szCs w:val="20"/>
        </w:rPr>
        <w:t xml:space="preserve"> kaudu turustatav kindlustustoode vastab TOKVS-i nõuetele ning teavet, kuidas on praktikas tegelikult tagatud kindlustusvõtjate ja kahjustatud isikute huvide kaitse ja TOKVS eesmärkide saavutamine, kui esitatakse nõue </w:t>
      </w:r>
      <w:hyperlink r:id="rId23" w:history="1">
        <w:r w:rsidRPr="007B744C">
          <w:rPr>
            <w:rFonts w:eastAsia="Calibri"/>
            <w:b/>
            <w:bCs/>
            <w:snapToGrid/>
            <w:color w:val="0563C1"/>
            <w:kern w:val="2"/>
            <w:szCs w:val="20"/>
            <w:u w:val="single"/>
          </w:rPr>
          <w:t>www.medmal.ee</w:t>
        </w:r>
      </w:hyperlink>
      <w:r w:rsidRPr="007B744C">
        <w:rPr>
          <w:rFonts w:eastAsia="Calibri"/>
          <w:b/>
          <w:bCs/>
          <w:snapToGrid/>
          <w:kern w:val="2"/>
          <w:szCs w:val="20"/>
        </w:rPr>
        <w:t xml:space="preserve"> kaudu müüdud „</w:t>
      </w:r>
      <w:r w:rsidRPr="007B744C">
        <w:rPr>
          <w:rFonts w:eastAsia="Calibri"/>
          <w:b/>
          <w:bCs/>
          <w:i/>
          <w:iCs/>
          <w:snapToGrid/>
          <w:kern w:val="2"/>
          <w:szCs w:val="20"/>
        </w:rPr>
        <w:t>ülemaailmse ravivigade (Medical Malpractice) kindlustustoote</w:t>
      </w:r>
      <w:r w:rsidRPr="007B744C">
        <w:rPr>
          <w:rFonts w:eastAsia="Calibri"/>
          <w:b/>
          <w:bCs/>
          <w:snapToGrid/>
          <w:kern w:val="2"/>
          <w:szCs w:val="20"/>
        </w:rPr>
        <w:t>“ ostnud tervishoiuteenuse osutaja vastu?</w:t>
      </w:r>
    </w:p>
    <w:p w14:paraId="15451CA5" w14:textId="77777777" w:rsidR="001F7066" w:rsidRDefault="001F7066" w:rsidP="001F7066">
      <w:pPr>
        <w:pStyle w:val="Teksthelreal"/>
      </w:pPr>
    </w:p>
    <w:p w14:paraId="1768A15D" w14:textId="77777777" w:rsidR="001F7066" w:rsidRDefault="001F7066" w:rsidP="001F7066">
      <w:pPr>
        <w:pStyle w:val="Teksthelreal"/>
      </w:pPr>
    </w:p>
    <w:p w14:paraId="30892C2C" w14:textId="77777777" w:rsidR="00801CAC" w:rsidRDefault="00801CAC" w:rsidP="00801CAC">
      <w:pPr>
        <w:pStyle w:val="Teksthelreal"/>
      </w:pPr>
      <w:r>
        <w:t>Lugupidamisega</w:t>
      </w:r>
    </w:p>
    <w:p w14:paraId="197059E5" w14:textId="77777777" w:rsidR="00801CAC" w:rsidRDefault="00801CAC" w:rsidP="00801CAC">
      <w:pPr>
        <w:pStyle w:val="Teksthelreal"/>
      </w:pPr>
    </w:p>
    <w:p w14:paraId="06356BBB" w14:textId="77777777" w:rsidR="00801CAC" w:rsidRDefault="00801CAC" w:rsidP="00801CAC">
      <w:pPr>
        <w:pStyle w:val="Teksthelreal"/>
      </w:pPr>
      <w:r>
        <w:t>/allkirjastatud digitaalselt/</w:t>
      </w:r>
    </w:p>
    <w:p w14:paraId="4A7287A0" w14:textId="77777777" w:rsidR="00801CAC" w:rsidRDefault="00801CAC" w:rsidP="00801CAC">
      <w:pPr>
        <w:pStyle w:val="Teksthelreal"/>
      </w:pPr>
      <w:r>
        <w:t>Andres Piirsalu</w:t>
      </w:r>
    </w:p>
    <w:p w14:paraId="26C9E2CA" w14:textId="77777777" w:rsidR="00801CAC" w:rsidRDefault="00801CAC" w:rsidP="00801CAC">
      <w:r>
        <w:t>Juhatuse liige</w:t>
      </w:r>
    </w:p>
    <w:p w14:paraId="2A0E14CF" w14:textId="46F653AE" w:rsidR="00801CAC" w:rsidRDefault="00801CAC" w:rsidP="00801CAC">
      <w:r>
        <w:t>+372 533 08</w:t>
      </w:r>
      <w:r>
        <w:t> </w:t>
      </w:r>
      <w:r>
        <w:t>752</w:t>
      </w:r>
    </w:p>
    <w:p w14:paraId="79DA6207" w14:textId="77777777" w:rsidR="00AD6F8B" w:rsidRDefault="00AD6F8B" w:rsidP="00AD6F8B"/>
    <w:p w14:paraId="49EFAF49" w14:textId="77777777" w:rsidR="00B458AB" w:rsidRDefault="00B458AB" w:rsidP="00AD6F8B"/>
    <w:p w14:paraId="0B247065" w14:textId="77777777" w:rsidR="007476AE" w:rsidRDefault="007476AE" w:rsidP="00AD6F8B"/>
    <w:p w14:paraId="0FF88340" w14:textId="77777777" w:rsidR="007476AE" w:rsidRDefault="007476AE" w:rsidP="00AD6F8B"/>
    <w:p w14:paraId="4BCFD656" w14:textId="77777777" w:rsidR="007476AE" w:rsidRDefault="007476AE" w:rsidP="00AD6F8B"/>
    <w:p w14:paraId="7F5E81E5" w14:textId="77777777" w:rsidR="007476AE" w:rsidRDefault="007476AE" w:rsidP="00AD6F8B"/>
    <w:p w14:paraId="67AA3A88" w14:textId="77777777" w:rsidR="007476AE" w:rsidRDefault="007476AE" w:rsidP="00AD6F8B"/>
    <w:p w14:paraId="0894557E" w14:textId="77777777" w:rsidR="007476AE" w:rsidRDefault="007476AE" w:rsidP="00AD6F8B"/>
    <w:p w14:paraId="3DA06D55" w14:textId="77777777" w:rsidR="00B458AB" w:rsidRDefault="00B458AB" w:rsidP="00AD6F8B"/>
    <w:p w14:paraId="4E8F3650" w14:textId="77777777" w:rsidR="00B458AB" w:rsidRDefault="00B458AB" w:rsidP="00AD6F8B"/>
    <w:sectPr w:rsidR="00B458AB">
      <w:headerReference w:type="default" r:id="rId24"/>
      <w:headerReference w:type="first" r:id="rId25"/>
      <w:footerReference w:type="first" r:id="rId26"/>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3ECE" w14:textId="77777777" w:rsidR="009A617B" w:rsidRDefault="009A617B">
      <w:r>
        <w:separator/>
      </w:r>
    </w:p>
  </w:endnote>
  <w:endnote w:type="continuationSeparator" w:id="0">
    <w:p w14:paraId="6542055A" w14:textId="77777777" w:rsidR="009A617B" w:rsidRDefault="009A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5EEF" w14:textId="77777777" w:rsidR="001F7066" w:rsidRDefault="001F7066" w:rsidP="001F7066">
    <w:pPr>
      <w:pStyle w:val="Jalus"/>
    </w:pPr>
  </w:p>
  <w:p w14:paraId="7A3FE664" w14:textId="77777777" w:rsidR="001F7066" w:rsidRDefault="001F7066" w:rsidP="001F7066">
    <w:pPr>
      <w:pStyle w:val="Jalus"/>
    </w:pPr>
    <w:r>
      <w:t>Eesti Kindlustusseltside Liit, registrikood 80007648</w:t>
    </w:r>
  </w:p>
  <w:p w14:paraId="00767601" w14:textId="77777777" w:rsidR="001F7066" w:rsidRDefault="001F7066" w:rsidP="001F7066">
    <w:pPr>
      <w:pStyle w:val="Jalus"/>
    </w:pPr>
    <w:r>
      <w:t xml:space="preserve">Mustamäe tee 46, 10621 Tallinn </w:t>
    </w:r>
  </w:p>
  <w:p w14:paraId="5B99B896" w14:textId="77777777" w:rsidR="001F7066" w:rsidRDefault="001F7066">
    <w:pPr>
      <w:pStyle w:val="Jalus"/>
    </w:pPr>
    <w:r>
      <w:t>Tel 667 1800, info@eksl.ee, www.eksl.ee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42B8" w14:textId="77777777" w:rsidR="009A617B" w:rsidRDefault="009A617B">
      <w:r>
        <w:separator/>
      </w:r>
    </w:p>
  </w:footnote>
  <w:footnote w:type="continuationSeparator" w:id="0">
    <w:p w14:paraId="39B75464" w14:textId="77777777" w:rsidR="009A617B" w:rsidRDefault="009A6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1DD8" w14:textId="77777777" w:rsidR="00037DEB" w:rsidRDefault="00B458AB">
    <w:pPr>
      <w:pStyle w:val="Pis"/>
      <w:jc w:val="center"/>
    </w:pPr>
    <w:r>
      <w:rPr>
        <w:noProof/>
        <w:snapToGrid/>
        <w:lang w:eastAsia="et-EE"/>
      </w:rPr>
      <w:drawing>
        <wp:anchor distT="0" distB="0" distL="114300" distR="114300" simplePos="0" relativeHeight="251661312" behindDoc="1" locked="0" layoutInCell="1" allowOverlap="1" wp14:anchorId="74B5B90A" wp14:editId="7A88992F">
          <wp:simplePos x="0" y="0"/>
          <wp:positionH relativeFrom="page">
            <wp:posOffset>0</wp:posOffset>
          </wp:positionH>
          <wp:positionV relativeFrom="page">
            <wp:posOffset>0</wp:posOffset>
          </wp:positionV>
          <wp:extent cx="8280000" cy="57600"/>
          <wp:effectExtent l="0" t="0" r="0" b="0"/>
          <wp:wrapNone/>
          <wp:docPr id="4" name="Pilt 4" descr="triip_2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ip_21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0" cy="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DEB">
      <w:t xml:space="preserve">- </w:t>
    </w:r>
    <w:r w:rsidR="00037DEB">
      <w:fldChar w:fldCharType="begin"/>
    </w:r>
    <w:r w:rsidR="00037DEB">
      <w:instrText xml:space="preserve"> PAGE </w:instrText>
    </w:r>
    <w:r w:rsidR="00037DEB">
      <w:fldChar w:fldCharType="separate"/>
    </w:r>
    <w:r w:rsidR="00A15D64">
      <w:rPr>
        <w:noProof/>
      </w:rPr>
      <w:t>2</w:t>
    </w:r>
    <w:r w:rsidR="00037DEB">
      <w:fldChar w:fldCharType="end"/>
    </w:r>
    <w:r w:rsidR="00037DE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039E" w14:textId="77777777" w:rsidR="00F34E98" w:rsidRPr="001A23F9" w:rsidRDefault="003F0EB8">
    <w:pPr>
      <w:pStyle w:val="Pis"/>
      <w:rPr>
        <w:sz w:val="2"/>
        <w:szCs w:val="2"/>
      </w:rPr>
    </w:pPr>
    <w:r w:rsidRPr="001A23F9">
      <w:rPr>
        <w:noProof/>
        <w:snapToGrid/>
        <w:sz w:val="2"/>
        <w:szCs w:val="2"/>
        <w:lang w:eastAsia="et-EE"/>
      </w:rPr>
      <w:drawing>
        <wp:anchor distT="0" distB="0" distL="114300" distR="114300" simplePos="0" relativeHeight="251662336" behindDoc="1" locked="0" layoutInCell="1" allowOverlap="1" wp14:anchorId="65699748" wp14:editId="1EDDA510">
          <wp:simplePos x="0" y="0"/>
          <wp:positionH relativeFrom="column">
            <wp:posOffset>-866775</wp:posOffset>
          </wp:positionH>
          <wp:positionV relativeFrom="paragraph">
            <wp:posOffset>-17145</wp:posOffset>
          </wp:positionV>
          <wp:extent cx="2725200" cy="860400"/>
          <wp:effectExtent l="0" t="0" r="0" b="0"/>
          <wp:wrapNone/>
          <wp:docPr id="7" name="Pilt 7"/>
          <wp:cNvGraphicFramePr/>
          <a:graphic xmlns:a="http://schemas.openxmlformats.org/drawingml/2006/main">
            <a:graphicData uri="http://schemas.openxmlformats.org/drawingml/2006/picture">
              <pic:pic xmlns:pic="http://schemas.openxmlformats.org/drawingml/2006/picture">
                <pic:nvPicPr>
                  <pic:cNvPr id="7" name="Pilt 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52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8AB" w:rsidRPr="001A23F9">
      <w:rPr>
        <w:noProof/>
        <w:snapToGrid/>
        <w:sz w:val="2"/>
        <w:szCs w:val="2"/>
        <w:lang w:eastAsia="et-EE"/>
      </w:rPr>
      <mc:AlternateContent>
        <mc:Choice Requires="wps">
          <w:drawing>
            <wp:anchor distT="0" distB="0" distL="114300" distR="114300" simplePos="0" relativeHeight="251656189" behindDoc="0" locked="0" layoutInCell="1" allowOverlap="1" wp14:anchorId="38120C9D" wp14:editId="277AA68C">
              <wp:simplePos x="0" y="0"/>
              <wp:positionH relativeFrom="page">
                <wp:posOffset>0</wp:posOffset>
              </wp:positionH>
              <wp:positionV relativeFrom="page">
                <wp:posOffset>0</wp:posOffset>
              </wp:positionV>
              <wp:extent cx="7560000" cy="1602000"/>
              <wp:effectExtent l="0" t="0" r="0" b="0"/>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6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2CD86" id="Rectangle 5" o:spid="_x0000_s1026" style="position:absolute;margin-left:0;margin-top:0;width:595.3pt;height:126.15pt;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" filled="f" stroked="f">
              <w10:wrap type="square" anchorx="page" anchory="page"/>
            </v:rect>
          </w:pict>
        </mc:Fallback>
      </mc:AlternateContent>
    </w:r>
    <w:r w:rsidR="00B458AB" w:rsidRPr="001A23F9">
      <w:rPr>
        <w:noProof/>
        <w:snapToGrid/>
        <w:sz w:val="2"/>
        <w:szCs w:val="2"/>
        <w:lang w:eastAsia="et-EE"/>
      </w:rPr>
      <w:drawing>
        <wp:anchor distT="0" distB="0" distL="114300" distR="114300" simplePos="0" relativeHeight="251659264" behindDoc="1" locked="0" layoutInCell="1" allowOverlap="1" wp14:anchorId="27541596" wp14:editId="5FCCF554">
          <wp:simplePos x="0" y="0"/>
          <wp:positionH relativeFrom="page">
            <wp:posOffset>0</wp:posOffset>
          </wp:positionH>
          <wp:positionV relativeFrom="page">
            <wp:posOffset>0</wp:posOffset>
          </wp:positionV>
          <wp:extent cx="8280000" cy="57600"/>
          <wp:effectExtent l="0" t="0" r="0" b="0"/>
          <wp:wrapNone/>
          <wp:docPr id="3" name="Pilt 3" descr="triip_2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ip_210m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000" cy="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880B3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E881FD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338E269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328A69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5C0FF2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E8EBC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8DB840E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D34028"/>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8F01B4E"/>
    <w:multiLevelType w:val="hybridMultilevel"/>
    <w:tmpl w:val="144E6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5E6366"/>
    <w:multiLevelType w:val="multilevel"/>
    <w:tmpl w:val="90CED0F2"/>
    <w:lvl w:ilvl="0">
      <w:start w:val="1"/>
      <w:numFmt w:val="decimal"/>
      <w:pStyle w:val="Punktidegasisu"/>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0"/>
      <w:lvlText w:val="%1.%2.%3.%4"/>
      <w:lvlJc w:val="left"/>
      <w:pPr>
        <w:tabs>
          <w:tab w:val="num" w:pos="851"/>
        </w:tabs>
        <w:ind w:left="851" w:hanging="851"/>
      </w:pPr>
      <w:rPr>
        <w:rFonts w:hint="default"/>
      </w:rPr>
    </w:lvl>
    <w:lvl w:ilvl="4">
      <w:start w:val="1"/>
      <w:numFmt w:val="decimal"/>
      <w:lvlText w:val="(%5)"/>
      <w:lvlJc w:val="left"/>
      <w:pPr>
        <w:tabs>
          <w:tab w:val="num" w:pos="3676"/>
        </w:tabs>
        <w:ind w:left="3676" w:hanging="72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0" w15:restartNumberingAfterBreak="0">
    <w:nsid w:val="0E7B3777"/>
    <w:multiLevelType w:val="hybridMultilevel"/>
    <w:tmpl w:val="B464024E"/>
    <w:lvl w:ilvl="0" w:tplc="47ACE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E2A63"/>
    <w:multiLevelType w:val="multilevel"/>
    <w:tmpl w:val="4A72496C"/>
    <w:lvl w:ilvl="0">
      <w:start w:val="1"/>
      <w:numFmt w:val="bullet"/>
      <w:pStyle w:val="Loetelu"/>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A000F94"/>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155E2D"/>
    <w:multiLevelType w:val="multilevel"/>
    <w:tmpl w:val="3E661C2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C525FFB"/>
    <w:multiLevelType w:val="multilevel"/>
    <w:tmpl w:val="BD1C5C86"/>
    <w:lvl w:ilvl="0">
      <w:start w:val="1"/>
      <w:numFmt w:val="decimal"/>
      <w:pStyle w:val="Pealkiri1"/>
      <w:lvlText w:val="%1"/>
      <w:lvlJc w:val="left"/>
      <w:pPr>
        <w:tabs>
          <w:tab w:val="num" w:pos="851"/>
        </w:tabs>
        <w:ind w:left="851" w:hanging="851"/>
      </w:pPr>
      <w:rPr>
        <w:rFonts w:ascii="Arial" w:hAnsi="Arial" w:hint="default"/>
        <w:b/>
        <w:i w:val="0"/>
        <w:sz w:val="20"/>
      </w:rPr>
    </w:lvl>
    <w:lvl w:ilvl="1">
      <w:start w:val="1"/>
      <w:numFmt w:val="decimal"/>
      <w:pStyle w:val="Pealkiri2"/>
      <w:lvlText w:val="%1.%2"/>
      <w:lvlJc w:val="left"/>
      <w:pPr>
        <w:tabs>
          <w:tab w:val="num" w:pos="851"/>
        </w:tabs>
        <w:ind w:left="851" w:hanging="851"/>
      </w:pPr>
      <w:rPr>
        <w:rFonts w:ascii="Arial" w:hAnsi="Arial" w:hint="default"/>
        <w:b/>
        <w:i w:val="0"/>
        <w:sz w:val="20"/>
      </w:rPr>
    </w:lvl>
    <w:lvl w:ilvl="2">
      <w:start w:val="1"/>
      <w:numFmt w:val="decimal"/>
      <w:pStyle w:val="Pealkiri3"/>
      <w:lvlText w:val="%1.%2.%3"/>
      <w:lvlJc w:val="left"/>
      <w:pPr>
        <w:tabs>
          <w:tab w:val="num" w:pos="851"/>
        </w:tabs>
        <w:ind w:left="851" w:hanging="851"/>
      </w:pPr>
      <w:rPr>
        <w:rFonts w:ascii="Arial" w:hAnsi="Arial" w:hint="default"/>
        <w:b/>
        <w:i/>
        <w:sz w:val="20"/>
      </w:rPr>
    </w:lvl>
    <w:lvl w:ilvl="3">
      <w:start w:val="1"/>
      <w:numFmt w:val="decimal"/>
      <w:pStyle w:val="Pealkiri4"/>
      <w:lvlText w:val="%1.%2.%3.%4"/>
      <w:lvlJc w:val="left"/>
      <w:pPr>
        <w:tabs>
          <w:tab w:val="num" w:pos="851"/>
        </w:tabs>
        <w:ind w:left="851" w:hanging="851"/>
      </w:pPr>
      <w:rPr>
        <w:rFonts w:ascii="Arial" w:hAnsi="Arial" w:hint="default"/>
        <w:b w:val="0"/>
        <w:i/>
        <w:sz w:val="20"/>
      </w:rPr>
    </w:lvl>
    <w:lvl w:ilvl="4">
      <w:start w:val="1"/>
      <w:numFmt w:val="decimal"/>
      <w:pStyle w:val="Pealkiri5"/>
      <w:lvlText w:val="%1.%2.%3.%4.%5"/>
      <w:lvlJc w:val="left"/>
      <w:pPr>
        <w:tabs>
          <w:tab w:val="num" w:pos="1008"/>
        </w:tabs>
        <w:ind w:left="1008" w:hanging="1008"/>
      </w:pPr>
      <w:rPr>
        <w:rFonts w:hint="default"/>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5" w15:restartNumberingAfterBreak="0">
    <w:nsid w:val="476417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16175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463736"/>
    <w:multiLevelType w:val="hybridMultilevel"/>
    <w:tmpl w:val="BED6AC90"/>
    <w:lvl w:ilvl="0" w:tplc="8F4836E0">
      <w:start w:val="1"/>
      <w:numFmt w:val="decimal"/>
      <w:lvlText w:val="%1."/>
      <w:lvlJc w:val="left"/>
      <w:pPr>
        <w:ind w:left="1070" w:hanging="710"/>
      </w:pPr>
      <w:rPr>
        <w:rFonts w:hint="default"/>
        <w:sz w:val="20"/>
        <w:szCs w:val="2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DD756A7"/>
    <w:multiLevelType w:val="multilevel"/>
    <w:tmpl w:val="04250023"/>
    <w:lvl w:ilvl="0">
      <w:start w:val="1"/>
      <w:numFmt w:val="upperRoman"/>
      <w:lvlText w:val="Artikkel %1."/>
      <w:lvlJc w:val="left"/>
      <w:pPr>
        <w:ind w:left="0" w:firstLine="0"/>
      </w:pPr>
    </w:lvl>
    <w:lvl w:ilvl="1">
      <w:start w:val="1"/>
      <w:numFmt w:val="decimalZero"/>
      <w:isLgl/>
      <w:lvlText w:val="Jaotis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611355"/>
    <w:multiLevelType w:val="hybridMultilevel"/>
    <w:tmpl w:val="973A2314"/>
    <w:lvl w:ilvl="0" w:tplc="FF5AED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2C024A"/>
    <w:multiLevelType w:val="multilevel"/>
    <w:tmpl w:val="DB38B2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03169FF"/>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893EB9"/>
    <w:multiLevelType w:val="multilevel"/>
    <w:tmpl w:val="AAD669AE"/>
    <w:lvl w:ilvl="0">
      <w:start w:val="1"/>
      <w:numFmt w:val="decimal"/>
      <w:pStyle w:val="Tasemetegasisu"/>
      <w:lvlText w:val="%1."/>
      <w:lvlJc w:val="left"/>
      <w:pPr>
        <w:tabs>
          <w:tab w:val="num" w:pos="851"/>
        </w:tabs>
        <w:ind w:left="851" w:hanging="567"/>
      </w:pPr>
      <w:rPr>
        <w:rFonts w:hint="default"/>
      </w:rPr>
    </w:lvl>
    <w:lvl w:ilvl="1">
      <w:start w:val="1"/>
      <w:numFmt w:val="lowerLetter"/>
      <w:lvlText w:val="%2."/>
      <w:lvlJc w:val="left"/>
      <w:pPr>
        <w:tabs>
          <w:tab w:val="num" w:pos="1211"/>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upperRoman"/>
      <w:lvlRestart w:val="0"/>
      <w:lvlText w:val="%4"/>
      <w:lvlJc w:val="left"/>
      <w:pPr>
        <w:tabs>
          <w:tab w:val="num" w:pos="2421"/>
        </w:tabs>
        <w:ind w:left="1985" w:hanging="284"/>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D5E4661"/>
    <w:multiLevelType w:val="multilevel"/>
    <w:tmpl w:val="17CE86A8"/>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sz w:val="20"/>
        <w:szCs w:val="20"/>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2105032366">
    <w:abstractNumId w:val="14"/>
  </w:num>
  <w:num w:numId="2" w16cid:durableId="706831150">
    <w:abstractNumId w:val="14"/>
  </w:num>
  <w:num w:numId="3" w16cid:durableId="1465733060">
    <w:abstractNumId w:val="14"/>
  </w:num>
  <w:num w:numId="4" w16cid:durableId="648754670">
    <w:abstractNumId w:val="14"/>
  </w:num>
  <w:num w:numId="5" w16cid:durableId="174855088">
    <w:abstractNumId w:val="14"/>
  </w:num>
  <w:num w:numId="6" w16cid:durableId="2005740165">
    <w:abstractNumId w:val="14"/>
  </w:num>
  <w:num w:numId="7" w16cid:durableId="1647978336">
    <w:abstractNumId w:val="14"/>
  </w:num>
  <w:num w:numId="8" w16cid:durableId="2079788332">
    <w:abstractNumId w:val="14"/>
  </w:num>
  <w:num w:numId="9" w16cid:durableId="1236630251">
    <w:abstractNumId w:val="14"/>
  </w:num>
  <w:num w:numId="10" w16cid:durableId="466362613">
    <w:abstractNumId w:val="11"/>
  </w:num>
  <w:num w:numId="11" w16cid:durableId="1733887246">
    <w:abstractNumId w:val="8"/>
  </w:num>
  <w:num w:numId="12" w16cid:durableId="478692536">
    <w:abstractNumId w:val="10"/>
  </w:num>
  <w:num w:numId="13" w16cid:durableId="1321084748">
    <w:abstractNumId w:val="19"/>
  </w:num>
  <w:num w:numId="14" w16cid:durableId="684749992">
    <w:abstractNumId w:val="22"/>
  </w:num>
  <w:num w:numId="15" w16cid:durableId="560675532">
    <w:abstractNumId w:val="9"/>
  </w:num>
  <w:num w:numId="16" w16cid:durableId="801188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650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842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0537672">
    <w:abstractNumId w:val="6"/>
  </w:num>
  <w:num w:numId="20" w16cid:durableId="1276909405">
    <w:abstractNumId w:val="5"/>
  </w:num>
  <w:num w:numId="21" w16cid:durableId="1318537391">
    <w:abstractNumId w:val="4"/>
  </w:num>
  <w:num w:numId="22" w16cid:durableId="1660888028">
    <w:abstractNumId w:val="1"/>
  </w:num>
  <w:num w:numId="23" w16cid:durableId="286400231">
    <w:abstractNumId w:val="14"/>
  </w:num>
  <w:num w:numId="24" w16cid:durableId="1536389179">
    <w:abstractNumId w:val="14"/>
  </w:num>
  <w:num w:numId="25" w16cid:durableId="1774938443">
    <w:abstractNumId w:val="11"/>
  </w:num>
  <w:num w:numId="26" w16cid:durableId="134373052">
    <w:abstractNumId w:val="14"/>
  </w:num>
  <w:num w:numId="27" w16cid:durableId="1676878482">
    <w:abstractNumId w:val="14"/>
  </w:num>
  <w:num w:numId="28" w16cid:durableId="714432234">
    <w:abstractNumId w:val="14"/>
  </w:num>
  <w:num w:numId="29" w16cid:durableId="705104353">
    <w:abstractNumId w:val="14"/>
  </w:num>
  <w:num w:numId="30" w16cid:durableId="1847015772">
    <w:abstractNumId w:val="14"/>
  </w:num>
  <w:num w:numId="31" w16cid:durableId="91902438">
    <w:abstractNumId w:val="14"/>
  </w:num>
  <w:num w:numId="32" w16cid:durableId="266742777">
    <w:abstractNumId w:val="14"/>
  </w:num>
  <w:num w:numId="33" w16cid:durableId="273907610">
    <w:abstractNumId w:val="14"/>
  </w:num>
  <w:num w:numId="34" w16cid:durableId="855264527">
    <w:abstractNumId w:val="14"/>
  </w:num>
  <w:num w:numId="35" w16cid:durableId="1093864127">
    <w:abstractNumId w:val="9"/>
  </w:num>
  <w:num w:numId="36" w16cid:durableId="1354921659">
    <w:abstractNumId w:val="22"/>
  </w:num>
  <w:num w:numId="37" w16cid:durableId="650523426">
    <w:abstractNumId w:val="15"/>
  </w:num>
  <w:num w:numId="38" w16cid:durableId="329792257">
    <w:abstractNumId w:val="7"/>
  </w:num>
  <w:num w:numId="39" w16cid:durableId="1580863822">
    <w:abstractNumId w:val="21"/>
  </w:num>
  <w:num w:numId="40" w16cid:durableId="160900408">
    <w:abstractNumId w:val="16"/>
  </w:num>
  <w:num w:numId="41" w16cid:durableId="1364592864">
    <w:abstractNumId w:val="12"/>
  </w:num>
  <w:num w:numId="42" w16cid:durableId="1210073431">
    <w:abstractNumId w:val="18"/>
  </w:num>
  <w:num w:numId="43" w16cid:durableId="1032727121">
    <w:abstractNumId w:val="0"/>
  </w:num>
  <w:num w:numId="44" w16cid:durableId="1979451168">
    <w:abstractNumId w:val="3"/>
  </w:num>
  <w:num w:numId="45" w16cid:durableId="409232298">
    <w:abstractNumId w:val="2"/>
  </w:num>
  <w:num w:numId="46" w16cid:durableId="348526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8580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476402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16177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7B"/>
    <w:rsid w:val="00033707"/>
    <w:rsid w:val="00037DEB"/>
    <w:rsid w:val="001A23F9"/>
    <w:rsid w:val="001B24B0"/>
    <w:rsid w:val="001F7066"/>
    <w:rsid w:val="00274473"/>
    <w:rsid w:val="00367148"/>
    <w:rsid w:val="00382628"/>
    <w:rsid w:val="003D0D72"/>
    <w:rsid w:val="003E4FB3"/>
    <w:rsid w:val="003F0EB8"/>
    <w:rsid w:val="003F7989"/>
    <w:rsid w:val="004F0C8E"/>
    <w:rsid w:val="004F56DD"/>
    <w:rsid w:val="00630159"/>
    <w:rsid w:val="006D17B9"/>
    <w:rsid w:val="007476AE"/>
    <w:rsid w:val="00801CAC"/>
    <w:rsid w:val="00811ED4"/>
    <w:rsid w:val="00850408"/>
    <w:rsid w:val="008F1D50"/>
    <w:rsid w:val="009112DC"/>
    <w:rsid w:val="00916E32"/>
    <w:rsid w:val="00935642"/>
    <w:rsid w:val="009A617B"/>
    <w:rsid w:val="009C54E4"/>
    <w:rsid w:val="009D33E1"/>
    <w:rsid w:val="00A15D64"/>
    <w:rsid w:val="00AD6F8B"/>
    <w:rsid w:val="00B458AB"/>
    <w:rsid w:val="00BF2E92"/>
    <w:rsid w:val="00C14FE0"/>
    <w:rsid w:val="00C37958"/>
    <w:rsid w:val="00EC2DC7"/>
    <w:rsid w:val="00F15FD4"/>
    <w:rsid w:val="00F34E98"/>
    <w:rsid w:val="00F56AB2"/>
    <w:rsid w:val="00FB4562"/>
    <w:rsid w:val="00FE65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BED9D"/>
  <w15:docId w15:val="{D55FD102-C7A1-4088-A8E2-D340ACC7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t-EE" w:eastAsia="et-EE"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semiHidden="1" w:uiPriority="33" w:unhideWhenUsed="1"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7066"/>
    <w:pPr>
      <w:jc w:val="both"/>
    </w:pPr>
    <w:rPr>
      <w:rFonts w:cs="Arial"/>
      <w:snapToGrid w:val="0"/>
      <w:szCs w:val="22"/>
      <w:lang w:eastAsia="en-US"/>
    </w:rPr>
  </w:style>
  <w:style w:type="paragraph" w:styleId="Pealkiri1">
    <w:name w:val="heading 1"/>
    <w:basedOn w:val="Normaallaad"/>
    <w:next w:val="Normaallaad"/>
    <w:uiPriority w:val="2"/>
    <w:qFormat/>
    <w:rsid w:val="00037DEB"/>
    <w:pPr>
      <w:numPr>
        <w:numId w:val="34"/>
      </w:numPr>
      <w:spacing w:before="360"/>
      <w:jc w:val="left"/>
      <w:outlineLvl w:val="0"/>
    </w:pPr>
    <w:rPr>
      <w:b/>
      <w:bCs/>
      <w:caps/>
      <w:szCs w:val="24"/>
    </w:rPr>
  </w:style>
  <w:style w:type="paragraph" w:styleId="Pealkiri2">
    <w:name w:val="heading 2"/>
    <w:basedOn w:val="Pealkiri1"/>
    <w:next w:val="Normaallaad"/>
    <w:uiPriority w:val="2"/>
    <w:qFormat/>
    <w:rsid w:val="00037DEB"/>
    <w:pPr>
      <w:numPr>
        <w:ilvl w:val="1"/>
      </w:numPr>
      <w:spacing w:before="240"/>
      <w:outlineLvl w:val="1"/>
    </w:pPr>
    <w:rPr>
      <w:caps w:val="0"/>
    </w:rPr>
  </w:style>
  <w:style w:type="paragraph" w:styleId="Pealkiri3">
    <w:name w:val="heading 3"/>
    <w:basedOn w:val="Pealkiri2"/>
    <w:next w:val="Normaallaad"/>
    <w:uiPriority w:val="2"/>
    <w:qFormat/>
    <w:rsid w:val="00037DEB"/>
    <w:pPr>
      <w:numPr>
        <w:ilvl w:val="2"/>
      </w:numPr>
      <w:tabs>
        <w:tab w:val="right" w:pos="1134"/>
      </w:tabs>
      <w:spacing w:before="100"/>
      <w:outlineLvl w:val="2"/>
    </w:pPr>
    <w:rPr>
      <w:i/>
      <w:iCs/>
      <w:szCs w:val="22"/>
    </w:rPr>
  </w:style>
  <w:style w:type="paragraph" w:styleId="Pealkiri4">
    <w:name w:val="heading 4"/>
    <w:basedOn w:val="Pealkiri3"/>
    <w:next w:val="Normaallaad"/>
    <w:rsid w:val="00037DEB"/>
    <w:pPr>
      <w:numPr>
        <w:ilvl w:val="3"/>
      </w:numPr>
      <w:tabs>
        <w:tab w:val="clear" w:pos="1134"/>
        <w:tab w:val="right" w:pos="1276"/>
      </w:tabs>
      <w:spacing w:before="120"/>
      <w:outlineLvl w:val="3"/>
    </w:pPr>
    <w:rPr>
      <w:b w:val="0"/>
      <w:bCs w:val="0"/>
    </w:rPr>
  </w:style>
  <w:style w:type="paragraph" w:styleId="Pealkiri5">
    <w:name w:val="heading 5"/>
    <w:basedOn w:val="Pealkiri4"/>
    <w:next w:val="Normaallaad"/>
    <w:rsid w:val="00037DEB"/>
    <w:pPr>
      <w:numPr>
        <w:ilvl w:val="4"/>
      </w:numPr>
      <w:tabs>
        <w:tab w:val="clear" w:pos="1276"/>
      </w:tabs>
      <w:outlineLvl w:val="4"/>
    </w:pPr>
  </w:style>
  <w:style w:type="paragraph" w:styleId="Pealkiri6">
    <w:name w:val="heading 6"/>
    <w:basedOn w:val="Pealkiri5"/>
    <w:next w:val="Normaallaad"/>
    <w:rsid w:val="00037DEB"/>
    <w:pPr>
      <w:numPr>
        <w:ilvl w:val="5"/>
      </w:numPr>
      <w:outlineLvl w:val="5"/>
    </w:pPr>
  </w:style>
  <w:style w:type="paragraph" w:styleId="Pealkiri7">
    <w:name w:val="heading 7"/>
    <w:basedOn w:val="Normaallaad"/>
    <w:next w:val="Normaallaad"/>
    <w:rsid w:val="00037DEB"/>
    <w:pPr>
      <w:numPr>
        <w:ilvl w:val="6"/>
        <w:numId w:val="34"/>
      </w:numPr>
      <w:outlineLvl w:val="6"/>
    </w:pPr>
    <w:rPr>
      <w:i/>
      <w:iCs/>
    </w:rPr>
  </w:style>
  <w:style w:type="paragraph" w:styleId="Pealkiri8">
    <w:name w:val="heading 8"/>
    <w:basedOn w:val="Normaallaad"/>
    <w:next w:val="Normaallaad"/>
    <w:rsid w:val="00037DEB"/>
    <w:pPr>
      <w:numPr>
        <w:ilvl w:val="7"/>
        <w:numId w:val="34"/>
      </w:numPr>
      <w:outlineLvl w:val="7"/>
    </w:pPr>
    <w:rPr>
      <w:i/>
      <w:iCs/>
    </w:rPr>
  </w:style>
  <w:style w:type="paragraph" w:styleId="Pealkiri9">
    <w:name w:val="heading 9"/>
    <w:basedOn w:val="Normaallaad"/>
    <w:next w:val="Normaallaad"/>
    <w:rsid w:val="00037DEB"/>
    <w:pPr>
      <w:numPr>
        <w:ilvl w:val="8"/>
        <w:numId w:val="34"/>
      </w:numPr>
      <w:outlineLvl w:val="8"/>
    </w:pPr>
    <w:rPr>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semiHidden/>
    <w:rsid w:val="00037DEB"/>
    <w:pPr>
      <w:tabs>
        <w:tab w:val="center" w:pos="4153"/>
        <w:tab w:val="right" w:pos="8306"/>
      </w:tabs>
      <w:spacing w:after="0" w:line="240" w:lineRule="auto"/>
    </w:pPr>
    <w:rPr>
      <w:color w:val="3C3E6F"/>
      <w:sz w:val="18"/>
    </w:rPr>
  </w:style>
  <w:style w:type="paragraph" w:styleId="Pis">
    <w:name w:val="header"/>
    <w:basedOn w:val="Normaallaad"/>
    <w:semiHidden/>
    <w:rsid w:val="00037DEB"/>
    <w:pPr>
      <w:tabs>
        <w:tab w:val="center" w:pos="4153"/>
        <w:tab w:val="right" w:pos="8306"/>
      </w:tabs>
    </w:pPr>
  </w:style>
  <w:style w:type="paragraph" w:customStyle="1" w:styleId="Loetelu">
    <w:name w:val="Loetelu"/>
    <w:basedOn w:val="Normaallaad"/>
    <w:uiPriority w:val="1"/>
    <w:qFormat/>
    <w:rsid w:val="00037DEB"/>
    <w:pPr>
      <w:numPr>
        <w:numId w:val="25"/>
      </w:numPr>
    </w:pPr>
  </w:style>
  <w:style w:type="paragraph" w:customStyle="1" w:styleId="Mrkusenumber">
    <w:name w:val="Märkuse number"/>
    <w:basedOn w:val="Normaallaad"/>
    <w:rsid w:val="00037DEB"/>
    <w:rPr>
      <w:vertAlign w:val="superscript"/>
    </w:rPr>
  </w:style>
  <w:style w:type="paragraph" w:customStyle="1" w:styleId="Mrkusetekst">
    <w:name w:val="Märkuse tekst"/>
    <w:basedOn w:val="Normaallaad"/>
    <w:rsid w:val="00037DEB"/>
    <w:pPr>
      <w:ind w:left="227" w:hanging="227"/>
    </w:pPr>
    <w:rPr>
      <w:sz w:val="18"/>
    </w:rPr>
  </w:style>
  <w:style w:type="paragraph" w:customStyle="1" w:styleId="Sisukorrapealkiri1">
    <w:name w:val="Sisukorra pealkiri1"/>
    <w:basedOn w:val="Normaallaad"/>
    <w:unhideWhenUsed/>
    <w:rPr>
      <w:b/>
      <w:caps/>
      <w:sz w:val="24"/>
    </w:rPr>
  </w:style>
  <w:style w:type="paragraph" w:customStyle="1" w:styleId="Tabelisisu10">
    <w:name w:val="Tabeli sisu 10"/>
    <w:basedOn w:val="Normaallaad"/>
    <w:rsid w:val="00037DEB"/>
    <w:pPr>
      <w:spacing w:before="30" w:after="30" w:line="240" w:lineRule="auto"/>
      <w:jc w:val="left"/>
    </w:pPr>
  </w:style>
  <w:style w:type="paragraph" w:styleId="Illustratsiooniloend">
    <w:name w:val="table of figures"/>
    <w:aliases w:val="Lisad sisukorras"/>
    <w:basedOn w:val="Normaallaad"/>
    <w:next w:val="Normaallaad"/>
    <w:semiHidden/>
    <w:rsid w:val="00037DEB"/>
    <w:pPr>
      <w:spacing w:before="120"/>
      <w:ind w:left="867" w:hanging="442"/>
    </w:pPr>
    <w:rPr>
      <w:i/>
    </w:rPr>
  </w:style>
  <w:style w:type="paragraph" w:styleId="SK1">
    <w:name w:val="toc 1"/>
    <w:basedOn w:val="Normaallaad"/>
    <w:next w:val="Normaallaad"/>
    <w:autoRedefine/>
    <w:semiHidden/>
    <w:rsid w:val="00037DEB"/>
    <w:pPr>
      <w:tabs>
        <w:tab w:val="left" w:pos="426"/>
        <w:tab w:val="right" w:leader="dot" w:pos="9356"/>
      </w:tabs>
      <w:spacing w:before="120"/>
    </w:pPr>
    <w:rPr>
      <w:noProof/>
    </w:rPr>
  </w:style>
  <w:style w:type="paragraph" w:styleId="SK2">
    <w:name w:val="toc 2"/>
    <w:basedOn w:val="Normaallaad"/>
    <w:next w:val="Normaallaad"/>
    <w:autoRedefine/>
    <w:semiHidden/>
    <w:rsid w:val="00037DEB"/>
    <w:pPr>
      <w:tabs>
        <w:tab w:val="left" w:pos="993"/>
        <w:tab w:val="right" w:leader="dot" w:pos="9356"/>
      </w:tabs>
      <w:spacing w:before="120"/>
      <w:ind w:left="993" w:hanging="567"/>
    </w:pPr>
    <w:rPr>
      <w:i/>
    </w:rPr>
  </w:style>
  <w:style w:type="paragraph" w:styleId="SK3">
    <w:name w:val="toc 3"/>
    <w:basedOn w:val="Normaallaad"/>
    <w:next w:val="Normaallaad"/>
    <w:autoRedefine/>
    <w:semiHidden/>
    <w:rsid w:val="00037DEB"/>
    <w:pPr>
      <w:tabs>
        <w:tab w:val="left" w:pos="1701"/>
        <w:tab w:val="right" w:leader="dot" w:pos="9356"/>
      </w:tabs>
      <w:spacing w:before="120"/>
      <w:ind w:left="1134" w:hanging="142"/>
    </w:pPr>
  </w:style>
  <w:style w:type="paragraph" w:styleId="SK4">
    <w:name w:val="toc 4"/>
    <w:basedOn w:val="Normaallaad"/>
    <w:next w:val="Normaallaad"/>
    <w:autoRedefine/>
    <w:semiHidden/>
    <w:rsid w:val="00037DEB"/>
    <w:pPr>
      <w:tabs>
        <w:tab w:val="left" w:pos="2608"/>
        <w:tab w:val="right" w:leader="dot" w:pos="9356"/>
      </w:tabs>
      <w:spacing w:before="120"/>
      <w:ind w:left="1701"/>
    </w:pPr>
    <w:rPr>
      <w:i/>
    </w:rPr>
  </w:style>
  <w:style w:type="paragraph" w:customStyle="1" w:styleId="Dokumendipealkiri">
    <w:name w:val="Dokumendi pealkiri"/>
    <w:basedOn w:val="Normaallaad"/>
    <w:rsid w:val="00037DEB"/>
    <w:pPr>
      <w:spacing w:after="0"/>
      <w:jc w:val="left"/>
    </w:pPr>
    <w:rPr>
      <w:b/>
      <w:caps/>
      <w:sz w:val="24"/>
    </w:rPr>
  </w:style>
  <w:style w:type="paragraph" w:customStyle="1" w:styleId="Projektiviteemanimetus">
    <w:name w:val="Projekti või teema nimetus"/>
    <w:basedOn w:val="Normaallaad"/>
    <w:rsid w:val="00037DEB"/>
    <w:pPr>
      <w:spacing w:after="0"/>
      <w:jc w:val="left"/>
    </w:pPr>
    <w:rPr>
      <w:b/>
      <w:sz w:val="24"/>
    </w:rPr>
  </w:style>
  <w:style w:type="paragraph" w:customStyle="1" w:styleId="Tasemetegasisu">
    <w:name w:val="Tasemetega sisu"/>
    <w:basedOn w:val="Normaallaad"/>
    <w:uiPriority w:val="1"/>
    <w:qFormat/>
    <w:rsid w:val="00037DEB"/>
    <w:pPr>
      <w:numPr>
        <w:numId w:val="36"/>
      </w:numPr>
    </w:pPr>
  </w:style>
  <w:style w:type="paragraph" w:customStyle="1" w:styleId="Kommentaar">
    <w:name w:val="Kommentaar"/>
    <w:basedOn w:val="Normaallaad"/>
    <w:uiPriority w:val="1"/>
    <w:qFormat/>
    <w:rsid w:val="00037DEB"/>
    <w:pPr>
      <w:shd w:val="pct10" w:color="auto" w:fill="auto"/>
      <w:spacing w:before="30"/>
      <w:ind w:left="1134"/>
    </w:pPr>
    <w:rPr>
      <w:i/>
      <w:iCs/>
      <w:sz w:val="18"/>
    </w:rPr>
  </w:style>
  <w:style w:type="paragraph" w:customStyle="1" w:styleId="Ilmanumbritevahepealkiri">
    <w:name w:val="Ilmanumbritevahepealkiri"/>
    <w:basedOn w:val="Normaallaad"/>
    <w:uiPriority w:val="1"/>
    <w:qFormat/>
    <w:rsid w:val="00037DEB"/>
    <w:pPr>
      <w:spacing w:before="240"/>
      <w:jc w:val="left"/>
    </w:pPr>
    <w:rPr>
      <w:b/>
      <w:i/>
    </w:rPr>
  </w:style>
  <w:style w:type="paragraph" w:customStyle="1" w:styleId="Punktidegasisu">
    <w:name w:val="Punktidegasisu"/>
    <w:basedOn w:val="Normaallaad"/>
    <w:uiPriority w:val="1"/>
    <w:qFormat/>
    <w:rsid w:val="00037DEB"/>
    <w:pPr>
      <w:numPr>
        <w:numId w:val="35"/>
      </w:numPr>
    </w:pPr>
  </w:style>
  <w:style w:type="character" w:styleId="Klastatudhperlink">
    <w:name w:val="FollowedHyperlink"/>
    <w:basedOn w:val="Liguvaikefont"/>
    <w:semiHidden/>
    <w:rsid w:val="00037DEB"/>
    <w:rPr>
      <w:rFonts w:ascii="Arial" w:hAnsi="Arial"/>
      <w:color w:val="3C3E6F"/>
      <w:u w:val="single"/>
    </w:rPr>
  </w:style>
  <w:style w:type="character" w:styleId="Hperlink">
    <w:name w:val="Hyperlink"/>
    <w:basedOn w:val="Liguvaikefont"/>
    <w:semiHidden/>
    <w:rsid w:val="00037DEB"/>
    <w:rPr>
      <w:rFonts w:ascii="Arial" w:hAnsi="Arial"/>
      <w:color w:val="3C3E6F"/>
      <w:u w:val="single"/>
    </w:rPr>
  </w:style>
  <w:style w:type="paragraph" w:customStyle="1" w:styleId="Teksthelreal">
    <w:name w:val="Tekst ühel real"/>
    <w:basedOn w:val="Normaallaad"/>
    <w:qFormat/>
    <w:rsid w:val="00037DEB"/>
    <w:pPr>
      <w:spacing w:after="0" w:line="240" w:lineRule="auto"/>
      <w:jc w:val="left"/>
    </w:pPr>
  </w:style>
  <w:style w:type="table" w:styleId="Kontuurtabel">
    <w:name w:val="Table Grid"/>
    <w:aliases w:val="Tabel_varv"/>
    <w:basedOn w:val="Normaaltabel"/>
    <w:uiPriority w:val="59"/>
    <w:rsid w:val="00367148"/>
    <w:pPr>
      <w:spacing w:before="30" w:after="30" w:line="240" w:lineRule="auto"/>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styleId="Helevarjustus">
    <w:name w:val="Light Shading"/>
    <w:basedOn w:val="Normaaltabel"/>
    <w:uiPriority w:val="60"/>
    <w:rsid w:val="00811ED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811ED4"/>
    <w:rPr>
      <w:color w:val="2D2E53" w:themeColor="accent1" w:themeShade="BF"/>
    </w:rPr>
    <w:tblPr>
      <w:tblStyleRowBandSize w:val="1"/>
      <w:tblStyleColBandSize w:val="1"/>
      <w:tblBorders>
        <w:top w:val="single" w:sz="8" w:space="0" w:color="3C3E6F" w:themeColor="accent1"/>
        <w:bottom w:val="single" w:sz="8" w:space="0" w:color="3C3E6F" w:themeColor="accent1"/>
      </w:tblBorders>
    </w:tblPr>
    <w:tblStylePr w:type="fir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la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9E1" w:themeFill="accent1" w:themeFillTint="3F"/>
      </w:tcPr>
    </w:tblStylePr>
    <w:tblStylePr w:type="band1Horz">
      <w:tblPr/>
      <w:tcPr>
        <w:tcBorders>
          <w:left w:val="nil"/>
          <w:right w:val="nil"/>
          <w:insideH w:val="nil"/>
          <w:insideV w:val="nil"/>
        </w:tcBorders>
        <w:shd w:val="clear" w:color="auto" w:fill="C8C9E1" w:themeFill="accent1" w:themeFillTint="3F"/>
      </w:tcPr>
    </w:tblStylePr>
  </w:style>
  <w:style w:type="table" w:customStyle="1" w:styleId="Tabeltaveline8">
    <w:name w:val="Tabel_taveline_8"/>
    <w:basedOn w:val="Normaaltabel"/>
    <w:uiPriority w:val="99"/>
    <w:rsid w:val="00916E32"/>
    <w:pPr>
      <w:spacing w:before="30" w:after="30" w:line="240" w:lineRule="auto"/>
    </w:pPr>
    <w:rPr>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table" w:customStyle="1" w:styleId="Tabeltavaline10">
    <w:name w:val="Tabel_tavaline10"/>
    <w:basedOn w:val="Normaaltabel"/>
    <w:uiPriority w:val="99"/>
    <w:rsid w:val="00916E32"/>
    <w:pPr>
      <w:spacing w:before="30" w:after="3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paragraph" w:styleId="Sisukorrapealkiri">
    <w:name w:val="TOC Heading"/>
    <w:basedOn w:val="Normaallaad"/>
    <w:rsid w:val="00037DEB"/>
    <w:rPr>
      <w:b/>
      <w:caps/>
      <w:sz w:val="24"/>
    </w:rPr>
  </w:style>
  <w:style w:type="paragraph" w:styleId="Alapealkiri">
    <w:name w:val="Subtitle"/>
    <w:basedOn w:val="Normaallaad"/>
    <w:next w:val="Normaallaad"/>
    <w:link w:val="AlapealkiriMrk"/>
    <w:uiPriority w:val="11"/>
    <w:semiHidden/>
    <w:unhideWhenUsed/>
    <w:qFormat/>
    <w:rsid w:val="00037DEB"/>
    <w:pPr>
      <w:numPr>
        <w:ilvl w:val="1"/>
      </w:numPr>
    </w:pPr>
    <w:rPr>
      <w:rFonts w:asciiTheme="majorHAnsi" w:eastAsiaTheme="majorEastAsia" w:hAnsiTheme="majorHAnsi" w:cstheme="majorBidi"/>
      <w:i/>
      <w:iCs/>
      <w:spacing w:val="15"/>
      <w:sz w:val="24"/>
      <w:szCs w:val="24"/>
    </w:rPr>
  </w:style>
  <w:style w:type="character" w:customStyle="1" w:styleId="AlapealkiriMrk">
    <w:name w:val="Alapealkiri Märk"/>
    <w:basedOn w:val="Liguvaikefont"/>
    <w:link w:val="Alapealkiri"/>
    <w:uiPriority w:val="11"/>
    <w:semiHidden/>
    <w:rsid w:val="00037DEB"/>
    <w:rPr>
      <w:rFonts w:asciiTheme="majorHAnsi" w:eastAsiaTheme="majorEastAsia" w:hAnsiTheme="majorHAnsi" w:cstheme="majorBidi"/>
      <w:i/>
      <w:iCs/>
      <w:snapToGrid w:val="0"/>
      <w:spacing w:val="15"/>
      <w:sz w:val="24"/>
      <w:szCs w:val="24"/>
      <w:lang w:eastAsia="en-US"/>
    </w:rPr>
  </w:style>
  <w:style w:type="paragraph" w:styleId="Dokumendiplaan">
    <w:name w:val="Document Map"/>
    <w:basedOn w:val="Normaallaad"/>
    <w:link w:val="DokumendiplaanMrk"/>
    <w:uiPriority w:val="99"/>
    <w:semiHidden/>
    <w:unhideWhenUsed/>
    <w:rsid w:val="00037DEB"/>
    <w:pPr>
      <w:spacing w:after="0" w:line="240" w:lineRule="auto"/>
    </w:pPr>
    <w:rPr>
      <w:rFonts w:cs="Tahoma"/>
      <w:sz w:val="16"/>
      <w:szCs w:val="16"/>
    </w:rPr>
  </w:style>
  <w:style w:type="character" w:customStyle="1" w:styleId="DokumendiplaanMrk">
    <w:name w:val="Dokumendiplaan Märk"/>
    <w:basedOn w:val="Liguvaikefont"/>
    <w:link w:val="Dokumendiplaan"/>
    <w:uiPriority w:val="99"/>
    <w:semiHidden/>
    <w:rsid w:val="00037DEB"/>
    <w:rPr>
      <w:rFonts w:cs="Tahoma"/>
      <w:snapToGrid w:val="0"/>
      <w:sz w:val="16"/>
      <w:szCs w:val="16"/>
      <w:lang w:eastAsia="en-US"/>
    </w:rPr>
  </w:style>
  <w:style w:type="paragraph" w:styleId="Jutumullitekst">
    <w:name w:val="Balloon Text"/>
    <w:basedOn w:val="Normaallaad"/>
    <w:link w:val="JutumullitekstMrk"/>
    <w:uiPriority w:val="99"/>
    <w:semiHidden/>
    <w:unhideWhenUsed/>
    <w:rsid w:val="00037DEB"/>
    <w:pPr>
      <w:spacing w:after="0" w:line="240" w:lineRule="auto"/>
    </w:pPr>
    <w:rPr>
      <w:rFonts w:cs="Tahoma"/>
      <w:sz w:val="16"/>
      <w:szCs w:val="16"/>
    </w:rPr>
  </w:style>
  <w:style w:type="character" w:customStyle="1" w:styleId="JutumullitekstMrk">
    <w:name w:val="Jutumullitekst Märk"/>
    <w:basedOn w:val="Liguvaikefont"/>
    <w:link w:val="Jutumullitekst"/>
    <w:uiPriority w:val="99"/>
    <w:semiHidden/>
    <w:rsid w:val="00037DEB"/>
    <w:rPr>
      <w:rFonts w:cs="Tahoma"/>
      <w:snapToGrid w:val="0"/>
      <w:sz w:val="16"/>
      <w:szCs w:val="16"/>
      <w:lang w:eastAsia="en-US"/>
    </w:rPr>
  </w:style>
  <w:style w:type="paragraph" w:styleId="Normaallaadveeb">
    <w:name w:val="Normal (Web)"/>
    <w:basedOn w:val="Normaallaad"/>
    <w:uiPriority w:val="99"/>
    <w:semiHidden/>
    <w:unhideWhenUsed/>
    <w:rsid w:val="00037DEB"/>
    <w:rPr>
      <w:rFonts w:cs="Times New Roman"/>
      <w:szCs w:val="24"/>
    </w:rPr>
  </w:style>
  <w:style w:type="paragraph" w:styleId="Pealdis">
    <w:name w:val="caption"/>
    <w:basedOn w:val="Normaallaad"/>
    <w:next w:val="Normaallaad"/>
    <w:uiPriority w:val="35"/>
    <w:semiHidden/>
    <w:unhideWhenUsed/>
    <w:qFormat/>
    <w:rsid w:val="00037DEB"/>
    <w:pPr>
      <w:spacing w:after="200" w:line="240" w:lineRule="auto"/>
    </w:pPr>
    <w:rPr>
      <w:b/>
      <w:bCs/>
      <w:sz w:val="18"/>
      <w:szCs w:val="18"/>
    </w:rPr>
  </w:style>
  <w:style w:type="paragraph" w:customStyle="1" w:styleId="Kuupevjaviide">
    <w:name w:val="Kuupäev ja viide"/>
    <w:basedOn w:val="Normaallaad"/>
    <w:rsid w:val="001F7066"/>
    <w:pPr>
      <w:spacing w:after="0" w:line="240" w:lineRule="auto"/>
      <w:jc w:val="right"/>
    </w:pPr>
    <w:rPr>
      <w:noProof/>
    </w:rPr>
  </w:style>
  <w:style w:type="paragraph" w:customStyle="1" w:styleId="Pealkiriprdumine">
    <w:name w:val="Pealkiri_pöördumine"/>
    <w:basedOn w:val="Normaallaad"/>
    <w:rsid w:val="001F7066"/>
    <w:pPr>
      <w:spacing w:after="0" w:line="240" w:lineRule="auto"/>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mal.ee" TargetMode="External"/><Relationship Id="rId13" Type="http://schemas.openxmlformats.org/officeDocument/2006/relationships/image" Target="media/image1.png"/><Relationship Id="rId18" Type="http://schemas.openxmlformats.org/officeDocument/2006/relationships/hyperlink" Target="http://www.crawco.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edmal.ee" TargetMode="External"/><Relationship Id="rId7" Type="http://schemas.openxmlformats.org/officeDocument/2006/relationships/endnotes" Target="endnotes.xml"/><Relationship Id="rId12" Type="http://schemas.openxmlformats.org/officeDocument/2006/relationships/hyperlink" Target="http://www.medmal.ee" TargetMode="External"/><Relationship Id="rId17" Type="http://schemas.openxmlformats.org/officeDocument/2006/relationships/hyperlink" Target="http://www.medmal.e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medmal.e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mal.e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edmal.ee" TargetMode="External"/><Relationship Id="rId23" Type="http://schemas.openxmlformats.org/officeDocument/2006/relationships/hyperlink" Target="http://www.medmal.ee" TargetMode="External"/><Relationship Id="rId28" Type="http://schemas.openxmlformats.org/officeDocument/2006/relationships/theme" Target="theme/theme1.xml"/><Relationship Id="rId10" Type="http://schemas.openxmlformats.org/officeDocument/2006/relationships/hyperlink" Target="http://www.medmal.e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medmal.ee" TargetMode="External"/><Relationship Id="rId14" Type="http://schemas.openxmlformats.org/officeDocument/2006/relationships/image" Target="media/image2.png"/><Relationship Id="rId22" Type="http://schemas.openxmlformats.org/officeDocument/2006/relationships/hyperlink" Target="http://www.medmal.e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lkf.sise\dfs\kataloogid\Tugiteenused\Muu\Blanketid_vormid_stiil\Blanketid&amp;muud_pohivormid\Templates\Kirjablankett_EKsL(10).dotx" TargetMode="External"/></Relationships>
</file>

<file path=word/theme/theme1.xml><?xml version="1.0" encoding="utf-8"?>
<a:theme xmlns:a="http://schemas.openxmlformats.org/drawingml/2006/main" name="LKF_EKsL">
  <a:themeElements>
    <a:clrScheme name="EKsL_LKF">
      <a:dk1>
        <a:sysClr val="windowText" lastClr="000000"/>
      </a:dk1>
      <a:lt1>
        <a:srgbClr val="FFFFFF"/>
      </a:lt1>
      <a:dk2>
        <a:srgbClr val="3C3E6F"/>
      </a:dk2>
      <a:lt2>
        <a:srgbClr val="DBDB4C"/>
      </a:lt2>
      <a:accent1>
        <a:srgbClr val="3C3E6F"/>
      </a:accent1>
      <a:accent2>
        <a:srgbClr val="B8BF22"/>
      </a:accent2>
      <a:accent3>
        <a:srgbClr val="DBDB4C"/>
      </a:accent3>
      <a:accent4>
        <a:srgbClr val="7F7FA5"/>
      </a:accent4>
      <a:accent5>
        <a:srgbClr val="1459C0"/>
      </a:accent5>
      <a:accent6>
        <a:srgbClr val="85C3E6"/>
      </a:accent6>
      <a:hlink>
        <a:srgbClr val="3C3E6F"/>
      </a:hlink>
      <a:folHlink>
        <a:srgbClr val="7F7FA5"/>
      </a:folHlink>
    </a:clrScheme>
    <a:fontScheme name="Klassikaline Office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BFF4A-243A-46BE-BAAB-F4338AE0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Kirjablankett_EKsL(10).dotx</Template>
  <TotalTime>5</TotalTime>
  <Pages>4</Pages>
  <Words>787</Words>
  <Characters>6650</Characters>
  <Application>Microsoft Office Word</Application>
  <DocSecurity>0</DocSecurity>
  <Lines>55</Lines>
  <Paragraphs>14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Dokument</vt:lpstr>
      <vt:lpstr>Dokument</vt:lpstr>
    </vt:vector>
  </TitlesOfParts>
  <Company>Eesti Liikluskindlustuse Fond</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Andres Piirsalu</dc:creator>
  <cp:lastModifiedBy>Andres Piirsalu</cp:lastModifiedBy>
  <cp:revision>3</cp:revision>
  <cp:lastPrinted>2012-10-05T04:25:00Z</cp:lastPrinted>
  <dcterms:created xsi:type="dcterms:W3CDTF">2025-10-23T06:16:00Z</dcterms:created>
  <dcterms:modified xsi:type="dcterms:W3CDTF">2025-10-23T06:24:00Z</dcterms:modified>
</cp:coreProperties>
</file>