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BC757" w14:textId="77777777" w:rsidR="005676D2" w:rsidRPr="0036721B" w:rsidRDefault="005676D2" w:rsidP="00B44F90">
      <w:pPr>
        <w:jc w:val="right"/>
      </w:pPr>
      <w:r w:rsidRPr="0036721B">
        <w:t>KINNITATUD</w:t>
      </w:r>
    </w:p>
    <w:p w14:paraId="7A2B4538" w14:textId="77777777" w:rsidR="005676D2" w:rsidRPr="0036721B" w:rsidRDefault="005676D2" w:rsidP="00B44F90">
      <w:pPr>
        <w:tabs>
          <w:tab w:val="left" w:pos="6237"/>
        </w:tabs>
        <w:jc w:val="right"/>
      </w:pPr>
      <w:r w:rsidRPr="0036721B">
        <w:t xml:space="preserve">RMK riigihangete osakonna </w:t>
      </w:r>
    </w:p>
    <w:p w14:paraId="690B75C5" w14:textId="69277001" w:rsidR="005676D2" w:rsidRPr="007F66BE" w:rsidRDefault="005676D2" w:rsidP="007F66BE">
      <w:pPr>
        <w:tabs>
          <w:tab w:val="left" w:pos="6237"/>
        </w:tabs>
        <w:jc w:val="right"/>
      </w:pPr>
      <w:r w:rsidRPr="0036721B">
        <w:t xml:space="preserve">juhataja </w:t>
      </w:r>
      <w:r w:rsidR="001B23DC" w:rsidRPr="0036721B">
        <w:t>käskkirjaga</w:t>
      </w:r>
      <w:r w:rsidR="007F66BE">
        <w:br/>
      </w:r>
      <w:r w:rsidR="001B23DC" w:rsidRPr="0036721B">
        <w:t xml:space="preserve"> nr 1-47</w:t>
      </w:r>
      <w:r w:rsidR="0001380F" w:rsidRPr="0036721B">
        <w:t>.</w:t>
      </w:r>
      <w:r w:rsidR="001350F2">
        <w:t>2739</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30FB8053" w14:textId="43B95FF4" w:rsidR="008907BD" w:rsidRPr="00D057B3" w:rsidRDefault="00A91140" w:rsidP="00377B5D">
      <w:pPr>
        <w:pStyle w:val="Loendilik"/>
        <w:numPr>
          <w:ilvl w:val="1"/>
          <w:numId w:val="11"/>
        </w:numPr>
        <w:tabs>
          <w:tab w:val="center" w:pos="426"/>
          <w:tab w:val="right" w:pos="8306"/>
        </w:tabs>
        <w:contextualSpacing w:val="0"/>
        <w:jc w:val="both"/>
        <w:rPr>
          <w:lang w:eastAsia="et-EE"/>
        </w:rPr>
      </w:pPr>
      <w:r w:rsidRPr="00D057B3">
        <w:t xml:space="preserve">Hanke nimetus: </w:t>
      </w:r>
      <w:r w:rsidR="00377B5D" w:rsidRPr="000B7EFC">
        <w:rPr>
          <w:b/>
        </w:rPr>
        <w:t>RMK külastusalade väikevormid</w:t>
      </w:r>
    </w:p>
    <w:p w14:paraId="3B76C2B9" w14:textId="2A566888" w:rsidR="00A91140" w:rsidRPr="00D057B3" w:rsidRDefault="00D37E6D" w:rsidP="001350F2">
      <w:pPr>
        <w:pStyle w:val="Loendilik"/>
        <w:numPr>
          <w:ilvl w:val="1"/>
          <w:numId w:val="11"/>
        </w:numPr>
        <w:tabs>
          <w:tab w:val="left" w:pos="426"/>
          <w:tab w:val="left" w:pos="709"/>
          <w:tab w:val="right" w:pos="8306"/>
        </w:tabs>
        <w:contextualSpacing w:val="0"/>
        <w:jc w:val="both"/>
      </w:pPr>
      <w:r w:rsidRPr="00D057B3">
        <w:t>Riigihanke v</w:t>
      </w:r>
      <w:r w:rsidR="00A91140" w:rsidRPr="00D057B3">
        <w:t>iitenumber:</w:t>
      </w:r>
      <w:r w:rsidR="00CE52E3" w:rsidRPr="00D057B3">
        <w:t xml:space="preserve"> </w:t>
      </w:r>
      <w:r w:rsidR="001350F2" w:rsidRPr="001350F2">
        <w:t>260181</w:t>
      </w:r>
    </w:p>
    <w:p w14:paraId="5619137D" w14:textId="7D8CC578" w:rsidR="004A14DA" w:rsidRPr="00D057B3" w:rsidRDefault="004A14DA" w:rsidP="001350F2">
      <w:pPr>
        <w:pStyle w:val="Loendilik"/>
        <w:numPr>
          <w:ilvl w:val="1"/>
          <w:numId w:val="11"/>
        </w:numPr>
        <w:tabs>
          <w:tab w:val="left" w:pos="426"/>
        </w:tabs>
        <w:contextualSpacing w:val="0"/>
        <w:jc w:val="both"/>
      </w:pPr>
      <w:r w:rsidRPr="00D057B3">
        <w:t xml:space="preserve">Klassifikatsioon: </w:t>
      </w:r>
      <w:r w:rsidR="00377B5D" w:rsidRPr="00377B5D">
        <w:t>44230000-1 Ehituspuusepatooted; 44400000-4 Mitmesugused valmistooted ja seonduvad esemed</w:t>
      </w:r>
      <w:r w:rsidR="001350F2">
        <w:t xml:space="preserve">; </w:t>
      </w:r>
      <w:r w:rsidR="001350F2" w:rsidRPr="001350F2">
        <w:t>45422000-1 Puusepatoodete paigaldustööd</w:t>
      </w:r>
      <w:bookmarkStart w:id="0" w:name="_GoBack"/>
      <w:bookmarkEnd w:id="0"/>
    </w:p>
    <w:p w14:paraId="1B0D8BE9" w14:textId="77777777" w:rsidR="00FF2C13" w:rsidRPr="00D057B3" w:rsidRDefault="00FF2C13" w:rsidP="005E5B90">
      <w:pPr>
        <w:pStyle w:val="Loendilik"/>
        <w:numPr>
          <w:ilvl w:val="1"/>
          <w:numId w:val="11"/>
        </w:numPr>
        <w:tabs>
          <w:tab w:val="left" w:pos="426"/>
        </w:tabs>
        <w:spacing w:after="120"/>
        <w:contextualSpacing w:val="0"/>
        <w:jc w:val="both"/>
      </w:pPr>
      <w:r w:rsidRPr="00D057B3">
        <w:t xml:space="preserve">Hankemenetluse liik: </w:t>
      </w:r>
      <w:r w:rsidR="00C05D40" w:rsidRPr="00D057B3">
        <w:t>avatud hankemenetlus</w:t>
      </w:r>
    </w:p>
    <w:p w14:paraId="71BD39E4" w14:textId="77777777"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34AA12CF" w14:textId="77777777" w:rsidR="00A4471B" w:rsidRDefault="00A4471B" w:rsidP="005E5B90">
      <w:pPr>
        <w:spacing w:after="120"/>
        <w:jc w:val="both"/>
      </w:pPr>
      <w:r w:rsidRPr="0036721B">
        <w:t>RMK riigihangete osakond</w:t>
      </w:r>
    </w:p>
    <w:p w14:paraId="7BA06F7B" w14:textId="77777777" w:rsidR="00047018" w:rsidRPr="0036721B" w:rsidRDefault="00047018" w:rsidP="00B44F90">
      <w:pPr>
        <w:jc w:val="both"/>
      </w:pPr>
    </w:p>
    <w:p w14:paraId="722A3681" w14:textId="13E19556" w:rsidR="00047018" w:rsidRPr="00047018" w:rsidRDefault="00A4471B" w:rsidP="005E5B90">
      <w:pPr>
        <w:pStyle w:val="Pealkiri2"/>
        <w:numPr>
          <w:ilvl w:val="0"/>
          <w:numId w:val="11"/>
        </w:numPr>
        <w:spacing w:before="0" w:after="120"/>
        <w:jc w:val="both"/>
      </w:pPr>
      <w:r w:rsidRPr="0036721B">
        <w:t>Info hanke kohta</w:t>
      </w:r>
    </w:p>
    <w:p w14:paraId="5879F862" w14:textId="77777777" w:rsidR="00C4010A" w:rsidRPr="00F42E7D" w:rsidRDefault="00C4010A" w:rsidP="005E5B90">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C4010A">
      <w:pPr>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r w:rsidR="00D41DED">
        <w:t>eRHR</w:t>
      </w:r>
      <w:r w:rsidRPr="00F42E7D">
        <w:t>-i peavad pakkujad avaldama oma kontaktandmed, registreerudes hanke juurde „Hankes osalejad“ lehel.</w:t>
      </w:r>
    </w:p>
    <w:p w14:paraId="402E551C" w14:textId="67E3A5FB" w:rsidR="00C4010A" w:rsidRPr="00F42E7D" w:rsidRDefault="00C4010A" w:rsidP="00D41DED">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D41DED">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D41DED">
      <w:pPr>
        <w:autoSpaceDE w:val="0"/>
        <w:autoSpaceDN w:val="0"/>
        <w:adjustRightInd w:val="0"/>
        <w:spacing w:after="120"/>
        <w:jc w:val="both"/>
      </w:pPr>
      <w:r w:rsidRPr="00F42E7D">
        <w:t xml:space="preserve">Pakkumus tuleb esitada elektrooniliselt </w:t>
      </w:r>
      <w:r w:rsidR="00D41DED">
        <w:t>eRHR</w:t>
      </w:r>
      <w:r w:rsidRPr="00F42E7D">
        <w:t xml:space="preserve">-i keskkonna kaudu aadressil </w:t>
      </w:r>
      <w:hyperlink r:id="rId8" w:history="1">
        <w:r w:rsidRPr="00F42E7D">
          <w:rPr>
            <w:rStyle w:val="Hperlink"/>
          </w:rPr>
          <w:t>https://riigihanked.riik.ee</w:t>
        </w:r>
      </w:hyperlink>
      <w:r w:rsidRPr="00F42E7D">
        <w:t xml:space="preserve">  hanketeates toodud ajaks.</w:t>
      </w:r>
    </w:p>
    <w:p w14:paraId="46F5D2CD" w14:textId="77777777" w:rsidR="00C4010A" w:rsidRPr="00F42E7D" w:rsidRDefault="00C4010A" w:rsidP="00D41DED">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7FCA864C" w:rsidR="00C4010A" w:rsidRPr="00F42E7D" w:rsidRDefault="00C4010A" w:rsidP="00D41DED">
      <w:pPr>
        <w:spacing w:after="120"/>
        <w:jc w:val="both"/>
      </w:pPr>
      <w:r w:rsidRPr="00F42E7D">
        <w:t xml:space="preserve">Pakkumused avatakse hankija poolt </w:t>
      </w:r>
      <w:r w:rsidR="00D41DED">
        <w:t xml:space="preserve">eRHR </w:t>
      </w:r>
      <w:r w:rsidRPr="00F42E7D">
        <w:t>-i keskkonnas hanketeates toodud aja saabumise järel.</w:t>
      </w:r>
    </w:p>
    <w:p w14:paraId="50B650FA" w14:textId="77777777" w:rsidR="00047018" w:rsidRPr="0036721B" w:rsidRDefault="00047018" w:rsidP="00B44F90">
      <w:pPr>
        <w:jc w:val="both"/>
      </w:pPr>
    </w:p>
    <w:p w14:paraId="39FED5DB" w14:textId="64DA9BFC" w:rsidR="008A52F7" w:rsidRPr="008A52F7" w:rsidRDefault="00FF2C13" w:rsidP="00D8119D">
      <w:pPr>
        <w:pStyle w:val="Pealkiri2"/>
        <w:numPr>
          <w:ilvl w:val="0"/>
          <w:numId w:val="11"/>
        </w:numPr>
        <w:spacing w:before="0" w:after="120"/>
        <w:jc w:val="both"/>
      </w:pPr>
      <w:r w:rsidRPr="0036721B">
        <w:t xml:space="preserve">Hanke </w:t>
      </w:r>
      <w:r w:rsidR="000A02BF" w:rsidRPr="0036721B">
        <w:t xml:space="preserve">tehniline </w:t>
      </w:r>
      <w:r w:rsidR="000B487D">
        <w:t>kirjeldus</w:t>
      </w:r>
    </w:p>
    <w:p w14:paraId="1D607E7A" w14:textId="31169CE2" w:rsidR="00483B56" w:rsidRPr="00476169" w:rsidRDefault="00B2585B" w:rsidP="00D8119D">
      <w:pPr>
        <w:pStyle w:val="Loendilik"/>
        <w:numPr>
          <w:ilvl w:val="1"/>
          <w:numId w:val="11"/>
        </w:numPr>
        <w:spacing w:after="120"/>
        <w:contextualSpacing w:val="0"/>
        <w:jc w:val="both"/>
        <w:rPr>
          <w:szCs w:val="20"/>
          <w:lang w:eastAsia="en-US"/>
        </w:rPr>
      </w:pPr>
      <w:r>
        <w:t>Avatud menetlusega  h</w:t>
      </w:r>
      <w:r w:rsidR="00E364A4" w:rsidRPr="005676D2">
        <w:t>anke tulemusel</w:t>
      </w:r>
      <w:r w:rsidR="00E364A4">
        <w:t xml:space="preserve"> </w:t>
      </w:r>
      <w:r w:rsidR="00E364A4" w:rsidRPr="005676D2">
        <w:t>ostetakse</w:t>
      </w:r>
      <w:r w:rsidR="00E364A4">
        <w:t xml:space="preserve"> raamlepingu alusel</w:t>
      </w:r>
      <w:r w:rsidR="00E364A4" w:rsidRPr="005676D2">
        <w:t xml:space="preserve"> </w:t>
      </w:r>
      <w:r w:rsidR="00E364A4" w:rsidRPr="00E364A4">
        <w:t xml:space="preserve">puidust väikevorme koos paigaldusega </w:t>
      </w:r>
      <w:r w:rsidR="00E364A4">
        <w:t>külastusobjektidele.</w:t>
      </w:r>
      <w:r w:rsidR="00C33219" w:rsidRPr="00E364A4">
        <w:rPr>
          <w:color w:val="000000"/>
        </w:rPr>
        <w:t xml:space="preserve"> </w:t>
      </w:r>
    </w:p>
    <w:p w14:paraId="68E6AE8F" w14:textId="2E1ED46A" w:rsidR="00476169" w:rsidRPr="00D8119D" w:rsidRDefault="00476169" w:rsidP="00D8119D">
      <w:pPr>
        <w:pStyle w:val="Loendilik"/>
        <w:numPr>
          <w:ilvl w:val="1"/>
          <w:numId w:val="11"/>
        </w:numPr>
        <w:spacing w:after="120"/>
        <w:contextualSpacing w:val="0"/>
        <w:jc w:val="both"/>
        <w:rPr>
          <w:color w:val="000000" w:themeColor="text1"/>
          <w:szCs w:val="20"/>
          <w:lang w:eastAsia="en-US"/>
        </w:rPr>
      </w:pPr>
      <w:r w:rsidRPr="00D8119D">
        <w:rPr>
          <w:color w:val="000000" w:themeColor="text1"/>
        </w:rPr>
        <w:t xml:space="preserve">Hange on jagatud viieks osaks ning RMK külastusalade väikevorme ostetakse ja paigaldatakse vastava hankeosas määratletud piirkonnas (maakonnas). </w:t>
      </w:r>
    </w:p>
    <w:p w14:paraId="65B72429" w14:textId="65EE37BD" w:rsidR="00476169" w:rsidRDefault="00476169" w:rsidP="00D8119D">
      <w:pPr>
        <w:pStyle w:val="Loendilik"/>
        <w:spacing w:after="120"/>
        <w:ind w:left="0"/>
        <w:contextualSpacing w:val="0"/>
        <w:jc w:val="both"/>
        <w:rPr>
          <w:szCs w:val="20"/>
          <w:lang w:eastAsia="en-US"/>
        </w:rPr>
      </w:pPr>
    </w:p>
    <w:p w14:paraId="7EDD452B" w14:textId="2279B9ED" w:rsidR="00476169" w:rsidRDefault="00476169" w:rsidP="00D8119D">
      <w:pPr>
        <w:pStyle w:val="Loendilik"/>
        <w:spacing w:after="120"/>
        <w:ind w:left="0"/>
        <w:contextualSpacing w:val="0"/>
        <w:jc w:val="both"/>
        <w:rPr>
          <w:szCs w:val="20"/>
          <w:lang w:eastAsia="en-US"/>
        </w:rPr>
      </w:pPr>
    </w:p>
    <w:p w14:paraId="0AFBBF88" w14:textId="5A46461C" w:rsidR="00476169" w:rsidRPr="00476169" w:rsidRDefault="00476169" w:rsidP="00D8119D">
      <w:pPr>
        <w:pStyle w:val="Loendilik"/>
        <w:spacing w:after="120"/>
        <w:ind w:left="0"/>
        <w:contextualSpacing w:val="0"/>
        <w:jc w:val="both"/>
        <w:rPr>
          <w:szCs w:val="20"/>
          <w:lang w:eastAsia="en-US"/>
        </w:rPr>
      </w:pPr>
    </w:p>
    <w:p w14:paraId="3271D3B7" w14:textId="1E017AC3" w:rsidR="00483B56" w:rsidRPr="00483B56" w:rsidRDefault="00483B56" w:rsidP="00D8119D">
      <w:pPr>
        <w:pStyle w:val="Loendilik"/>
        <w:numPr>
          <w:ilvl w:val="1"/>
          <w:numId w:val="11"/>
        </w:numPr>
        <w:spacing w:after="120"/>
        <w:contextualSpacing w:val="0"/>
      </w:pPr>
      <w:r>
        <w:lastRenderedPageBreak/>
        <w:t xml:space="preserve">Hankemenetlus on jagatud </w:t>
      </w:r>
      <w:r w:rsidRPr="00483B56">
        <w:rPr>
          <w:b/>
        </w:rPr>
        <w:t xml:space="preserve">5 (viieks) osaks: </w:t>
      </w:r>
    </w:p>
    <w:tbl>
      <w:tblPr>
        <w:tblStyle w:val="Kontuurtabel"/>
        <w:tblW w:w="9067" w:type="dxa"/>
        <w:tblLook w:val="04A0" w:firstRow="1" w:lastRow="0" w:firstColumn="1" w:lastColumn="0" w:noHBand="0" w:noVBand="1"/>
      </w:tblPr>
      <w:tblGrid>
        <w:gridCol w:w="1230"/>
        <w:gridCol w:w="4577"/>
        <w:gridCol w:w="1418"/>
        <w:gridCol w:w="1842"/>
      </w:tblGrid>
      <w:tr w:rsidR="00483B56" w:rsidRPr="001350F2" w14:paraId="23CE5D67" w14:textId="77777777" w:rsidTr="004E3022">
        <w:tc>
          <w:tcPr>
            <w:tcW w:w="1230" w:type="dxa"/>
            <w:vAlign w:val="center"/>
          </w:tcPr>
          <w:p w14:paraId="71F363F4" w14:textId="77777777" w:rsidR="00483B56" w:rsidRPr="001350F2" w:rsidRDefault="00483B56" w:rsidP="00D8119D">
            <w:pPr>
              <w:pStyle w:val="Loendilik"/>
              <w:spacing w:after="120"/>
              <w:ind w:left="0"/>
              <w:contextualSpacing w:val="0"/>
              <w:jc w:val="center"/>
              <w:rPr>
                <w:b/>
              </w:rPr>
            </w:pPr>
            <w:r w:rsidRPr="001350F2">
              <w:rPr>
                <w:b/>
              </w:rPr>
              <w:t>Hankeosa nr</w:t>
            </w:r>
          </w:p>
        </w:tc>
        <w:tc>
          <w:tcPr>
            <w:tcW w:w="4577" w:type="dxa"/>
            <w:vAlign w:val="center"/>
          </w:tcPr>
          <w:p w14:paraId="214E6CCC" w14:textId="77777777" w:rsidR="00483B56" w:rsidRPr="001350F2" w:rsidRDefault="00483B56" w:rsidP="00D8119D">
            <w:pPr>
              <w:pStyle w:val="Loendilik"/>
              <w:spacing w:after="120"/>
              <w:ind w:left="0"/>
              <w:contextualSpacing w:val="0"/>
              <w:jc w:val="center"/>
              <w:rPr>
                <w:b/>
              </w:rPr>
            </w:pPr>
            <w:r w:rsidRPr="001350F2">
              <w:rPr>
                <w:b/>
              </w:rPr>
              <w:t>Hankeosa</w:t>
            </w:r>
          </w:p>
        </w:tc>
        <w:tc>
          <w:tcPr>
            <w:tcW w:w="1418" w:type="dxa"/>
            <w:vAlign w:val="center"/>
          </w:tcPr>
          <w:p w14:paraId="58B089FA" w14:textId="77777777" w:rsidR="00483B56" w:rsidRPr="001350F2" w:rsidRDefault="00483B56" w:rsidP="00D8119D">
            <w:pPr>
              <w:pStyle w:val="Loendilik"/>
              <w:spacing w:after="120"/>
              <w:ind w:left="0"/>
              <w:contextualSpacing w:val="0"/>
              <w:jc w:val="center"/>
              <w:rPr>
                <w:b/>
              </w:rPr>
            </w:pPr>
            <w:r w:rsidRPr="001350F2">
              <w:rPr>
                <w:b/>
              </w:rPr>
              <w:t>Hankeosa eeldatav maksumus</w:t>
            </w:r>
          </w:p>
        </w:tc>
        <w:tc>
          <w:tcPr>
            <w:tcW w:w="1842" w:type="dxa"/>
            <w:vAlign w:val="center"/>
          </w:tcPr>
          <w:p w14:paraId="07AA1AAF" w14:textId="77777777" w:rsidR="00483B56" w:rsidRPr="001350F2" w:rsidRDefault="00483B56" w:rsidP="00D8119D">
            <w:pPr>
              <w:pStyle w:val="Loendilik"/>
              <w:spacing w:after="120"/>
              <w:ind w:left="0"/>
              <w:contextualSpacing w:val="0"/>
              <w:jc w:val="center"/>
              <w:rPr>
                <w:b/>
              </w:rPr>
            </w:pPr>
            <w:r w:rsidRPr="001350F2">
              <w:rPr>
                <w:b/>
              </w:rPr>
              <w:t>Hankeosa maksimaalne võimalik kogumaksumus</w:t>
            </w:r>
          </w:p>
        </w:tc>
      </w:tr>
      <w:tr w:rsidR="00483B56" w:rsidRPr="001350F2" w14:paraId="4043CBB6" w14:textId="77777777" w:rsidTr="004E3022">
        <w:tc>
          <w:tcPr>
            <w:tcW w:w="1230" w:type="dxa"/>
            <w:vAlign w:val="center"/>
          </w:tcPr>
          <w:p w14:paraId="3EE20A3D" w14:textId="77777777" w:rsidR="00483B56" w:rsidRPr="001350F2" w:rsidRDefault="00483B56" w:rsidP="00D8119D">
            <w:pPr>
              <w:spacing w:after="120"/>
              <w:jc w:val="center"/>
            </w:pPr>
            <w:r w:rsidRPr="001350F2">
              <w:t>1</w:t>
            </w:r>
          </w:p>
        </w:tc>
        <w:tc>
          <w:tcPr>
            <w:tcW w:w="4577" w:type="dxa"/>
          </w:tcPr>
          <w:p w14:paraId="00AFAD7E" w14:textId="1BB70F5F" w:rsidR="00483B56" w:rsidRPr="001350F2" w:rsidRDefault="004E3022" w:rsidP="00D8119D">
            <w:pPr>
              <w:pStyle w:val="Loendilik"/>
              <w:spacing w:after="120"/>
              <w:ind w:left="0"/>
              <w:contextualSpacing w:val="0"/>
            </w:pPr>
            <w:r w:rsidRPr="001350F2">
              <w:t xml:space="preserve">Põlvamaa, Valgamaa ja </w:t>
            </w:r>
            <w:r w:rsidR="0073073C" w:rsidRPr="001350F2">
              <w:t xml:space="preserve"> Võrumaa</w:t>
            </w:r>
            <w:r w:rsidRPr="001350F2">
              <w:t xml:space="preserve"> piirkond</w:t>
            </w:r>
          </w:p>
        </w:tc>
        <w:tc>
          <w:tcPr>
            <w:tcW w:w="1418" w:type="dxa"/>
            <w:vAlign w:val="center"/>
          </w:tcPr>
          <w:p w14:paraId="6E9F5A64" w14:textId="4621FB23" w:rsidR="00483B56" w:rsidRPr="001350F2" w:rsidRDefault="000201FB" w:rsidP="00D8119D">
            <w:pPr>
              <w:pStyle w:val="Loendilik"/>
              <w:spacing w:after="120"/>
              <w:ind w:left="0"/>
              <w:contextualSpacing w:val="0"/>
              <w:jc w:val="center"/>
            </w:pPr>
            <w:r w:rsidRPr="001350F2">
              <w:t>70 540</w:t>
            </w:r>
          </w:p>
        </w:tc>
        <w:tc>
          <w:tcPr>
            <w:tcW w:w="1842" w:type="dxa"/>
            <w:vAlign w:val="center"/>
          </w:tcPr>
          <w:p w14:paraId="725BA131" w14:textId="6D782D04" w:rsidR="00483B56" w:rsidRPr="001350F2" w:rsidRDefault="00A33C46" w:rsidP="00D8119D">
            <w:pPr>
              <w:pStyle w:val="Loendilik"/>
              <w:spacing w:after="120"/>
              <w:ind w:left="0"/>
              <w:contextualSpacing w:val="0"/>
              <w:jc w:val="center"/>
            </w:pPr>
            <w:r w:rsidRPr="001350F2">
              <w:t>90</w:t>
            </w:r>
            <w:r w:rsidR="000201FB" w:rsidRPr="001350F2">
              <w:t xml:space="preserve"> 000 </w:t>
            </w:r>
          </w:p>
        </w:tc>
      </w:tr>
      <w:tr w:rsidR="00483B56" w:rsidRPr="001350F2" w14:paraId="295B51E7" w14:textId="77777777" w:rsidTr="004E3022">
        <w:tc>
          <w:tcPr>
            <w:tcW w:w="1230" w:type="dxa"/>
            <w:vAlign w:val="center"/>
          </w:tcPr>
          <w:p w14:paraId="03EAE927" w14:textId="77777777" w:rsidR="00483B56" w:rsidRPr="001350F2" w:rsidRDefault="00483B56" w:rsidP="00D8119D">
            <w:pPr>
              <w:pStyle w:val="Loendilik"/>
              <w:spacing w:after="120"/>
              <w:ind w:left="0"/>
              <w:contextualSpacing w:val="0"/>
              <w:jc w:val="center"/>
            </w:pPr>
            <w:r w:rsidRPr="001350F2">
              <w:t>2</w:t>
            </w:r>
          </w:p>
        </w:tc>
        <w:tc>
          <w:tcPr>
            <w:tcW w:w="4577" w:type="dxa"/>
          </w:tcPr>
          <w:p w14:paraId="65FF1D16" w14:textId="3E7FB7A3" w:rsidR="00483B56" w:rsidRPr="001350F2" w:rsidRDefault="004E3022" w:rsidP="00D8119D">
            <w:pPr>
              <w:pStyle w:val="Loendilik"/>
              <w:spacing w:after="120"/>
              <w:ind w:left="0"/>
              <w:contextualSpacing w:val="0"/>
            </w:pPr>
            <w:r w:rsidRPr="001350F2">
              <w:t>Tartumaa, Jõgevamaa ja Ida-Virumaa piirkond</w:t>
            </w:r>
          </w:p>
        </w:tc>
        <w:tc>
          <w:tcPr>
            <w:tcW w:w="1418" w:type="dxa"/>
            <w:vAlign w:val="center"/>
          </w:tcPr>
          <w:p w14:paraId="070BBD5F" w14:textId="0A055ADC" w:rsidR="00483B56" w:rsidRPr="001350F2" w:rsidRDefault="000201FB" w:rsidP="00D8119D">
            <w:pPr>
              <w:pStyle w:val="Loendilik"/>
              <w:spacing w:after="120"/>
              <w:ind w:left="0"/>
              <w:contextualSpacing w:val="0"/>
              <w:jc w:val="center"/>
            </w:pPr>
            <w:r w:rsidRPr="001350F2">
              <w:t>62 770</w:t>
            </w:r>
          </w:p>
        </w:tc>
        <w:tc>
          <w:tcPr>
            <w:tcW w:w="1842" w:type="dxa"/>
            <w:vAlign w:val="center"/>
          </w:tcPr>
          <w:p w14:paraId="686C99F6" w14:textId="4B053A53" w:rsidR="00483B56" w:rsidRPr="001350F2" w:rsidRDefault="00A33C46" w:rsidP="00D8119D">
            <w:pPr>
              <w:pStyle w:val="Loendilik"/>
              <w:spacing w:after="120"/>
              <w:ind w:left="0"/>
              <w:contextualSpacing w:val="0"/>
              <w:jc w:val="center"/>
            </w:pPr>
            <w:r w:rsidRPr="001350F2">
              <w:t>85</w:t>
            </w:r>
            <w:r w:rsidR="000201FB" w:rsidRPr="001350F2">
              <w:t xml:space="preserve"> 000 </w:t>
            </w:r>
          </w:p>
        </w:tc>
      </w:tr>
      <w:tr w:rsidR="00483B56" w:rsidRPr="001350F2" w14:paraId="723A4AF5" w14:textId="77777777" w:rsidTr="004E3022">
        <w:tc>
          <w:tcPr>
            <w:tcW w:w="1230" w:type="dxa"/>
            <w:vAlign w:val="center"/>
          </w:tcPr>
          <w:p w14:paraId="2F61D519" w14:textId="77777777" w:rsidR="00483B56" w:rsidRPr="001350F2" w:rsidRDefault="00483B56" w:rsidP="00D8119D">
            <w:pPr>
              <w:pStyle w:val="Loendilik"/>
              <w:spacing w:after="120"/>
              <w:ind w:left="0"/>
              <w:contextualSpacing w:val="0"/>
              <w:jc w:val="center"/>
            </w:pPr>
            <w:r w:rsidRPr="001350F2">
              <w:t>3</w:t>
            </w:r>
          </w:p>
        </w:tc>
        <w:tc>
          <w:tcPr>
            <w:tcW w:w="4577" w:type="dxa"/>
          </w:tcPr>
          <w:p w14:paraId="5738F32D" w14:textId="3FBB0820" w:rsidR="00483B56" w:rsidRPr="001350F2" w:rsidRDefault="004E3022" w:rsidP="00D8119D">
            <w:pPr>
              <w:pStyle w:val="Loendilik"/>
              <w:spacing w:after="120"/>
              <w:ind w:left="0"/>
              <w:contextualSpacing w:val="0"/>
            </w:pPr>
            <w:r w:rsidRPr="001350F2">
              <w:t>Lääne-Virumaa, Järvamaa ja  Harjumaa piirkond</w:t>
            </w:r>
          </w:p>
        </w:tc>
        <w:tc>
          <w:tcPr>
            <w:tcW w:w="1418" w:type="dxa"/>
            <w:vAlign w:val="center"/>
          </w:tcPr>
          <w:p w14:paraId="3ED5F00C" w14:textId="6469421F" w:rsidR="00483B56" w:rsidRPr="001350F2" w:rsidRDefault="000201FB" w:rsidP="00D8119D">
            <w:pPr>
              <w:pStyle w:val="Loendilik"/>
              <w:spacing w:after="120"/>
              <w:ind w:left="0"/>
              <w:contextualSpacing w:val="0"/>
              <w:jc w:val="center"/>
            </w:pPr>
            <w:r w:rsidRPr="001350F2">
              <w:t>74 350</w:t>
            </w:r>
          </w:p>
        </w:tc>
        <w:tc>
          <w:tcPr>
            <w:tcW w:w="1842" w:type="dxa"/>
            <w:vAlign w:val="center"/>
          </w:tcPr>
          <w:p w14:paraId="3066C903" w14:textId="3A9AA0E0" w:rsidR="00483B56" w:rsidRPr="001350F2" w:rsidRDefault="00A33C46" w:rsidP="00D8119D">
            <w:pPr>
              <w:pStyle w:val="Loendilik"/>
              <w:spacing w:after="120"/>
              <w:ind w:left="0"/>
              <w:contextualSpacing w:val="0"/>
              <w:jc w:val="center"/>
            </w:pPr>
            <w:r w:rsidRPr="001350F2">
              <w:t>90</w:t>
            </w:r>
            <w:r w:rsidR="000201FB" w:rsidRPr="001350F2">
              <w:t xml:space="preserve"> 000</w:t>
            </w:r>
          </w:p>
        </w:tc>
      </w:tr>
      <w:tr w:rsidR="00483B56" w:rsidRPr="001350F2" w14:paraId="456E983F" w14:textId="77777777" w:rsidTr="004E3022">
        <w:tc>
          <w:tcPr>
            <w:tcW w:w="1230" w:type="dxa"/>
            <w:vAlign w:val="center"/>
          </w:tcPr>
          <w:p w14:paraId="415A9529" w14:textId="77777777" w:rsidR="00483B56" w:rsidRPr="001350F2" w:rsidRDefault="00483B56" w:rsidP="00D8119D">
            <w:pPr>
              <w:pStyle w:val="Loendilik"/>
              <w:spacing w:after="120"/>
              <w:ind w:left="0"/>
              <w:contextualSpacing w:val="0"/>
              <w:jc w:val="center"/>
            </w:pPr>
            <w:r w:rsidRPr="001350F2">
              <w:t>4</w:t>
            </w:r>
          </w:p>
        </w:tc>
        <w:tc>
          <w:tcPr>
            <w:tcW w:w="4577" w:type="dxa"/>
          </w:tcPr>
          <w:p w14:paraId="4B191EFC" w14:textId="5C5DE119" w:rsidR="00483B56" w:rsidRPr="001350F2" w:rsidRDefault="004E3022" w:rsidP="00D8119D">
            <w:pPr>
              <w:pStyle w:val="Loendilik"/>
              <w:spacing w:after="120"/>
              <w:ind w:left="0"/>
              <w:contextualSpacing w:val="0"/>
            </w:pPr>
            <w:r w:rsidRPr="001350F2">
              <w:t>Pärnumaa, Viljandimaa ja Raplamaa piirkond</w:t>
            </w:r>
          </w:p>
        </w:tc>
        <w:tc>
          <w:tcPr>
            <w:tcW w:w="1418" w:type="dxa"/>
            <w:vAlign w:val="center"/>
          </w:tcPr>
          <w:p w14:paraId="1DC68244" w14:textId="7168595D" w:rsidR="00483B56" w:rsidRPr="001350F2" w:rsidRDefault="000201FB" w:rsidP="00D8119D">
            <w:pPr>
              <w:pStyle w:val="Loendilik"/>
              <w:spacing w:after="120"/>
              <w:ind w:left="0"/>
              <w:contextualSpacing w:val="0"/>
              <w:jc w:val="center"/>
            </w:pPr>
            <w:r w:rsidRPr="001350F2">
              <w:t>66 050</w:t>
            </w:r>
          </w:p>
        </w:tc>
        <w:tc>
          <w:tcPr>
            <w:tcW w:w="1842" w:type="dxa"/>
            <w:vAlign w:val="center"/>
          </w:tcPr>
          <w:p w14:paraId="63802093" w14:textId="6C5AD55A" w:rsidR="00483B56" w:rsidRPr="001350F2" w:rsidRDefault="00A33C46" w:rsidP="00D8119D">
            <w:pPr>
              <w:pStyle w:val="Loendilik"/>
              <w:spacing w:after="120"/>
              <w:ind w:left="0"/>
              <w:contextualSpacing w:val="0"/>
              <w:jc w:val="center"/>
            </w:pPr>
            <w:r w:rsidRPr="001350F2">
              <w:t>85</w:t>
            </w:r>
            <w:r w:rsidR="000201FB" w:rsidRPr="001350F2">
              <w:t xml:space="preserve"> 000</w:t>
            </w:r>
          </w:p>
        </w:tc>
      </w:tr>
      <w:tr w:rsidR="00483B56" w:rsidRPr="001350F2" w14:paraId="34595FAE" w14:textId="77777777" w:rsidTr="004E3022">
        <w:tc>
          <w:tcPr>
            <w:tcW w:w="1230" w:type="dxa"/>
            <w:vAlign w:val="center"/>
          </w:tcPr>
          <w:p w14:paraId="3ED3717E" w14:textId="77777777" w:rsidR="00483B56" w:rsidRPr="001350F2" w:rsidRDefault="00483B56" w:rsidP="00D8119D">
            <w:pPr>
              <w:pStyle w:val="Loendilik"/>
              <w:spacing w:after="120"/>
              <w:ind w:left="0"/>
              <w:contextualSpacing w:val="0"/>
              <w:jc w:val="center"/>
            </w:pPr>
            <w:r w:rsidRPr="001350F2">
              <w:t>5</w:t>
            </w:r>
          </w:p>
        </w:tc>
        <w:tc>
          <w:tcPr>
            <w:tcW w:w="4577" w:type="dxa"/>
          </w:tcPr>
          <w:p w14:paraId="50B5C8FD" w14:textId="2AA003DE" w:rsidR="00483B56" w:rsidRPr="001350F2" w:rsidRDefault="004E3022" w:rsidP="00D8119D">
            <w:pPr>
              <w:pStyle w:val="Loendilik"/>
              <w:spacing w:after="120"/>
              <w:ind w:left="0"/>
              <w:contextualSpacing w:val="0"/>
            </w:pPr>
            <w:r w:rsidRPr="001350F2">
              <w:t>Saaremaa, Hiiumaa ja Läänemaa piirkond</w:t>
            </w:r>
          </w:p>
        </w:tc>
        <w:tc>
          <w:tcPr>
            <w:tcW w:w="1418" w:type="dxa"/>
            <w:vAlign w:val="center"/>
          </w:tcPr>
          <w:p w14:paraId="68EC600F" w14:textId="6659326A" w:rsidR="00483B56" w:rsidRPr="001350F2" w:rsidRDefault="000201FB" w:rsidP="00D8119D">
            <w:pPr>
              <w:pStyle w:val="Loendilik"/>
              <w:spacing w:after="120"/>
              <w:ind w:left="0"/>
              <w:contextualSpacing w:val="0"/>
              <w:jc w:val="center"/>
            </w:pPr>
            <w:r w:rsidRPr="001350F2">
              <w:t>122 450</w:t>
            </w:r>
          </w:p>
        </w:tc>
        <w:tc>
          <w:tcPr>
            <w:tcW w:w="1842" w:type="dxa"/>
            <w:vAlign w:val="center"/>
          </w:tcPr>
          <w:p w14:paraId="4F2E0A99" w14:textId="54197EA6" w:rsidR="00483B56" w:rsidRPr="001350F2" w:rsidRDefault="003877A6" w:rsidP="00D8119D">
            <w:pPr>
              <w:pStyle w:val="Loendilik"/>
              <w:spacing w:after="120"/>
              <w:ind w:left="0"/>
              <w:contextualSpacing w:val="0"/>
              <w:jc w:val="center"/>
            </w:pPr>
            <w:r w:rsidRPr="001350F2">
              <w:t xml:space="preserve">130 </w:t>
            </w:r>
            <w:r w:rsidR="000201FB" w:rsidRPr="001350F2">
              <w:t>00</w:t>
            </w:r>
            <w:r w:rsidRPr="001350F2">
              <w:t>0</w:t>
            </w:r>
          </w:p>
        </w:tc>
      </w:tr>
    </w:tbl>
    <w:p w14:paraId="3CF11B14" w14:textId="77777777" w:rsidR="00483B56" w:rsidRPr="001350F2" w:rsidRDefault="00483B56" w:rsidP="00D8119D">
      <w:pPr>
        <w:pStyle w:val="Loendilik"/>
        <w:spacing w:after="120"/>
        <w:ind w:left="0"/>
        <w:contextualSpacing w:val="0"/>
        <w:jc w:val="both"/>
      </w:pPr>
    </w:p>
    <w:p w14:paraId="798C717D" w14:textId="59A007E5" w:rsidR="00E364A4" w:rsidRPr="00D8119D" w:rsidRDefault="003877A6" w:rsidP="00D8119D">
      <w:pPr>
        <w:pStyle w:val="Loendilik"/>
        <w:numPr>
          <w:ilvl w:val="1"/>
          <w:numId w:val="11"/>
        </w:numPr>
        <w:spacing w:after="120"/>
        <w:contextualSpacing w:val="0"/>
        <w:jc w:val="both"/>
        <w:rPr>
          <w:color w:val="000000" w:themeColor="text1"/>
        </w:rPr>
      </w:pPr>
      <w:r w:rsidRPr="001350F2">
        <w:rPr>
          <w:color w:val="000000" w:themeColor="text1"/>
        </w:rPr>
        <w:t xml:space="preserve">Kõikide hankeosade lepingute summaarne maksimaalne võimalik maksumus kokku on </w:t>
      </w:r>
      <w:r w:rsidR="00A33C46" w:rsidRPr="001350F2">
        <w:rPr>
          <w:color w:val="000000" w:themeColor="text1"/>
        </w:rPr>
        <w:t>480</w:t>
      </w:r>
      <w:r w:rsidR="00547A6C" w:rsidRPr="001350F2">
        <w:rPr>
          <w:color w:val="000000" w:themeColor="text1"/>
        </w:rPr>
        <w:t xml:space="preserve"> 000</w:t>
      </w:r>
      <w:r w:rsidR="00260AEF" w:rsidRPr="001350F2">
        <w:rPr>
          <w:color w:val="000000" w:themeColor="text1"/>
        </w:rPr>
        <w:t xml:space="preserve"> eurot</w:t>
      </w:r>
      <w:r w:rsidR="00547A6C" w:rsidRPr="001350F2">
        <w:rPr>
          <w:color w:val="000000" w:themeColor="text1"/>
        </w:rPr>
        <w:t xml:space="preserve"> (käibemaksuta).  </w:t>
      </w:r>
      <w:r w:rsidR="00EE1963" w:rsidRPr="001350F2">
        <w:rPr>
          <w:color w:val="000000" w:themeColor="text1"/>
        </w:rPr>
        <w:t>Hankija</w:t>
      </w:r>
      <w:r w:rsidR="00EE1963" w:rsidRPr="00D8119D">
        <w:rPr>
          <w:color w:val="000000" w:themeColor="text1"/>
        </w:rPr>
        <w:t xml:space="preserve"> ei ole raamlepingu täitmisel seotud kindla kogusega, väikevorme ostetakse vastavalt reaalsele vajadusele.</w:t>
      </w:r>
      <w:r w:rsidR="00560244" w:rsidRPr="00D8119D">
        <w:rPr>
          <w:color w:val="000000" w:themeColor="text1"/>
        </w:rPr>
        <w:t xml:space="preserve"> </w:t>
      </w:r>
    </w:p>
    <w:p w14:paraId="2B5E347B" w14:textId="3CD75999" w:rsidR="00DF6B61" w:rsidRPr="00D8119D" w:rsidRDefault="00DF6B61" w:rsidP="00D8119D">
      <w:pPr>
        <w:pStyle w:val="Loendilik"/>
        <w:numPr>
          <w:ilvl w:val="1"/>
          <w:numId w:val="11"/>
        </w:numPr>
        <w:spacing w:after="120"/>
        <w:contextualSpacing w:val="0"/>
        <w:jc w:val="both"/>
        <w:rPr>
          <w:color w:val="000000" w:themeColor="text1"/>
        </w:rPr>
      </w:pPr>
      <w:r w:rsidRPr="00D8119D">
        <w:rPr>
          <w:color w:val="000000" w:themeColor="text1"/>
        </w:rPr>
        <w:t>Pakkuja võib teha pakkumuse ühele või mitmele hankeosale. Hankemenetluse tulemusena sõlmitakse raamlepingud hankeosade kaupa.</w:t>
      </w:r>
    </w:p>
    <w:p w14:paraId="2C95195A" w14:textId="7DE57B2B" w:rsidR="00190933" w:rsidRPr="00D8119D" w:rsidRDefault="00190933" w:rsidP="00D8119D">
      <w:pPr>
        <w:pStyle w:val="Loendilik"/>
        <w:numPr>
          <w:ilvl w:val="1"/>
          <w:numId w:val="11"/>
        </w:numPr>
        <w:spacing w:after="120"/>
        <w:contextualSpacing w:val="0"/>
        <w:jc w:val="both"/>
        <w:rPr>
          <w:color w:val="000000" w:themeColor="text1"/>
        </w:rPr>
      </w:pPr>
      <w:r w:rsidRPr="00D8119D">
        <w:rPr>
          <w:color w:val="000000" w:themeColor="text1"/>
        </w:rPr>
        <w:t xml:space="preserve">Igas hankeosas sõlmitakse raamleping </w:t>
      </w:r>
      <w:r w:rsidR="00596833" w:rsidRPr="00D8119D">
        <w:rPr>
          <w:color w:val="000000" w:themeColor="text1"/>
        </w:rPr>
        <w:t xml:space="preserve">ühe </w:t>
      </w:r>
      <w:r w:rsidR="00B2585B" w:rsidRPr="00D8119D">
        <w:rPr>
          <w:color w:val="000000" w:themeColor="text1"/>
        </w:rPr>
        <w:t xml:space="preserve">eduka </w:t>
      </w:r>
      <w:r w:rsidR="00596833" w:rsidRPr="00D8119D">
        <w:rPr>
          <w:color w:val="000000" w:themeColor="text1"/>
        </w:rPr>
        <w:t>pakkujaga</w:t>
      </w:r>
      <w:r w:rsidR="00BE4003" w:rsidRPr="00D8119D">
        <w:rPr>
          <w:color w:val="000000" w:themeColor="text1"/>
        </w:rPr>
        <w:t>,</w:t>
      </w:r>
      <w:r w:rsidR="00596833" w:rsidRPr="00D8119D">
        <w:rPr>
          <w:color w:val="000000" w:themeColor="text1"/>
        </w:rPr>
        <w:t xml:space="preserve"> </w:t>
      </w:r>
      <w:r w:rsidRPr="00D8119D">
        <w:rPr>
          <w:color w:val="000000" w:themeColor="text1"/>
        </w:rPr>
        <w:t>tähtajaga 24 kuud</w:t>
      </w:r>
      <w:r w:rsidR="00596833" w:rsidRPr="00D8119D">
        <w:rPr>
          <w:color w:val="000000" w:themeColor="text1"/>
        </w:rPr>
        <w:t xml:space="preserve"> alates lepingu sõlmimisest </w:t>
      </w:r>
      <w:r w:rsidRPr="00D8119D">
        <w:rPr>
          <w:color w:val="000000" w:themeColor="text1"/>
        </w:rPr>
        <w:t>või kuni lepingu rahalise mahu täitumiseni, sõltuvalt sellest kumb tingimus saabub varem.</w:t>
      </w:r>
    </w:p>
    <w:p w14:paraId="1BEAC132" w14:textId="21DD596A" w:rsidR="005D49DE" w:rsidRPr="00D8119D" w:rsidRDefault="005D49DE" w:rsidP="00D8119D">
      <w:pPr>
        <w:pStyle w:val="Loendilik"/>
        <w:numPr>
          <w:ilvl w:val="1"/>
          <w:numId w:val="11"/>
        </w:numPr>
        <w:spacing w:after="120"/>
        <w:contextualSpacing w:val="0"/>
        <w:jc w:val="both"/>
        <w:rPr>
          <w:color w:val="000000" w:themeColor="text1"/>
        </w:rPr>
      </w:pPr>
      <w:r w:rsidRPr="00D8119D">
        <w:rPr>
          <w:color w:val="000000" w:themeColor="text1"/>
        </w:rPr>
        <w:t xml:space="preserve">Pakutud hinnad peavad ostjale kehtima kogu lepinguperioodi vältel. </w:t>
      </w:r>
    </w:p>
    <w:p w14:paraId="0E88B41D" w14:textId="0E7108AC" w:rsidR="00A241AD" w:rsidRPr="00D8119D" w:rsidRDefault="005D49DE" w:rsidP="00D8119D">
      <w:pPr>
        <w:pStyle w:val="Loendilik"/>
        <w:numPr>
          <w:ilvl w:val="1"/>
          <w:numId w:val="11"/>
        </w:numPr>
        <w:spacing w:after="120"/>
        <w:contextualSpacing w:val="0"/>
        <w:jc w:val="both"/>
        <w:rPr>
          <w:color w:val="000000" w:themeColor="text1"/>
        </w:rPr>
      </w:pPr>
      <w:r w:rsidRPr="00D8119D">
        <w:rPr>
          <w:color w:val="000000" w:themeColor="text1"/>
        </w:rPr>
        <w:t>Hankija esitab pärast lepingu sõlmimist tellimusi, milles määr</w:t>
      </w:r>
      <w:r w:rsidR="00BF0EB5" w:rsidRPr="00D8119D">
        <w:rPr>
          <w:color w:val="000000" w:themeColor="text1"/>
        </w:rPr>
        <w:t xml:space="preserve">atakse kauba kogus, tarneaeg, </w:t>
      </w:r>
      <w:r w:rsidRPr="00D8119D">
        <w:rPr>
          <w:color w:val="000000" w:themeColor="text1"/>
        </w:rPr>
        <w:t>tarneaadress</w:t>
      </w:r>
      <w:r w:rsidR="00BF0EB5" w:rsidRPr="00D8119D">
        <w:rPr>
          <w:color w:val="000000" w:themeColor="text1"/>
        </w:rPr>
        <w:t xml:space="preserve"> ja tellija poolne kontaktisik</w:t>
      </w:r>
      <w:r w:rsidRPr="00D8119D">
        <w:rPr>
          <w:color w:val="000000" w:themeColor="text1"/>
        </w:rPr>
        <w:t>. Üldjuhul on tarnetähtaeg 3 (kolm) kuud tellimuse esitamisest.</w:t>
      </w:r>
    </w:p>
    <w:p w14:paraId="67CB1D28" w14:textId="51DA17FE" w:rsidR="0008620D" w:rsidRPr="00D8119D" w:rsidRDefault="0008620D" w:rsidP="00D8119D">
      <w:pPr>
        <w:pStyle w:val="Loendilik"/>
        <w:numPr>
          <w:ilvl w:val="1"/>
          <w:numId w:val="11"/>
        </w:numPr>
        <w:spacing w:after="120"/>
        <w:contextualSpacing w:val="0"/>
        <w:jc w:val="both"/>
        <w:rPr>
          <w:color w:val="000000" w:themeColor="text1"/>
        </w:rPr>
      </w:pPr>
      <w:r w:rsidRPr="00D8119D">
        <w:rPr>
          <w:color w:val="000000" w:themeColor="text1"/>
        </w:rPr>
        <w:t xml:space="preserve">Väikevormid valmistatakse/komplekteeritakse vastavalt </w:t>
      </w:r>
      <w:r w:rsidR="00A241AD" w:rsidRPr="00D8119D">
        <w:rPr>
          <w:color w:val="000000" w:themeColor="text1"/>
        </w:rPr>
        <w:t>hankedokumendi lisale 4.</w:t>
      </w:r>
    </w:p>
    <w:p w14:paraId="36D758BF" w14:textId="3F909967" w:rsidR="00A82EF2" w:rsidRPr="00D8119D" w:rsidRDefault="00A82EF2" w:rsidP="00D8119D">
      <w:pPr>
        <w:pStyle w:val="Loendilik"/>
        <w:numPr>
          <w:ilvl w:val="1"/>
          <w:numId w:val="11"/>
        </w:numPr>
        <w:spacing w:after="120"/>
        <w:contextualSpacing w:val="0"/>
        <w:jc w:val="both"/>
        <w:rPr>
          <w:color w:val="000000" w:themeColor="text1"/>
        </w:rPr>
      </w:pPr>
      <w:r w:rsidRPr="00D8119D">
        <w:rPr>
          <w:color w:val="000000" w:themeColor="text1"/>
        </w:rPr>
        <w:t>Müüjal peab olema valmidus kauba  tarnimiseks ja paigaldamiseks</w:t>
      </w:r>
      <w:r w:rsidR="00BE4003" w:rsidRPr="00D8119D">
        <w:rPr>
          <w:color w:val="000000" w:themeColor="text1"/>
        </w:rPr>
        <w:t xml:space="preserve"> vastava hankeosa piirkonnas. </w:t>
      </w:r>
    </w:p>
    <w:p w14:paraId="31570D60" w14:textId="791C8983" w:rsidR="0008620D" w:rsidRPr="00D8119D" w:rsidRDefault="00BE4003" w:rsidP="00D8119D">
      <w:pPr>
        <w:pStyle w:val="Loendilik"/>
        <w:numPr>
          <w:ilvl w:val="1"/>
          <w:numId w:val="11"/>
        </w:numPr>
        <w:spacing w:after="120"/>
        <w:contextualSpacing w:val="0"/>
        <w:jc w:val="both"/>
        <w:rPr>
          <w:color w:val="000000" w:themeColor="text1"/>
        </w:rPr>
      </w:pPr>
      <w:r w:rsidRPr="00D8119D">
        <w:rPr>
          <w:color w:val="000000" w:themeColor="text1"/>
        </w:rPr>
        <w:t>Piirkondade kaupa on t</w:t>
      </w:r>
      <w:r w:rsidR="00923280" w:rsidRPr="00D8119D">
        <w:rPr>
          <w:color w:val="000000" w:themeColor="text1"/>
        </w:rPr>
        <w:t xml:space="preserve">eadaolevad väikevormide </w:t>
      </w:r>
      <w:r w:rsidR="009C49BE" w:rsidRPr="00D8119D">
        <w:rPr>
          <w:color w:val="000000" w:themeColor="text1"/>
        </w:rPr>
        <w:t>soetamise kogused</w:t>
      </w:r>
      <w:r w:rsidR="00294D74" w:rsidRPr="00D8119D">
        <w:rPr>
          <w:color w:val="000000" w:themeColor="text1"/>
        </w:rPr>
        <w:t xml:space="preserve"> </w:t>
      </w:r>
      <w:r w:rsidR="009C49BE" w:rsidRPr="00D8119D">
        <w:rPr>
          <w:color w:val="000000" w:themeColor="text1"/>
        </w:rPr>
        <w:t xml:space="preserve">ja asukohad </w:t>
      </w:r>
      <w:r w:rsidR="00DF6B61" w:rsidRPr="00D8119D">
        <w:rPr>
          <w:color w:val="000000" w:themeColor="text1"/>
        </w:rPr>
        <w:t>2023</w:t>
      </w:r>
      <w:r w:rsidR="00294D74" w:rsidRPr="00D8119D">
        <w:rPr>
          <w:color w:val="000000" w:themeColor="text1"/>
        </w:rPr>
        <w:t xml:space="preserve">. aastal </w:t>
      </w:r>
      <w:r w:rsidR="009C49BE" w:rsidRPr="00D8119D">
        <w:rPr>
          <w:color w:val="000000" w:themeColor="text1"/>
        </w:rPr>
        <w:t xml:space="preserve"> välja toodud hankedokumendi lisas 3.</w:t>
      </w:r>
    </w:p>
    <w:p w14:paraId="59351A9D" w14:textId="4D9ADF13" w:rsidR="005D49DE" w:rsidRPr="00D8119D" w:rsidRDefault="00335037" w:rsidP="00D8119D">
      <w:pPr>
        <w:pStyle w:val="Loendilik"/>
        <w:numPr>
          <w:ilvl w:val="1"/>
          <w:numId w:val="11"/>
        </w:numPr>
        <w:spacing w:after="120"/>
        <w:contextualSpacing w:val="0"/>
        <w:jc w:val="both"/>
        <w:rPr>
          <w:color w:val="000000" w:themeColor="text1"/>
        </w:rPr>
      </w:pPr>
      <w:r w:rsidRPr="00D8119D">
        <w:rPr>
          <w:color w:val="000000" w:themeColor="text1"/>
        </w:rPr>
        <w:t>Konkreetse väikevormi asukoht looduses lepitakse kokku</w:t>
      </w:r>
      <w:r w:rsidR="003D451D" w:rsidRPr="00D8119D">
        <w:rPr>
          <w:color w:val="000000" w:themeColor="text1"/>
        </w:rPr>
        <w:t xml:space="preserve"> tellimuse esitamisel</w:t>
      </w:r>
      <w:r w:rsidRPr="00D8119D">
        <w:rPr>
          <w:color w:val="000000" w:themeColor="text1"/>
        </w:rPr>
        <w:t xml:space="preserve"> </w:t>
      </w:r>
      <w:r w:rsidR="003D451D" w:rsidRPr="00D8119D">
        <w:rPr>
          <w:color w:val="000000" w:themeColor="text1"/>
        </w:rPr>
        <w:t xml:space="preserve">piirkonna </w:t>
      </w:r>
      <w:r w:rsidRPr="00D8119D">
        <w:rPr>
          <w:color w:val="000000" w:themeColor="text1"/>
        </w:rPr>
        <w:t>kontaktisikuga.</w:t>
      </w:r>
    </w:p>
    <w:p w14:paraId="654AE05C" w14:textId="77777777" w:rsidR="00E364A4" w:rsidRPr="00D8119D" w:rsidRDefault="00E364A4" w:rsidP="00D8119D">
      <w:pPr>
        <w:pStyle w:val="Loendilik"/>
        <w:numPr>
          <w:ilvl w:val="1"/>
          <w:numId w:val="11"/>
        </w:numPr>
        <w:tabs>
          <w:tab w:val="left" w:pos="0"/>
        </w:tabs>
        <w:spacing w:after="120"/>
        <w:contextualSpacing w:val="0"/>
        <w:jc w:val="both"/>
        <w:rPr>
          <w:color w:val="000000" w:themeColor="text1"/>
        </w:rPr>
      </w:pPr>
      <w:r w:rsidRPr="00D8119D">
        <w:rPr>
          <w:color w:val="000000" w:themeColor="text1"/>
        </w:rPr>
        <w:t>Paigaldustööde teostamisel tuleb vältida pinnase- ja puude kahjustusi.</w:t>
      </w:r>
    </w:p>
    <w:p w14:paraId="048E15C6" w14:textId="77777777" w:rsidR="00E364A4" w:rsidRPr="00D8119D" w:rsidRDefault="00E364A4" w:rsidP="00D8119D">
      <w:pPr>
        <w:pStyle w:val="Loendilik"/>
        <w:numPr>
          <w:ilvl w:val="1"/>
          <w:numId w:val="11"/>
        </w:numPr>
        <w:tabs>
          <w:tab w:val="left" w:pos="0"/>
        </w:tabs>
        <w:spacing w:after="120"/>
        <w:contextualSpacing w:val="0"/>
        <w:jc w:val="both"/>
        <w:rPr>
          <w:color w:val="000000" w:themeColor="text1"/>
        </w:rPr>
      </w:pPr>
      <w:r w:rsidRPr="00D8119D">
        <w:rPr>
          <w:color w:val="000000" w:themeColor="text1"/>
        </w:rPr>
        <w:t>Töö teostamisel tuleb täita kõiki ohutusjuhiseid.</w:t>
      </w:r>
    </w:p>
    <w:p w14:paraId="59E5F311" w14:textId="63C3F0FC" w:rsidR="00E364A4" w:rsidRDefault="00E364A4" w:rsidP="00D8119D">
      <w:pPr>
        <w:pStyle w:val="Loendilik"/>
        <w:numPr>
          <w:ilvl w:val="1"/>
          <w:numId w:val="11"/>
        </w:numPr>
        <w:tabs>
          <w:tab w:val="left" w:pos="0"/>
        </w:tabs>
        <w:spacing w:after="120"/>
        <w:contextualSpacing w:val="0"/>
        <w:jc w:val="both"/>
      </w:pPr>
      <w:r w:rsidRPr="00D8119D">
        <w:rPr>
          <w:color w:val="000000" w:themeColor="text1"/>
        </w:rPr>
        <w:t xml:space="preserve">Juhul, kui projektdokumentatsioonist ei tulene teisiti, tuleb väikevormide valmistamiseks kasutada kuiva (immutamiseks kõlbliku niiskusesisaldusega) männipuitu, mida </w:t>
      </w:r>
      <w:r>
        <w:t xml:space="preserve">töödelda 2x loodussõbraliku puidukaitsevahendiga (tõrvaõli või sarnane). Puidukaitsevahendi värvitoon kooskõlastatakse </w:t>
      </w:r>
      <w:r w:rsidR="00A35F10">
        <w:t xml:space="preserve">piirkonna kontaktisikuga </w:t>
      </w:r>
      <w:r>
        <w:t>enne puidu töötlemist.</w:t>
      </w:r>
    </w:p>
    <w:p w14:paraId="65AABE79" w14:textId="260B5D2B" w:rsidR="00E364A4" w:rsidRPr="005871DA" w:rsidRDefault="005871DA" w:rsidP="00D8119D">
      <w:pPr>
        <w:pStyle w:val="Loendilik"/>
        <w:numPr>
          <w:ilvl w:val="1"/>
          <w:numId w:val="11"/>
        </w:numPr>
        <w:tabs>
          <w:tab w:val="left" w:pos="0"/>
        </w:tabs>
        <w:spacing w:after="120"/>
        <w:contextualSpacing w:val="0"/>
        <w:jc w:val="both"/>
      </w:pPr>
      <w:r w:rsidRPr="005871DA">
        <w:t>H</w:t>
      </w:r>
      <w:r w:rsidR="00EE1963" w:rsidRPr="005871DA">
        <w:t xml:space="preserve">innad peavad sisaldama </w:t>
      </w:r>
      <w:r w:rsidR="00E364A4" w:rsidRPr="005871DA">
        <w:t>kauba valmistamist, kauba, seadmete ja tööjõu transporti objektidele ning paigalduse ja kohapealse viimistlemise maksumust.</w:t>
      </w:r>
      <w:r w:rsidR="00EE1963" w:rsidRPr="005871DA">
        <w:t xml:space="preserve"> </w:t>
      </w:r>
      <w:r w:rsidR="00E364A4" w:rsidRPr="005871DA">
        <w:t>Tööde hulka kuulub ka asendatavate vanade elementide likvideerimine ja utiliseerimine.</w:t>
      </w:r>
    </w:p>
    <w:p w14:paraId="625A05FE" w14:textId="77777777" w:rsidR="00E364A4" w:rsidRDefault="00E364A4" w:rsidP="00D8119D">
      <w:pPr>
        <w:pStyle w:val="Loendilik"/>
        <w:numPr>
          <w:ilvl w:val="1"/>
          <w:numId w:val="11"/>
        </w:numPr>
        <w:tabs>
          <w:tab w:val="left" w:pos="0"/>
        </w:tabs>
        <w:spacing w:after="120"/>
        <w:contextualSpacing w:val="0"/>
        <w:jc w:val="both"/>
      </w:pPr>
      <w:r>
        <w:t>Pakkuja arvestab iseseisvalt välja materjalide mahud vastavalt tehnilisele kirjeldusele ja tööjoonistele.</w:t>
      </w:r>
    </w:p>
    <w:p w14:paraId="219F9096" w14:textId="77777777" w:rsidR="00C07BCD" w:rsidRDefault="00E364A4" w:rsidP="00D8119D">
      <w:pPr>
        <w:pStyle w:val="Loendilik"/>
        <w:numPr>
          <w:ilvl w:val="1"/>
          <w:numId w:val="11"/>
        </w:numPr>
        <w:tabs>
          <w:tab w:val="left" w:pos="0"/>
        </w:tabs>
        <w:spacing w:after="120"/>
        <w:contextualSpacing w:val="0"/>
        <w:jc w:val="both"/>
      </w:pPr>
      <w:r>
        <w:t>Toodetele ja tööle nõutav miinimumgarantii on kestvusega 2 aastat.</w:t>
      </w:r>
    </w:p>
    <w:p w14:paraId="7F96E79A" w14:textId="072B426A" w:rsidR="00C07BCD" w:rsidRDefault="00C07BCD" w:rsidP="00D8119D">
      <w:pPr>
        <w:pStyle w:val="Loendilik"/>
        <w:numPr>
          <w:ilvl w:val="1"/>
          <w:numId w:val="11"/>
        </w:numPr>
        <w:tabs>
          <w:tab w:val="left" w:pos="0"/>
        </w:tabs>
        <w:spacing w:after="12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58D37D3D" w14:textId="2FB3AA24" w:rsidR="008A52F7" w:rsidRDefault="00C07BCD" w:rsidP="001350F2">
      <w:pPr>
        <w:pStyle w:val="Loendilik"/>
        <w:tabs>
          <w:tab w:val="left" w:pos="0"/>
        </w:tabs>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7ABE52" w14:textId="77777777" w:rsidR="008A52F7" w:rsidRPr="0036721B" w:rsidRDefault="008A52F7" w:rsidP="00047018">
      <w:pPr>
        <w:pStyle w:val="Loendilik"/>
        <w:tabs>
          <w:tab w:val="left" w:pos="0"/>
        </w:tabs>
        <w:ind w:left="0"/>
        <w:contextualSpacing w:val="0"/>
        <w:jc w:val="both"/>
      </w:pPr>
    </w:p>
    <w:p w14:paraId="497849E1" w14:textId="77777777" w:rsidR="00863AA2" w:rsidRDefault="00863AA2" w:rsidP="00B44F90">
      <w:pPr>
        <w:pStyle w:val="Pealkiri2"/>
        <w:numPr>
          <w:ilvl w:val="0"/>
          <w:numId w:val="11"/>
        </w:numPr>
        <w:spacing w:before="0" w:after="0"/>
      </w:pPr>
      <w:r w:rsidRPr="0036721B">
        <w:t>Pakkumuse hinna ja eseme väljendamise viis ja  hindamiskriteeriumid</w:t>
      </w:r>
    </w:p>
    <w:p w14:paraId="26B71BE6" w14:textId="77777777" w:rsidR="00047018" w:rsidRPr="00047018" w:rsidRDefault="00047018" w:rsidP="00047018"/>
    <w:p w14:paraId="27242C12" w14:textId="6AAF09F4" w:rsidR="009F7C84" w:rsidRPr="001A789D" w:rsidRDefault="00340254" w:rsidP="009F7C84">
      <w:pPr>
        <w:pStyle w:val="Loendilik"/>
        <w:numPr>
          <w:ilvl w:val="1"/>
          <w:numId w:val="11"/>
        </w:numPr>
        <w:contextualSpacing w:val="0"/>
        <w:jc w:val="both"/>
        <w:rPr>
          <w:color w:val="000000" w:themeColor="text1"/>
        </w:rPr>
      </w:pPr>
      <w:r w:rsidRPr="001A789D">
        <w:rPr>
          <w:color w:val="000000" w:themeColor="text1"/>
        </w:rPr>
        <w:t xml:space="preserve">Pakkuja esitab </w:t>
      </w:r>
      <w:r w:rsidR="005871DA" w:rsidRPr="001A789D">
        <w:rPr>
          <w:color w:val="000000" w:themeColor="text1"/>
        </w:rPr>
        <w:t xml:space="preserve">eRHR </w:t>
      </w:r>
      <w:r w:rsidRPr="001A789D">
        <w:rPr>
          <w:color w:val="000000" w:themeColor="text1"/>
        </w:rPr>
        <w:t xml:space="preserve">süsteemis </w:t>
      </w:r>
      <w:r w:rsidR="001B41FC" w:rsidRPr="001A789D">
        <w:rPr>
          <w:color w:val="000000" w:themeColor="text1"/>
        </w:rPr>
        <w:t>täidetava</w:t>
      </w:r>
      <w:r w:rsidR="00560244" w:rsidRPr="001A789D">
        <w:rPr>
          <w:color w:val="000000" w:themeColor="text1"/>
        </w:rPr>
        <w:t xml:space="preserve"> </w:t>
      </w:r>
      <w:r w:rsidRPr="001A789D">
        <w:rPr>
          <w:color w:val="000000" w:themeColor="text1"/>
        </w:rPr>
        <w:t>pakkumuse maksumuse</w:t>
      </w:r>
      <w:r w:rsidR="009F7C84" w:rsidRPr="001A789D">
        <w:rPr>
          <w:color w:val="000000" w:themeColor="text1"/>
        </w:rPr>
        <w:t xml:space="preserve"> vormi</w:t>
      </w:r>
      <w:r w:rsidR="00D87573" w:rsidRPr="001A789D">
        <w:rPr>
          <w:color w:val="000000" w:themeColor="text1"/>
        </w:rPr>
        <w:t xml:space="preserve"> hankeosade kaupa.</w:t>
      </w:r>
    </w:p>
    <w:p w14:paraId="2F2F5220" w14:textId="2935CE09" w:rsidR="009F7C84" w:rsidRPr="001A789D" w:rsidRDefault="009F7C84" w:rsidP="009F7C84">
      <w:pPr>
        <w:pStyle w:val="Loendilik"/>
        <w:numPr>
          <w:ilvl w:val="1"/>
          <w:numId w:val="11"/>
        </w:numPr>
        <w:jc w:val="both"/>
        <w:rPr>
          <w:color w:val="000000" w:themeColor="text1"/>
        </w:rPr>
      </w:pPr>
      <w:r w:rsidRPr="001A789D">
        <w:rPr>
          <w:color w:val="000000" w:themeColor="text1"/>
        </w:rPr>
        <w:t xml:space="preserve">Pakkuja esitab eRHR süsteemis pakkumuse maksumuse vormil „Hindamiskriteeriumid ja hinnatavad näitajad“ toodud struktuuri kohaselt igale reale 1 (ühe) ühiku maksumuse.  </w:t>
      </w:r>
    </w:p>
    <w:p w14:paraId="3933E951" w14:textId="2F24858D" w:rsidR="00337F37" w:rsidRPr="001A789D" w:rsidRDefault="00B81500" w:rsidP="006E4D26">
      <w:pPr>
        <w:pStyle w:val="Loendilik"/>
        <w:numPr>
          <w:ilvl w:val="1"/>
          <w:numId w:val="11"/>
        </w:numPr>
        <w:contextualSpacing w:val="0"/>
        <w:jc w:val="both"/>
        <w:rPr>
          <w:color w:val="000000" w:themeColor="text1"/>
        </w:rPr>
      </w:pPr>
      <w:r w:rsidRPr="001A789D">
        <w:rPr>
          <w:color w:val="000000" w:themeColor="text1"/>
        </w:rPr>
        <w:t>Pakkuja pakub igale reale</w:t>
      </w:r>
      <w:r w:rsidR="006E4D26" w:rsidRPr="001A789D">
        <w:rPr>
          <w:color w:val="000000" w:themeColor="text1"/>
        </w:rPr>
        <w:t>:</w:t>
      </w:r>
    </w:p>
    <w:p w14:paraId="5294B6EE" w14:textId="397DD4A5"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 xml:space="preserve">Infoalus 350x500mm (kataloog 1) </w:t>
      </w:r>
      <w:r w:rsidRPr="001A789D">
        <w:rPr>
          <w:bCs/>
          <w:iCs/>
          <w:color w:val="000000" w:themeColor="text1"/>
        </w:rPr>
        <w:t>– osakaal 1%;</w:t>
      </w:r>
    </w:p>
    <w:p w14:paraId="2B53A246" w14:textId="402E1633"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Infotahvel 1000x1000mm (kataloog 1)</w:t>
      </w:r>
      <w:r w:rsidRPr="001A789D">
        <w:rPr>
          <w:bCs/>
          <w:iCs/>
          <w:color w:val="000000" w:themeColor="text1"/>
        </w:rPr>
        <w:t xml:space="preserve"> – osakaal 1%;</w:t>
      </w:r>
    </w:p>
    <w:p w14:paraId="30A37152" w14:textId="513357A3"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Infotahvel 1000x2000mm (kataloog 1)</w:t>
      </w:r>
      <w:r w:rsidRPr="001A789D">
        <w:rPr>
          <w:bCs/>
          <w:iCs/>
          <w:color w:val="000000" w:themeColor="text1"/>
        </w:rPr>
        <w:t xml:space="preserve"> – osakaal </w:t>
      </w:r>
      <w:r w:rsidR="00BE64D7" w:rsidRPr="001A789D">
        <w:rPr>
          <w:bCs/>
          <w:iCs/>
          <w:color w:val="000000" w:themeColor="text1"/>
        </w:rPr>
        <w:t>1</w:t>
      </w:r>
      <w:r w:rsidRPr="001A789D">
        <w:rPr>
          <w:bCs/>
          <w:iCs/>
          <w:color w:val="000000" w:themeColor="text1"/>
        </w:rPr>
        <w:t>%;</w:t>
      </w:r>
    </w:p>
    <w:p w14:paraId="32016530" w14:textId="325B21E6"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Parkla piire (variant 1, kataloog 1)</w:t>
      </w:r>
      <w:r w:rsidRPr="001A789D">
        <w:rPr>
          <w:bCs/>
          <w:iCs/>
          <w:color w:val="000000" w:themeColor="text1"/>
        </w:rPr>
        <w:t xml:space="preserve"> – osakaal 1%;</w:t>
      </w:r>
    </w:p>
    <w:p w14:paraId="2B843B94" w14:textId="7282C481"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Parkla piire (variant 2, kataloog 1)</w:t>
      </w:r>
      <w:r w:rsidRPr="001A789D">
        <w:rPr>
          <w:bCs/>
          <w:iCs/>
          <w:color w:val="000000" w:themeColor="text1"/>
        </w:rPr>
        <w:t xml:space="preserve"> – osakaal 1%;</w:t>
      </w:r>
    </w:p>
    <w:p w14:paraId="12615DCE" w14:textId="6965A6EA"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Puude varjualune 1,0</w:t>
      </w:r>
      <w:r w:rsidR="00BE64D7" w:rsidRPr="001A789D">
        <w:rPr>
          <w:color w:val="000000" w:themeColor="text1"/>
        </w:rPr>
        <w:t xml:space="preserve"> </w:t>
      </w:r>
      <w:r w:rsidRPr="001A789D">
        <w:rPr>
          <w:color w:val="000000" w:themeColor="text1"/>
        </w:rPr>
        <w:t>m</w:t>
      </w:r>
      <w:r w:rsidR="00BE64D7" w:rsidRPr="001A789D">
        <w:rPr>
          <w:color w:val="000000" w:themeColor="text1"/>
        </w:rPr>
        <w:t>3</w:t>
      </w:r>
      <w:r w:rsidRPr="001A789D">
        <w:rPr>
          <w:color w:val="000000" w:themeColor="text1"/>
        </w:rPr>
        <w:t xml:space="preserve"> (kataloog 1)</w:t>
      </w:r>
      <w:r w:rsidRPr="001A789D">
        <w:rPr>
          <w:bCs/>
          <w:iCs/>
          <w:color w:val="000000" w:themeColor="text1"/>
        </w:rPr>
        <w:t xml:space="preserve"> – osakaal 1%;</w:t>
      </w:r>
    </w:p>
    <w:p w14:paraId="0885C733" w14:textId="55B1DFBD"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Puukuur/Variant 1-kooritud ümarpuidust d=140...150mm (kataloog 1)</w:t>
      </w:r>
      <w:r w:rsidRPr="001A789D">
        <w:rPr>
          <w:bCs/>
          <w:iCs/>
          <w:color w:val="000000" w:themeColor="text1"/>
        </w:rPr>
        <w:t xml:space="preserve"> – osakaal </w:t>
      </w:r>
      <w:r w:rsidR="00BE64D7" w:rsidRPr="001A789D">
        <w:rPr>
          <w:bCs/>
          <w:iCs/>
          <w:color w:val="000000" w:themeColor="text1"/>
        </w:rPr>
        <w:t>2</w:t>
      </w:r>
      <w:r w:rsidRPr="001A789D">
        <w:rPr>
          <w:bCs/>
          <w:iCs/>
          <w:color w:val="000000" w:themeColor="text1"/>
        </w:rPr>
        <w:t>%;</w:t>
      </w:r>
    </w:p>
    <w:p w14:paraId="7CC496C1" w14:textId="642C598A"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Puude varjualune 2,0m3 (kataloog 1)</w:t>
      </w:r>
      <w:r w:rsidRPr="001A789D">
        <w:rPr>
          <w:bCs/>
          <w:iCs/>
          <w:color w:val="000000" w:themeColor="text1"/>
        </w:rPr>
        <w:t xml:space="preserve"> – osakaal 1%;</w:t>
      </w:r>
    </w:p>
    <w:p w14:paraId="627A790F" w14:textId="2163C65B"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Puukuur (Variant 2 – 2-poolt servatud palgist 100x140mm) (kataloog 1)</w:t>
      </w:r>
      <w:r w:rsidRPr="001A789D">
        <w:rPr>
          <w:bCs/>
          <w:iCs/>
          <w:color w:val="000000" w:themeColor="text1"/>
        </w:rPr>
        <w:t xml:space="preserve"> – osakaal </w:t>
      </w:r>
      <w:r w:rsidR="009F7C84" w:rsidRPr="001A789D">
        <w:rPr>
          <w:bCs/>
          <w:iCs/>
          <w:color w:val="000000" w:themeColor="text1"/>
        </w:rPr>
        <w:t>2</w:t>
      </w:r>
      <w:r w:rsidRPr="001A789D">
        <w:rPr>
          <w:bCs/>
          <w:iCs/>
          <w:color w:val="000000" w:themeColor="text1"/>
        </w:rPr>
        <w:t>%;</w:t>
      </w:r>
    </w:p>
    <w:p w14:paraId="18AEF653" w14:textId="468EF323"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Prügikast 150L (kataloog 1)</w:t>
      </w:r>
      <w:r w:rsidRPr="001A789D">
        <w:rPr>
          <w:bCs/>
          <w:iCs/>
          <w:color w:val="000000" w:themeColor="text1"/>
        </w:rPr>
        <w:t xml:space="preserve"> – osakaal 1%;</w:t>
      </w:r>
    </w:p>
    <w:p w14:paraId="329429D3" w14:textId="5CF07E3F"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1-kohaline kuivkäimla Variant 1 – Ekolet Happy Loo (kataloog 1)</w:t>
      </w:r>
      <w:r w:rsidRPr="001A789D">
        <w:rPr>
          <w:bCs/>
          <w:iCs/>
          <w:color w:val="000000" w:themeColor="text1"/>
        </w:rPr>
        <w:t xml:space="preserve"> – osakaal </w:t>
      </w:r>
      <w:r w:rsidR="009F7C84" w:rsidRPr="001A789D">
        <w:rPr>
          <w:bCs/>
          <w:iCs/>
          <w:color w:val="000000" w:themeColor="text1"/>
        </w:rPr>
        <w:t>2</w:t>
      </w:r>
      <w:r w:rsidRPr="001A789D">
        <w:rPr>
          <w:bCs/>
          <w:iCs/>
          <w:color w:val="000000" w:themeColor="text1"/>
        </w:rPr>
        <w:t>%;</w:t>
      </w:r>
    </w:p>
    <w:p w14:paraId="1AA4D92C" w14:textId="26E7CD8F"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1-kohaline kuivkäimla Variant 2 – BIOLAN Populett 200 (kataloog 1)</w:t>
      </w:r>
      <w:r w:rsidRPr="001A789D">
        <w:rPr>
          <w:bCs/>
          <w:iCs/>
          <w:color w:val="000000" w:themeColor="text1"/>
        </w:rPr>
        <w:t xml:space="preserve"> – osakaal </w:t>
      </w:r>
      <w:r w:rsidR="009F7C84" w:rsidRPr="001A789D">
        <w:rPr>
          <w:bCs/>
          <w:iCs/>
          <w:color w:val="000000" w:themeColor="text1"/>
        </w:rPr>
        <w:t>2</w:t>
      </w:r>
      <w:r w:rsidRPr="001A789D">
        <w:rPr>
          <w:bCs/>
          <w:iCs/>
          <w:color w:val="000000" w:themeColor="text1"/>
        </w:rPr>
        <w:t>%;</w:t>
      </w:r>
    </w:p>
    <w:p w14:paraId="03702849" w14:textId="3714BC0E"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Laud-pink katusega (Kauksi pinklaud katusega, erijoonis)</w:t>
      </w:r>
      <w:r w:rsidRPr="001A789D">
        <w:rPr>
          <w:bCs/>
          <w:iCs/>
          <w:color w:val="000000" w:themeColor="text1"/>
        </w:rPr>
        <w:t xml:space="preserve"> – osakaal </w:t>
      </w:r>
      <w:r w:rsidR="009F7C84" w:rsidRPr="001A789D">
        <w:rPr>
          <w:bCs/>
          <w:iCs/>
          <w:color w:val="000000" w:themeColor="text1"/>
        </w:rPr>
        <w:t>2</w:t>
      </w:r>
      <w:r w:rsidRPr="001A789D">
        <w:rPr>
          <w:bCs/>
          <w:iCs/>
          <w:color w:val="000000" w:themeColor="text1"/>
        </w:rPr>
        <w:t>%;</w:t>
      </w:r>
    </w:p>
    <w:p w14:paraId="68B5E7E1" w14:textId="7B4FAFD6"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Laud-pink (OÜ Märja, erijoonis)</w:t>
      </w:r>
      <w:r w:rsidRPr="001A789D">
        <w:rPr>
          <w:bCs/>
          <w:iCs/>
          <w:color w:val="000000" w:themeColor="text1"/>
        </w:rPr>
        <w:t xml:space="preserve"> – osakaal 1%;</w:t>
      </w:r>
    </w:p>
    <w:p w14:paraId="2362BFEF" w14:textId="4C030D0D"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Poolpalgist pink (kataloog 1)</w:t>
      </w:r>
      <w:r w:rsidRPr="001A789D">
        <w:rPr>
          <w:bCs/>
          <w:iCs/>
          <w:color w:val="000000" w:themeColor="text1"/>
        </w:rPr>
        <w:t xml:space="preserve"> – osakaal 1%;</w:t>
      </w:r>
    </w:p>
    <w:p w14:paraId="1DB70DC0" w14:textId="25A71BC3"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Poolpalgist pink (kataloog 2)</w:t>
      </w:r>
      <w:r w:rsidRPr="001A789D">
        <w:rPr>
          <w:bCs/>
          <w:iCs/>
          <w:color w:val="000000" w:themeColor="text1"/>
        </w:rPr>
        <w:t xml:space="preserve"> – osakaal 1%;</w:t>
      </w:r>
    </w:p>
    <w:p w14:paraId="18ACF4A9" w14:textId="40FD7E6C"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Laud-pink (kataloog 1)</w:t>
      </w:r>
      <w:r w:rsidRPr="001A789D">
        <w:rPr>
          <w:bCs/>
          <w:iCs/>
          <w:color w:val="000000" w:themeColor="text1"/>
        </w:rPr>
        <w:t xml:space="preserve"> – osakaal </w:t>
      </w:r>
      <w:r w:rsidR="009F7C84" w:rsidRPr="001A789D">
        <w:rPr>
          <w:bCs/>
          <w:iCs/>
          <w:color w:val="000000" w:themeColor="text1"/>
        </w:rPr>
        <w:t>2</w:t>
      </w:r>
      <w:r w:rsidRPr="001A789D">
        <w:rPr>
          <w:bCs/>
          <w:iCs/>
          <w:color w:val="000000" w:themeColor="text1"/>
        </w:rPr>
        <w:t>%;</w:t>
      </w:r>
    </w:p>
    <w:p w14:paraId="678D74B7" w14:textId="207761BE"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Laud-pink (Variant 1, kataloog 2)</w:t>
      </w:r>
      <w:r w:rsidRPr="001A789D">
        <w:rPr>
          <w:bCs/>
          <w:iCs/>
          <w:color w:val="000000" w:themeColor="text1"/>
        </w:rPr>
        <w:t xml:space="preserve"> – osakaal </w:t>
      </w:r>
      <w:r w:rsidR="009F7C84" w:rsidRPr="001A789D">
        <w:rPr>
          <w:bCs/>
          <w:iCs/>
          <w:color w:val="000000" w:themeColor="text1"/>
        </w:rPr>
        <w:t>2</w:t>
      </w:r>
      <w:r w:rsidRPr="001A789D">
        <w:rPr>
          <w:bCs/>
          <w:iCs/>
          <w:color w:val="000000" w:themeColor="text1"/>
        </w:rPr>
        <w:t>%;</w:t>
      </w:r>
    </w:p>
    <w:p w14:paraId="61AEC1AF" w14:textId="58833A24"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Laud-pink (variant 2, kataloog 2)</w:t>
      </w:r>
      <w:r w:rsidRPr="001A789D">
        <w:rPr>
          <w:bCs/>
          <w:iCs/>
          <w:color w:val="000000" w:themeColor="text1"/>
        </w:rPr>
        <w:t xml:space="preserve"> – osakaal </w:t>
      </w:r>
      <w:r w:rsidR="009F7C84" w:rsidRPr="001A789D">
        <w:rPr>
          <w:bCs/>
          <w:iCs/>
          <w:color w:val="000000" w:themeColor="text1"/>
        </w:rPr>
        <w:t>2</w:t>
      </w:r>
      <w:r w:rsidRPr="001A789D">
        <w:rPr>
          <w:bCs/>
          <w:iCs/>
          <w:color w:val="000000" w:themeColor="text1"/>
        </w:rPr>
        <w:t>%;</w:t>
      </w:r>
    </w:p>
    <w:p w14:paraId="6AA7FDD1" w14:textId="7D806CB9"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Laud-pink varjualusega (kataloog 1)</w:t>
      </w:r>
      <w:r w:rsidRPr="001A789D">
        <w:rPr>
          <w:bCs/>
          <w:iCs/>
          <w:color w:val="000000" w:themeColor="text1"/>
        </w:rPr>
        <w:t xml:space="preserve"> – osakaal </w:t>
      </w:r>
      <w:r w:rsidR="009F7C84" w:rsidRPr="001A789D">
        <w:rPr>
          <w:bCs/>
          <w:iCs/>
          <w:color w:val="000000" w:themeColor="text1"/>
        </w:rPr>
        <w:t>2</w:t>
      </w:r>
      <w:r w:rsidRPr="001A789D">
        <w:rPr>
          <w:bCs/>
          <w:iCs/>
          <w:color w:val="000000" w:themeColor="text1"/>
        </w:rPr>
        <w:t>%;</w:t>
      </w:r>
    </w:p>
    <w:p w14:paraId="22DAF7C9" w14:textId="126D2C82"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Laud-pink varjualusega (variant 1, kataloog 2)</w:t>
      </w:r>
      <w:r w:rsidRPr="001A789D">
        <w:rPr>
          <w:bCs/>
          <w:iCs/>
          <w:color w:val="000000" w:themeColor="text1"/>
        </w:rPr>
        <w:t xml:space="preserve"> – osakaal </w:t>
      </w:r>
      <w:r w:rsidR="00BE64D7" w:rsidRPr="001A789D">
        <w:rPr>
          <w:bCs/>
          <w:iCs/>
          <w:color w:val="000000" w:themeColor="text1"/>
        </w:rPr>
        <w:t>4</w:t>
      </w:r>
      <w:r w:rsidRPr="001A789D">
        <w:rPr>
          <w:bCs/>
          <w:iCs/>
          <w:color w:val="000000" w:themeColor="text1"/>
        </w:rPr>
        <w:t>%;</w:t>
      </w:r>
    </w:p>
    <w:p w14:paraId="1C951626" w14:textId="477B0080"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Laud-pink varjualusega (variant 2, kataloog 2)</w:t>
      </w:r>
      <w:r w:rsidRPr="001A789D">
        <w:rPr>
          <w:bCs/>
          <w:iCs/>
          <w:color w:val="000000" w:themeColor="text1"/>
        </w:rPr>
        <w:t xml:space="preserve"> – osakaal </w:t>
      </w:r>
      <w:r w:rsidR="009F7C84" w:rsidRPr="001A789D">
        <w:rPr>
          <w:bCs/>
          <w:iCs/>
          <w:color w:val="000000" w:themeColor="text1"/>
        </w:rPr>
        <w:t>4</w:t>
      </w:r>
      <w:r w:rsidRPr="001A789D">
        <w:rPr>
          <w:bCs/>
          <w:iCs/>
          <w:color w:val="000000" w:themeColor="text1"/>
        </w:rPr>
        <w:t>%;</w:t>
      </w:r>
    </w:p>
    <w:p w14:paraId="6E0B614F" w14:textId="577BA926"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1-kohaline kuivkäimla (maa-aluse kogumismahutiga, kataloog 2)</w:t>
      </w:r>
      <w:r w:rsidR="009F7C84" w:rsidRPr="001A789D">
        <w:rPr>
          <w:bCs/>
          <w:iCs/>
          <w:color w:val="000000" w:themeColor="text1"/>
        </w:rPr>
        <w:t xml:space="preserve"> – osakaal 3%;</w:t>
      </w:r>
    </w:p>
    <w:p w14:paraId="542572B4" w14:textId="5D22F18D"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1-kohaline kuivkäimla koos lõkkepuudekohaga/ erijoonis- maa-aluse kogumismahutiga</w:t>
      </w:r>
      <w:r w:rsidR="009F7C84" w:rsidRPr="001A789D">
        <w:rPr>
          <w:bCs/>
          <w:iCs/>
          <w:color w:val="000000" w:themeColor="text1"/>
        </w:rPr>
        <w:t>– osakaal 3%;</w:t>
      </w:r>
    </w:p>
    <w:p w14:paraId="57C50D5E" w14:textId="47386F8E"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1-kohaline kuivkäimla/ variant 3 – BIOLAN ECO 200 (kataloog 1)</w:t>
      </w:r>
      <w:r w:rsidR="009F7C84" w:rsidRPr="001A789D">
        <w:rPr>
          <w:bCs/>
          <w:iCs/>
          <w:color w:val="000000" w:themeColor="text1"/>
        </w:rPr>
        <w:t xml:space="preserve"> – osakaal 4%;</w:t>
      </w:r>
    </w:p>
    <w:p w14:paraId="46923F06" w14:textId="4FA77433"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1-kohaline kuivkäimla/ variant 4 - maa-aluse kogumismahutiga (kataloog 1)</w:t>
      </w:r>
      <w:r w:rsidR="00BE64D7" w:rsidRPr="001A789D">
        <w:rPr>
          <w:bCs/>
          <w:iCs/>
          <w:color w:val="000000" w:themeColor="text1"/>
        </w:rPr>
        <w:t xml:space="preserve"> – osakaal 4</w:t>
      </w:r>
      <w:r w:rsidR="009F7C84" w:rsidRPr="001A789D">
        <w:rPr>
          <w:bCs/>
          <w:iCs/>
          <w:color w:val="000000" w:themeColor="text1"/>
        </w:rPr>
        <w:t>%;</w:t>
      </w:r>
    </w:p>
    <w:p w14:paraId="670E43F6" w14:textId="0A0E0BF7"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2-kohaline kuivkäimla/ variant 1 – maa-aluse kogumismahutiga 2m3 (kataloog 1)</w:t>
      </w:r>
      <w:r w:rsidR="009F7C84" w:rsidRPr="001A789D">
        <w:rPr>
          <w:bCs/>
          <w:iCs/>
          <w:color w:val="000000" w:themeColor="text1"/>
        </w:rPr>
        <w:t xml:space="preserve"> – osakaal 4%;</w:t>
      </w:r>
    </w:p>
    <w:p w14:paraId="4F27BA66" w14:textId="6289F30C"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2-kohaline kuivkäimla (maa-alune kogumismahuti 2 m3, kataloog 2)</w:t>
      </w:r>
      <w:r w:rsidR="009F7C84" w:rsidRPr="001A789D">
        <w:rPr>
          <w:bCs/>
          <w:iCs/>
          <w:color w:val="000000" w:themeColor="text1"/>
        </w:rPr>
        <w:t xml:space="preserve"> – osakaal 4%;</w:t>
      </w:r>
    </w:p>
    <w:p w14:paraId="399AFDA2" w14:textId="7E61910A"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2-kohaline kuivkäimla (maa-alune kogumismahuti 3 m3, kataloog 2)</w:t>
      </w:r>
      <w:r w:rsidR="009F7C84" w:rsidRPr="001A789D">
        <w:rPr>
          <w:bCs/>
          <w:iCs/>
          <w:color w:val="000000" w:themeColor="text1"/>
        </w:rPr>
        <w:t xml:space="preserve"> – osakaal 4%;</w:t>
      </w:r>
    </w:p>
    <w:p w14:paraId="388CDC9D" w14:textId="0115F40E"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Rookatusega Laud-pink (Lääne-Eesti, erijoonis)</w:t>
      </w:r>
      <w:r w:rsidR="009F7C84" w:rsidRPr="001A789D">
        <w:rPr>
          <w:bCs/>
          <w:iCs/>
          <w:color w:val="000000" w:themeColor="text1"/>
        </w:rPr>
        <w:t xml:space="preserve"> – osakaal 1%;</w:t>
      </w:r>
    </w:p>
    <w:p w14:paraId="3EF6B5A5" w14:textId="616D1F90"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1-kohaline kuivkäimla/erijoonis- maa-aluse kogumismahutiga (erijoonis)</w:t>
      </w:r>
      <w:r w:rsidR="009F7C84" w:rsidRPr="001A789D">
        <w:rPr>
          <w:bCs/>
          <w:iCs/>
          <w:color w:val="000000" w:themeColor="text1"/>
        </w:rPr>
        <w:t xml:space="preserve"> – osakaal 4%;</w:t>
      </w:r>
    </w:p>
    <w:p w14:paraId="617B81B0" w14:textId="25CA78A5"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Laud-pink varjualusega (erijoonis Matsiranna)</w:t>
      </w:r>
      <w:r w:rsidR="009F7C84" w:rsidRPr="001A789D">
        <w:rPr>
          <w:bCs/>
          <w:iCs/>
          <w:color w:val="000000" w:themeColor="text1"/>
        </w:rPr>
        <w:t xml:space="preserve"> – osakaal 3%;</w:t>
      </w:r>
    </w:p>
    <w:p w14:paraId="358773CB" w14:textId="30511614"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Pink (1, erijoonis)</w:t>
      </w:r>
      <w:r w:rsidR="009F7C84" w:rsidRPr="001A789D">
        <w:rPr>
          <w:bCs/>
          <w:iCs/>
          <w:color w:val="000000" w:themeColor="text1"/>
        </w:rPr>
        <w:t xml:space="preserve"> – osakaal 3%;</w:t>
      </w:r>
    </w:p>
    <w:p w14:paraId="14BED293" w14:textId="7E104867"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Pink (2, erijoonis)</w:t>
      </w:r>
      <w:r w:rsidR="009F7C84" w:rsidRPr="001A789D">
        <w:rPr>
          <w:bCs/>
          <w:iCs/>
          <w:color w:val="000000" w:themeColor="text1"/>
        </w:rPr>
        <w:t xml:space="preserve"> – osakaal 3%;</w:t>
      </w:r>
    </w:p>
    <w:p w14:paraId="0CC73490" w14:textId="4C08AF5D"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Laavu (kataloog 1)</w:t>
      </w:r>
      <w:r w:rsidR="009F7C84" w:rsidRPr="001A789D">
        <w:rPr>
          <w:bCs/>
          <w:iCs/>
          <w:color w:val="000000" w:themeColor="text1"/>
        </w:rPr>
        <w:t xml:space="preserve"> – osakaal 3%;</w:t>
      </w:r>
    </w:p>
    <w:p w14:paraId="05D2C190" w14:textId="5E35593A"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Väikevormide paigaldamine (töö)</w:t>
      </w:r>
      <w:r w:rsidR="001A789D" w:rsidRPr="001A789D">
        <w:rPr>
          <w:bCs/>
          <w:iCs/>
          <w:color w:val="000000" w:themeColor="text1"/>
        </w:rPr>
        <w:t xml:space="preserve"> – osakaal 10</w:t>
      </w:r>
      <w:r w:rsidR="009F7C84" w:rsidRPr="001A789D">
        <w:rPr>
          <w:bCs/>
          <w:iCs/>
          <w:color w:val="000000" w:themeColor="text1"/>
        </w:rPr>
        <w:t>%;</w:t>
      </w:r>
    </w:p>
    <w:p w14:paraId="6E51AC1B" w14:textId="64433523" w:rsidR="006E4D26" w:rsidRPr="001A789D" w:rsidRDefault="006E4D26" w:rsidP="006E4D26">
      <w:pPr>
        <w:pStyle w:val="Loendilik"/>
        <w:numPr>
          <w:ilvl w:val="2"/>
          <w:numId w:val="11"/>
        </w:numPr>
        <w:contextualSpacing w:val="0"/>
        <w:jc w:val="both"/>
        <w:rPr>
          <w:color w:val="000000" w:themeColor="text1"/>
        </w:rPr>
      </w:pPr>
      <w:r w:rsidRPr="001A789D">
        <w:rPr>
          <w:color w:val="000000" w:themeColor="text1"/>
        </w:rPr>
        <w:t>Transport</w:t>
      </w:r>
      <w:r w:rsidR="001A789D" w:rsidRPr="001A789D">
        <w:rPr>
          <w:bCs/>
          <w:iCs/>
          <w:color w:val="000000" w:themeColor="text1"/>
        </w:rPr>
        <w:t>– osakaal 10</w:t>
      </w:r>
      <w:r w:rsidR="009F7C84" w:rsidRPr="001A789D">
        <w:rPr>
          <w:bCs/>
          <w:iCs/>
          <w:color w:val="000000" w:themeColor="text1"/>
        </w:rPr>
        <w:t>%.</w:t>
      </w:r>
    </w:p>
    <w:p w14:paraId="63AAA959" w14:textId="77777777" w:rsidR="009F7C84" w:rsidRPr="00BA2BDD" w:rsidRDefault="009F7C84" w:rsidP="009F7C84">
      <w:pPr>
        <w:pStyle w:val="Loendilik"/>
        <w:ind w:left="0"/>
        <w:contextualSpacing w:val="0"/>
        <w:jc w:val="both"/>
      </w:pPr>
    </w:p>
    <w:p w14:paraId="38FF04BA" w14:textId="4AA60532" w:rsidR="001B41FC" w:rsidRPr="00302E7D" w:rsidRDefault="00B81500" w:rsidP="00076525">
      <w:pPr>
        <w:pStyle w:val="Loendilik"/>
        <w:numPr>
          <w:ilvl w:val="1"/>
          <w:numId w:val="11"/>
        </w:numPr>
        <w:spacing w:after="120"/>
        <w:contextualSpacing w:val="0"/>
        <w:jc w:val="both"/>
        <w:rPr>
          <w:color w:val="000000" w:themeColor="text1"/>
        </w:rPr>
      </w:pPr>
      <w:r w:rsidRPr="00302E7D">
        <w:rPr>
          <w:color w:val="000000" w:themeColor="text1"/>
        </w:rPr>
        <w:t xml:space="preserve">RHR süsteem arvutab punkte automaatselt järgnevalt: </w:t>
      </w:r>
      <w:r w:rsidR="00337F37" w:rsidRPr="00302E7D">
        <w:rPr>
          <w:color w:val="000000" w:themeColor="text1"/>
        </w:rPr>
        <w:t xml:space="preserve">madalaima väärtusega pakkumus saab maksimaalse arvu punkte. Teised pakkumused saavad punkte proportsionaalselt vähem ja arvutatakse valemiga: "madalaim väärtus" / "pakkumuse väärtus" * "osakaal".  </w:t>
      </w:r>
    </w:p>
    <w:p w14:paraId="73B15B07" w14:textId="7816F38A" w:rsidR="00994C43" w:rsidRPr="00302E7D" w:rsidRDefault="00D87573" w:rsidP="00D87573">
      <w:pPr>
        <w:pStyle w:val="Loendilik"/>
        <w:numPr>
          <w:ilvl w:val="1"/>
          <w:numId w:val="11"/>
        </w:numPr>
        <w:spacing w:after="120"/>
        <w:contextualSpacing w:val="0"/>
        <w:jc w:val="both"/>
        <w:rPr>
          <w:color w:val="000000" w:themeColor="text1"/>
        </w:rPr>
      </w:pPr>
      <w:r w:rsidRPr="00302E7D">
        <w:rPr>
          <w:color w:val="000000" w:themeColor="text1"/>
        </w:rPr>
        <w:t xml:space="preserve">Hankija hindab pakkumusi hankeosade kaupa. </w:t>
      </w:r>
      <w:r w:rsidR="00994C43" w:rsidRPr="00302E7D">
        <w:rPr>
          <w:color w:val="000000" w:themeColor="text1"/>
        </w:rPr>
        <w:t xml:space="preserve">Lähtuvalt </w:t>
      </w:r>
      <w:r w:rsidR="005871DA" w:rsidRPr="00302E7D">
        <w:rPr>
          <w:color w:val="000000" w:themeColor="text1"/>
        </w:rPr>
        <w:t xml:space="preserve">eRHR </w:t>
      </w:r>
      <w:r w:rsidR="00994C43" w:rsidRPr="00302E7D">
        <w:rPr>
          <w:color w:val="000000" w:themeColor="text1"/>
        </w:rPr>
        <w:t>süsteemis kirjeldatud pakkumuste hindamise kriteeriumitest järjestatakse pakkumused pingeritta, alustades enim punk</w:t>
      </w:r>
      <w:r w:rsidR="00A35F10" w:rsidRPr="00302E7D">
        <w:rPr>
          <w:color w:val="000000" w:themeColor="text1"/>
        </w:rPr>
        <w:t xml:space="preserve">te saanud pakkumusest. Edukaks </w:t>
      </w:r>
      <w:r w:rsidR="00994C43" w:rsidRPr="00302E7D">
        <w:rPr>
          <w:color w:val="000000" w:themeColor="text1"/>
        </w:rPr>
        <w:t>tunnistatakse pakkuja, kelle pakkumus sai hindamisel kokku enim punkte.</w:t>
      </w:r>
    </w:p>
    <w:p w14:paraId="5645A916" w14:textId="0F240DC3" w:rsidR="00337F37" w:rsidRPr="00302E7D" w:rsidRDefault="00337F37" w:rsidP="00076525">
      <w:pPr>
        <w:pStyle w:val="Loendilik"/>
        <w:numPr>
          <w:ilvl w:val="1"/>
          <w:numId w:val="11"/>
        </w:numPr>
        <w:spacing w:after="120"/>
        <w:contextualSpacing w:val="0"/>
        <w:jc w:val="both"/>
        <w:rPr>
          <w:color w:val="000000" w:themeColor="text1"/>
        </w:rPr>
      </w:pPr>
      <w:r w:rsidRPr="00302E7D">
        <w:rPr>
          <w:color w:val="000000" w:themeColor="text1"/>
        </w:rPr>
        <w:t>Kui</w:t>
      </w:r>
      <w:r w:rsidR="00D87573" w:rsidRPr="00302E7D">
        <w:rPr>
          <w:color w:val="000000" w:themeColor="text1"/>
        </w:rPr>
        <w:t xml:space="preserve"> </w:t>
      </w:r>
      <w:r w:rsidR="00D8119D" w:rsidRPr="00302E7D">
        <w:rPr>
          <w:color w:val="000000" w:themeColor="text1"/>
        </w:rPr>
        <w:t xml:space="preserve">ühes </w:t>
      </w:r>
      <w:r w:rsidR="00D87573" w:rsidRPr="00302E7D">
        <w:rPr>
          <w:color w:val="000000" w:themeColor="text1"/>
        </w:rPr>
        <w:t>hankeosas</w:t>
      </w:r>
      <w:r w:rsidR="00D8119D" w:rsidRPr="00302E7D">
        <w:rPr>
          <w:color w:val="000000" w:themeColor="text1"/>
        </w:rPr>
        <w:t xml:space="preserve"> </w:t>
      </w:r>
      <w:r w:rsidR="00D87573" w:rsidRPr="00302E7D">
        <w:rPr>
          <w:color w:val="000000" w:themeColor="text1"/>
        </w:rPr>
        <w:t xml:space="preserve"> </w:t>
      </w:r>
      <w:r w:rsidRPr="00302E7D">
        <w:rPr>
          <w:color w:val="000000" w:themeColor="text1"/>
        </w:rPr>
        <w:t xml:space="preserve">võrdselt </w:t>
      </w:r>
      <w:r w:rsidR="0078213F" w:rsidRPr="00302E7D">
        <w:rPr>
          <w:color w:val="000000" w:themeColor="text1"/>
        </w:rPr>
        <w:t xml:space="preserve">punktide arvuga </w:t>
      </w:r>
      <w:r w:rsidRPr="00302E7D">
        <w:rPr>
          <w:color w:val="000000" w:themeColor="text1"/>
        </w:rPr>
        <w:t>pakkumuse on esitanud rohkem kui üks pakkuja,  siis heidetakse pakkujate vahel liisku. Liisuheitmise koht ja ajakava teatatakse eelnevalt pakkujatele ning nende volitatud esindajatel on õigus viibida liisuheitmise juures.</w:t>
      </w:r>
    </w:p>
    <w:p w14:paraId="6FB12983" w14:textId="77777777" w:rsidR="001B57CA" w:rsidRPr="00302E7D" w:rsidRDefault="001B57CA" w:rsidP="002D3E5E">
      <w:pPr>
        <w:pStyle w:val="Loendilik"/>
        <w:numPr>
          <w:ilvl w:val="1"/>
          <w:numId w:val="11"/>
        </w:numPr>
        <w:jc w:val="both"/>
        <w:rPr>
          <w:color w:val="000000" w:themeColor="text1"/>
        </w:rPr>
      </w:pPr>
      <w:r w:rsidRPr="00302E7D">
        <w:rPr>
          <w:color w:val="000000" w:themeColor="text1"/>
        </w:rPr>
        <w:t>Ühegi kuluartikli maksumust, mis on 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49749326" w14:textId="42661D4A" w:rsidR="00722B63" w:rsidRDefault="00722B63" w:rsidP="00722B63">
      <w:pPr>
        <w:pStyle w:val="Loendilik"/>
        <w:ind w:left="0"/>
        <w:contextualSpacing w:val="0"/>
        <w:jc w:val="both"/>
      </w:pPr>
    </w:p>
    <w:p w14:paraId="183DF0B3" w14:textId="77777777" w:rsidR="00722B63" w:rsidRDefault="00722B63" w:rsidP="00CC1373">
      <w:pPr>
        <w:pStyle w:val="Pealkiri2"/>
        <w:numPr>
          <w:ilvl w:val="0"/>
          <w:numId w:val="11"/>
        </w:numPr>
        <w:spacing w:before="0" w:after="0"/>
      </w:pPr>
      <w:r w:rsidRPr="009B33E1">
        <w:t xml:space="preserve">Hankija sätestatud tingimused </w:t>
      </w:r>
      <w:r w:rsidR="001B41FC">
        <w:t>raam</w:t>
      </w:r>
      <w:r w:rsidR="00CC1373" w:rsidRPr="00CC1373">
        <w:t>lepingu</w:t>
      </w:r>
      <w:r w:rsidR="00CC1373">
        <w:t xml:space="preserve"> </w:t>
      </w:r>
      <w:r w:rsidRPr="009B33E1">
        <w:t>sõlmimisel</w:t>
      </w:r>
    </w:p>
    <w:p w14:paraId="1B47B8FA" w14:textId="77777777" w:rsidR="00722B63" w:rsidRPr="00722B63" w:rsidRDefault="00722B63" w:rsidP="00722B63"/>
    <w:p w14:paraId="29902045" w14:textId="2F99D060" w:rsidR="00EE1963" w:rsidRPr="00302E7D" w:rsidRDefault="001B41FC" w:rsidP="00335037">
      <w:pPr>
        <w:pStyle w:val="Loendilik"/>
        <w:numPr>
          <w:ilvl w:val="1"/>
          <w:numId w:val="11"/>
        </w:numPr>
        <w:spacing w:after="120"/>
        <w:contextualSpacing w:val="0"/>
        <w:jc w:val="both"/>
        <w:rPr>
          <w:color w:val="000000" w:themeColor="text1"/>
          <w:lang w:eastAsia="en-US"/>
        </w:rPr>
      </w:pPr>
      <w:r w:rsidRPr="00302E7D">
        <w:rPr>
          <w:color w:val="000000" w:themeColor="text1"/>
          <w:lang w:eastAsia="en-US"/>
        </w:rPr>
        <w:t xml:space="preserve">Hanke läbiviimise tulemusena sõlmitakse </w:t>
      </w:r>
      <w:r w:rsidR="00D87573" w:rsidRPr="00302E7D">
        <w:rPr>
          <w:color w:val="000000" w:themeColor="text1"/>
          <w:lang w:eastAsia="en-US"/>
        </w:rPr>
        <w:t xml:space="preserve">igas hankeosas </w:t>
      </w:r>
      <w:r w:rsidRPr="00302E7D">
        <w:rPr>
          <w:color w:val="000000" w:themeColor="text1"/>
          <w:lang w:eastAsia="en-US"/>
        </w:rPr>
        <w:t>ühe eduka pakkujaga raamleping kehtivusega 24 kuud alates lepingu sõlmimisest</w:t>
      </w:r>
      <w:r w:rsidR="00D87573" w:rsidRPr="00302E7D">
        <w:rPr>
          <w:color w:val="000000" w:themeColor="text1"/>
          <w:lang w:eastAsia="en-US"/>
        </w:rPr>
        <w:t xml:space="preserve"> </w:t>
      </w:r>
      <w:r w:rsidR="00D87573" w:rsidRPr="00302E7D">
        <w:rPr>
          <w:color w:val="000000" w:themeColor="text1"/>
        </w:rPr>
        <w:t>või kuni lepingu rahalise mahu täitumiseni, sõltuvalt sellest kumb tingimus saabub varem.</w:t>
      </w:r>
    </w:p>
    <w:p w14:paraId="1932BB8E" w14:textId="77777777" w:rsidR="001B41FC" w:rsidRPr="00302E7D" w:rsidRDefault="001B41FC" w:rsidP="00335037">
      <w:pPr>
        <w:pStyle w:val="Loendilik"/>
        <w:numPr>
          <w:ilvl w:val="1"/>
          <w:numId w:val="11"/>
        </w:numPr>
        <w:spacing w:after="120"/>
        <w:contextualSpacing w:val="0"/>
        <w:jc w:val="both"/>
        <w:rPr>
          <w:color w:val="000000" w:themeColor="text1"/>
          <w:lang w:eastAsia="en-US"/>
        </w:rPr>
      </w:pPr>
      <w:r w:rsidRPr="00302E7D">
        <w:rPr>
          <w:color w:val="000000" w:themeColor="text1"/>
          <w:lang w:eastAsia="en-US"/>
        </w:rPr>
        <w:t>Raamleping valmistatakse sõlmimiseks ette mõistliku aja jooksul. Edukas pakkuja peab olema valmis allkirjastama raamlepingu viivitamatult pärast hankija poolt allkirjastatud raamlepingu esitamist ja selle hankijale allkirjastatult viivitamatult tagasi saatma.</w:t>
      </w:r>
    </w:p>
    <w:p w14:paraId="6AA34657" w14:textId="35BC6CCC" w:rsidR="00EE1963" w:rsidRPr="00A6289F" w:rsidRDefault="00D87573" w:rsidP="00D87573">
      <w:pPr>
        <w:pStyle w:val="Loendilik"/>
        <w:numPr>
          <w:ilvl w:val="1"/>
          <w:numId w:val="11"/>
        </w:numPr>
        <w:rPr>
          <w:lang w:eastAsia="en-US"/>
        </w:rPr>
      </w:pPr>
      <w:r w:rsidRPr="00D87573">
        <w:rPr>
          <w:lang w:eastAsia="en-US"/>
        </w:rPr>
        <w:t xml:space="preserve">Raamlepingu alusel tellitava teenuste kogus kõikides hankeosades sõltub hankija reaalsest vajadusest ja olemasolevatest võimalustest. </w:t>
      </w:r>
      <w:r w:rsidR="001B41FC" w:rsidRPr="00E6326D">
        <w:rPr>
          <w:lang w:eastAsia="en-US"/>
        </w:rPr>
        <w:t xml:space="preserve"> Hankija jätab endale õiguse </w:t>
      </w:r>
      <w:r w:rsidR="001B41FC">
        <w:rPr>
          <w:lang w:eastAsia="en-US"/>
        </w:rPr>
        <w:t xml:space="preserve">osta sarnast kaupa </w:t>
      </w:r>
      <w:r w:rsidR="001B41FC" w:rsidRPr="00E6326D">
        <w:rPr>
          <w:lang w:eastAsia="en-US"/>
        </w:rPr>
        <w:t>väljaspool raamlepingut vastavalt vajadusele.</w:t>
      </w:r>
      <w:r w:rsidR="001B41FC">
        <w:rPr>
          <w:lang w:eastAsia="en-US"/>
        </w:rPr>
        <w:t xml:space="preserve"> </w:t>
      </w:r>
    </w:p>
    <w:p w14:paraId="14CE6FF1" w14:textId="77777777"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281EC801" w:rsidR="00863AA2" w:rsidRPr="0036721B" w:rsidRDefault="00863AA2" w:rsidP="00B44F90">
      <w:pPr>
        <w:tabs>
          <w:tab w:val="left" w:pos="567"/>
        </w:tabs>
        <w:jc w:val="both"/>
      </w:pPr>
      <w:r w:rsidRPr="0036721B">
        <w:t>Hankija jätab endale võimaluse tag</w:t>
      </w:r>
      <w:r w:rsidR="00D87573">
        <w:t>asi lükata kõik pakkumused, kui, s.h. osade kaupa:</w:t>
      </w:r>
    </w:p>
    <w:p w14:paraId="408011F3" w14:textId="7ECC69FE"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D87573">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lõpuleviimise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77777777" w:rsidR="00863AA2" w:rsidRDefault="00863AA2" w:rsidP="00B44F90">
      <w:pPr>
        <w:pStyle w:val="Loendilik"/>
        <w:numPr>
          <w:ilvl w:val="1"/>
          <w:numId w:val="11"/>
        </w:numPr>
        <w:tabs>
          <w:tab w:val="left" w:pos="0"/>
        </w:tabs>
        <w:contextualSpacing w:val="0"/>
        <w:jc w:val="both"/>
      </w:pPr>
      <w:r w:rsidRPr="00E610F9">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0AEAF577" w14:textId="77777777" w:rsidR="00047018" w:rsidRPr="00E610F9" w:rsidRDefault="00047018" w:rsidP="00047018">
      <w:pPr>
        <w:pStyle w:val="Loendilik"/>
        <w:tabs>
          <w:tab w:val="left" w:pos="709"/>
        </w:tabs>
        <w:suppressAutoHyphens w:val="0"/>
        <w:autoSpaceDE w:val="0"/>
        <w:autoSpaceDN w:val="0"/>
        <w:adjustRightInd w:val="0"/>
        <w:ind w:left="0"/>
        <w:contextualSpacing w:val="0"/>
        <w:jc w:val="both"/>
      </w:pPr>
    </w:p>
    <w:p w14:paraId="72D784D5" w14:textId="77777777" w:rsidR="00863AA2" w:rsidRDefault="00863AA2" w:rsidP="00B44F90">
      <w:pPr>
        <w:pStyle w:val="Pealkiri2"/>
        <w:numPr>
          <w:ilvl w:val="0"/>
          <w:numId w:val="11"/>
        </w:numPr>
        <w:spacing w:before="0" w:after="0"/>
        <w:jc w:val="both"/>
      </w:pPr>
      <w:r w:rsidRPr="00E610F9">
        <w:t>Hankedokumentide loetelu</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1DC9D6D4" w14:textId="2A775E98" w:rsidR="004D0386" w:rsidRPr="00B3161A" w:rsidRDefault="004D0386" w:rsidP="00CC1373">
      <w:pPr>
        <w:pStyle w:val="Loendilik"/>
        <w:numPr>
          <w:ilvl w:val="1"/>
          <w:numId w:val="11"/>
        </w:numPr>
        <w:suppressAutoHyphens w:val="0"/>
        <w:contextualSpacing w:val="0"/>
        <w:jc w:val="both"/>
      </w:pPr>
      <w:r w:rsidRPr="00B3161A">
        <w:t xml:space="preserve">Lisa 1 – </w:t>
      </w:r>
      <w:r w:rsidR="00D87573" w:rsidRPr="00B3161A">
        <w:t>Raamlepingu</w:t>
      </w:r>
      <w:r w:rsidR="00CC1373" w:rsidRPr="00B3161A">
        <w:t xml:space="preserve"> </w:t>
      </w:r>
      <w:r w:rsidRPr="00B3161A">
        <w:t xml:space="preserve">vorm </w:t>
      </w:r>
    </w:p>
    <w:p w14:paraId="6343495F" w14:textId="77777777" w:rsidR="004D0386" w:rsidRPr="00B3161A" w:rsidRDefault="004D0386" w:rsidP="004D0386">
      <w:pPr>
        <w:pStyle w:val="Loendilik"/>
        <w:numPr>
          <w:ilvl w:val="1"/>
          <w:numId w:val="11"/>
        </w:numPr>
        <w:suppressAutoHyphens w:val="0"/>
        <w:ind w:hanging="6"/>
        <w:contextualSpacing w:val="0"/>
        <w:jc w:val="both"/>
      </w:pPr>
      <w:r w:rsidRPr="00B3161A">
        <w:t>Lisa 2 – Pakkumuses kasutatavad vormid</w:t>
      </w:r>
    </w:p>
    <w:p w14:paraId="2762B0DB" w14:textId="3514AE6A" w:rsidR="00EE1963" w:rsidRPr="00B3161A" w:rsidRDefault="00EE1963" w:rsidP="003D451D">
      <w:pPr>
        <w:pStyle w:val="Loendilik"/>
        <w:numPr>
          <w:ilvl w:val="1"/>
          <w:numId w:val="11"/>
        </w:numPr>
        <w:suppressAutoHyphens w:val="0"/>
        <w:contextualSpacing w:val="0"/>
        <w:jc w:val="both"/>
      </w:pPr>
      <w:r w:rsidRPr="00B3161A">
        <w:t xml:space="preserve">Lisa 3 – </w:t>
      </w:r>
      <w:r w:rsidR="003D451D" w:rsidRPr="00B3161A">
        <w:t>Teadaolevad väikevormide soetamise kogused</w:t>
      </w:r>
      <w:r w:rsidR="00B3161A" w:rsidRPr="00B3161A">
        <w:t xml:space="preserve"> 2023. aastal</w:t>
      </w:r>
    </w:p>
    <w:p w14:paraId="10279841" w14:textId="000D71C9" w:rsidR="00EE1963" w:rsidRPr="00B3161A" w:rsidRDefault="00EE1963" w:rsidP="004D0386">
      <w:pPr>
        <w:pStyle w:val="Loendilik"/>
        <w:numPr>
          <w:ilvl w:val="1"/>
          <w:numId w:val="11"/>
        </w:numPr>
        <w:suppressAutoHyphens w:val="0"/>
        <w:ind w:hanging="6"/>
        <w:contextualSpacing w:val="0"/>
        <w:jc w:val="both"/>
      </w:pPr>
      <w:r w:rsidRPr="00B3161A">
        <w:t xml:space="preserve">Lisa 4 </w:t>
      </w:r>
      <w:r w:rsidR="00B21551" w:rsidRPr="00B3161A">
        <w:t>–</w:t>
      </w:r>
      <w:r w:rsidRPr="00B3161A">
        <w:t xml:space="preserve"> Projektdokumentatsioon</w:t>
      </w:r>
      <w:r w:rsidR="00A35F10" w:rsidRPr="00B3161A">
        <w:t xml:space="preserve"> (tööjoonised)</w:t>
      </w:r>
    </w:p>
    <w:p w14:paraId="5A08AF28" w14:textId="77777777" w:rsidR="00B21551" w:rsidRPr="00A17D6B" w:rsidRDefault="00B21551" w:rsidP="001B41FC">
      <w:pPr>
        <w:pStyle w:val="Loendilik"/>
        <w:suppressAutoHyphens w:val="0"/>
        <w:ind w:left="0"/>
        <w:contextualSpacing w:val="0"/>
        <w:jc w:val="both"/>
        <w:rPr>
          <w:highlight w:val="yellow"/>
        </w:rPr>
      </w:pPr>
    </w:p>
    <w:sectPr w:rsidR="00B21551" w:rsidRPr="00A17D6B"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299D6" w14:textId="77777777" w:rsidR="00994C43" w:rsidRDefault="00994C43">
      <w:r>
        <w:separator/>
      </w:r>
    </w:p>
  </w:endnote>
  <w:endnote w:type="continuationSeparator" w:id="0">
    <w:p w14:paraId="4E8B5B24" w14:textId="77777777" w:rsidR="00994C43" w:rsidRDefault="00994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595DE" w14:textId="77777777" w:rsidR="00994C43" w:rsidRDefault="00994C43">
      <w:r>
        <w:separator/>
      </w:r>
    </w:p>
  </w:footnote>
  <w:footnote w:type="continuationSeparator" w:id="0">
    <w:p w14:paraId="74DF61A7" w14:textId="77777777" w:rsidR="00994C43" w:rsidRDefault="00994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3CC43" w14:textId="77777777" w:rsidR="005871DA" w:rsidRDefault="00994C43" w:rsidP="006F3BFB">
    <w:pPr>
      <w:pStyle w:val="Pis"/>
      <w:rPr>
        <w:b/>
      </w:rPr>
    </w:pPr>
    <w:r w:rsidRPr="00367112">
      <w:rPr>
        <w:b/>
      </w:rPr>
      <w:t>HANKEDOKUMENDID</w:t>
    </w:r>
  </w:p>
  <w:p w14:paraId="798D2607" w14:textId="682A180C" w:rsidR="008A52F7" w:rsidRDefault="005871DA" w:rsidP="006F3BFB">
    <w:pPr>
      <w:pStyle w:val="Pis"/>
      <w:rPr>
        <w:i/>
      </w:rPr>
    </w:pPr>
    <w:r w:rsidRPr="005871DA">
      <w:rPr>
        <w:i/>
      </w:rPr>
      <w:t>RMK külastusalade väikevormid</w:t>
    </w:r>
    <w:r w:rsidR="00483B56">
      <w:rPr>
        <w:i/>
      </w:rPr>
      <w:t xml:space="preserve"> </w:t>
    </w:r>
  </w:p>
  <w:p w14:paraId="16F7750F" w14:textId="6417D340" w:rsidR="00994C43" w:rsidRDefault="00994C43" w:rsidP="006F3BFB">
    <w:pPr>
      <w:pStyle w:val="Pis"/>
      <w:rPr>
        <w:rStyle w:val="Lehekljenumber"/>
      </w:rPr>
    </w:pPr>
    <w:r>
      <w:rPr>
        <w:b/>
      </w:rPr>
      <w:tab/>
    </w:r>
    <w:r>
      <w:rPr>
        <w:rStyle w:val="Lehekljenumber"/>
      </w:rPr>
      <w:fldChar w:fldCharType="begin"/>
    </w:r>
    <w:r>
      <w:rPr>
        <w:rStyle w:val="Lehekljenumber"/>
      </w:rPr>
      <w:instrText xml:space="preserve"> PAGE </w:instrText>
    </w:r>
    <w:r>
      <w:rPr>
        <w:rStyle w:val="Lehekljenumber"/>
      </w:rPr>
      <w:fldChar w:fldCharType="separate"/>
    </w:r>
    <w:r w:rsidR="001350F2">
      <w:rPr>
        <w:rStyle w:val="Lehekljenumber"/>
        <w:noProof/>
      </w:rPr>
      <w:t>1</w:t>
    </w:r>
    <w:r>
      <w:rPr>
        <w:rStyle w:val="Lehekljenumber"/>
      </w:rPr>
      <w:fldChar w:fldCharType="end"/>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5"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7"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2"/>
  </w:num>
  <w:num w:numId="6">
    <w:abstractNumId w:val="1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3"/>
  </w:num>
  <w:num w:numId="11">
    <w:abstractNumId w:val="25"/>
  </w:num>
  <w:num w:numId="12">
    <w:abstractNumId w:val="12"/>
  </w:num>
  <w:num w:numId="13">
    <w:abstractNumId w:val="29"/>
  </w:num>
  <w:num w:numId="14">
    <w:abstractNumId w:val="10"/>
  </w:num>
  <w:num w:numId="15">
    <w:abstractNumId w:val="13"/>
  </w:num>
  <w:num w:numId="16">
    <w:abstractNumId w:val="17"/>
  </w:num>
  <w:num w:numId="17">
    <w:abstractNumId w:val="9"/>
  </w:num>
  <w:num w:numId="18">
    <w:abstractNumId w:val="30"/>
  </w:num>
  <w:num w:numId="19">
    <w:abstractNumId w:val="26"/>
  </w:num>
  <w:num w:numId="20">
    <w:abstractNumId w:val="18"/>
  </w:num>
  <w:num w:numId="21">
    <w:abstractNumId w:val="31"/>
  </w:num>
  <w:num w:numId="22">
    <w:abstractNumId w:val="8"/>
  </w:num>
  <w:num w:numId="23">
    <w:abstractNumId w:val="16"/>
  </w:num>
  <w:num w:numId="24">
    <w:abstractNumId w:val="27"/>
  </w:num>
  <w:num w:numId="25">
    <w:abstractNumId w:val="5"/>
  </w:num>
  <w:num w:numId="26">
    <w:abstractNumId w:val="11"/>
  </w:num>
  <w:num w:numId="27">
    <w:abstractNumId w:val="21"/>
  </w:num>
  <w:num w:numId="28">
    <w:abstractNumId w:val="0"/>
  </w:num>
  <w:num w:numId="29">
    <w:abstractNumId w:val="28"/>
  </w:num>
  <w:num w:numId="30">
    <w:abstractNumId w:val="20"/>
  </w:num>
  <w:num w:numId="31">
    <w:abstractNumId w:val="24"/>
  </w:num>
  <w:num w:numId="32">
    <w:abstractNumId w:val="19"/>
  </w:num>
  <w:num w:numId="33">
    <w:abstractNumId w:val="14"/>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830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52D4"/>
    <w:rsid w:val="00006931"/>
    <w:rsid w:val="00006D42"/>
    <w:rsid w:val="00007AB8"/>
    <w:rsid w:val="0001380F"/>
    <w:rsid w:val="00014692"/>
    <w:rsid w:val="00020036"/>
    <w:rsid w:val="000201FB"/>
    <w:rsid w:val="00021ECD"/>
    <w:rsid w:val="0002309A"/>
    <w:rsid w:val="000235DD"/>
    <w:rsid w:val="00026570"/>
    <w:rsid w:val="000267BE"/>
    <w:rsid w:val="00030462"/>
    <w:rsid w:val="00031AEE"/>
    <w:rsid w:val="0003480A"/>
    <w:rsid w:val="000433B2"/>
    <w:rsid w:val="00047018"/>
    <w:rsid w:val="000515ED"/>
    <w:rsid w:val="00052F89"/>
    <w:rsid w:val="00054889"/>
    <w:rsid w:val="00062263"/>
    <w:rsid w:val="000622D5"/>
    <w:rsid w:val="0006246B"/>
    <w:rsid w:val="00063D5F"/>
    <w:rsid w:val="00073F05"/>
    <w:rsid w:val="000759F7"/>
    <w:rsid w:val="00076525"/>
    <w:rsid w:val="0007660E"/>
    <w:rsid w:val="00076751"/>
    <w:rsid w:val="00080B36"/>
    <w:rsid w:val="00081542"/>
    <w:rsid w:val="00081C19"/>
    <w:rsid w:val="00084E88"/>
    <w:rsid w:val="0008620D"/>
    <w:rsid w:val="00093641"/>
    <w:rsid w:val="00094D05"/>
    <w:rsid w:val="000A02BF"/>
    <w:rsid w:val="000A30FC"/>
    <w:rsid w:val="000A5F6F"/>
    <w:rsid w:val="000B02AD"/>
    <w:rsid w:val="000B1AAA"/>
    <w:rsid w:val="000B487D"/>
    <w:rsid w:val="000B7EFC"/>
    <w:rsid w:val="000D04A6"/>
    <w:rsid w:val="000D11A5"/>
    <w:rsid w:val="000D289F"/>
    <w:rsid w:val="000D2E25"/>
    <w:rsid w:val="000D3F81"/>
    <w:rsid w:val="000D4569"/>
    <w:rsid w:val="000D707D"/>
    <w:rsid w:val="000E0DFA"/>
    <w:rsid w:val="000F243D"/>
    <w:rsid w:val="000F529D"/>
    <w:rsid w:val="000F5CD6"/>
    <w:rsid w:val="000F5DA2"/>
    <w:rsid w:val="000F5DE4"/>
    <w:rsid w:val="00102072"/>
    <w:rsid w:val="00104C0B"/>
    <w:rsid w:val="001067C0"/>
    <w:rsid w:val="00110EC7"/>
    <w:rsid w:val="00115A53"/>
    <w:rsid w:val="001350F2"/>
    <w:rsid w:val="00136749"/>
    <w:rsid w:val="00136E22"/>
    <w:rsid w:val="001436BD"/>
    <w:rsid w:val="00143940"/>
    <w:rsid w:val="00143C15"/>
    <w:rsid w:val="001458F5"/>
    <w:rsid w:val="00152E5E"/>
    <w:rsid w:val="001565BA"/>
    <w:rsid w:val="00161FDF"/>
    <w:rsid w:val="001628D8"/>
    <w:rsid w:val="0016565F"/>
    <w:rsid w:val="00170C06"/>
    <w:rsid w:val="00173436"/>
    <w:rsid w:val="0017385A"/>
    <w:rsid w:val="00176BD6"/>
    <w:rsid w:val="001818F4"/>
    <w:rsid w:val="00183FAD"/>
    <w:rsid w:val="00185B31"/>
    <w:rsid w:val="001869D8"/>
    <w:rsid w:val="0018716B"/>
    <w:rsid w:val="00190933"/>
    <w:rsid w:val="0019373C"/>
    <w:rsid w:val="001A0288"/>
    <w:rsid w:val="001A0A5A"/>
    <w:rsid w:val="001A1E48"/>
    <w:rsid w:val="001A3F8B"/>
    <w:rsid w:val="001A789D"/>
    <w:rsid w:val="001B20FA"/>
    <w:rsid w:val="001B23DC"/>
    <w:rsid w:val="001B41FC"/>
    <w:rsid w:val="001B427A"/>
    <w:rsid w:val="001B57CA"/>
    <w:rsid w:val="001D0A1C"/>
    <w:rsid w:val="001E07C7"/>
    <w:rsid w:val="001E6424"/>
    <w:rsid w:val="001F0779"/>
    <w:rsid w:val="001F13FD"/>
    <w:rsid w:val="001F1E2A"/>
    <w:rsid w:val="001F2278"/>
    <w:rsid w:val="0020103B"/>
    <w:rsid w:val="00202BDE"/>
    <w:rsid w:val="002034F6"/>
    <w:rsid w:val="00203ED8"/>
    <w:rsid w:val="00207619"/>
    <w:rsid w:val="002079BA"/>
    <w:rsid w:val="002178C5"/>
    <w:rsid w:val="00227241"/>
    <w:rsid w:val="00227F72"/>
    <w:rsid w:val="00240C39"/>
    <w:rsid w:val="002412DD"/>
    <w:rsid w:val="00245158"/>
    <w:rsid w:val="002462C1"/>
    <w:rsid w:val="002535C0"/>
    <w:rsid w:val="00256F5C"/>
    <w:rsid w:val="002609FF"/>
    <w:rsid w:val="00260AEF"/>
    <w:rsid w:val="00262581"/>
    <w:rsid w:val="0026351E"/>
    <w:rsid w:val="0026585B"/>
    <w:rsid w:val="002670AD"/>
    <w:rsid w:val="00281BAA"/>
    <w:rsid w:val="00282247"/>
    <w:rsid w:val="0028477B"/>
    <w:rsid w:val="00284968"/>
    <w:rsid w:val="0029058D"/>
    <w:rsid w:val="002914D1"/>
    <w:rsid w:val="00293F70"/>
    <w:rsid w:val="0029445B"/>
    <w:rsid w:val="00294D74"/>
    <w:rsid w:val="00295A25"/>
    <w:rsid w:val="00297B31"/>
    <w:rsid w:val="002A02D8"/>
    <w:rsid w:val="002A24CC"/>
    <w:rsid w:val="002A3AD8"/>
    <w:rsid w:val="002B3DF2"/>
    <w:rsid w:val="002B61B4"/>
    <w:rsid w:val="002C056B"/>
    <w:rsid w:val="002C1F33"/>
    <w:rsid w:val="002C1F62"/>
    <w:rsid w:val="002C2B26"/>
    <w:rsid w:val="002D00F1"/>
    <w:rsid w:val="002D24D1"/>
    <w:rsid w:val="002D3E5E"/>
    <w:rsid w:val="002D499F"/>
    <w:rsid w:val="002E52BF"/>
    <w:rsid w:val="002E5E52"/>
    <w:rsid w:val="002E797C"/>
    <w:rsid w:val="002F18D0"/>
    <w:rsid w:val="002F430A"/>
    <w:rsid w:val="00300A4C"/>
    <w:rsid w:val="00302885"/>
    <w:rsid w:val="00302E7D"/>
    <w:rsid w:val="0031251E"/>
    <w:rsid w:val="003125E5"/>
    <w:rsid w:val="00312BCA"/>
    <w:rsid w:val="0032172E"/>
    <w:rsid w:val="00331084"/>
    <w:rsid w:val="0033328E"/>
    <w:rsid w:val="00335037"/>
    <w:rsid w:val="003352AF"/>
    <w:rsid w:val="00337F37"/>
    <w:rsid w:val="00340254"/>
    <w:rsid w:val="00342AF9"/>
    <w:rsid w:val="003438FA"/>
    <w:rsid w:val="00353700"/>
    <w:rsid w:val="00356BFB"/>
    <w:rsid w:val="0036528A"/>
    <w:rsid w:val="00365B2D"/>
    <w:rsid w:val="00367112"/>
    <w:rsid w:val="0036721B"/>
    <w:rsid w:val="00367E06"/>
    <w:rsid w:val="003727BE"/>
    <w:rsid w:val="00374E5A"/>
    <w:rsid w:val="00377B5D"/>
    <w:rsid w:val="00377F22"/>
    <w:rsid w:val="00380A05"/>
    <w:rsid w:val="00381C64"/>
    <w:rsid w:val="003862FF"/>
    <w:rsid w:val="003868D1"/>
    <w:rsid w:val="0038726A"/>
    <w:rsid w:val="003877A6"/>
    <w:rsid w:val="00395D12"/>
    <w:rsid w:val="003A3874"/>
    <w:rsid w:val="003A4026"/>
    <w:rsid w:val="003A4304"/>
    <w:rsid w:val="003A698C"/>
    <w:rsid w:val="003C7206"/>
    <w:rsid w:val="003D166E"/>
    <w:rsid w:val="003D451D"/>
    <w:rsid w:val="003D7EA4"/>
    <w:rsid w:val="003E7BFE"/>
    <w:rsid w:val="003F2A8D"/>
    <w:rsid w:val="003F2FAC"/>
    <w:rsid w:val="003F33E9"/>
    <w:rsid w:val="003F55C2"/>
    <w:rsid w:val="003F6CC1"/>
    <w:rsid w:val="00400274"/>
    <w:rsid w:val="004015D1"/>
    <w:rsid w:val="00402E2B"/>
    <w:rsid w:val="00404BDB"/>
    <w:rsid w:val="00404D36"/>
    <w:rsid w:val="00406484"/>
    <w:rsid w:val="004138AD"/>
    <w:rsid w:val="00413E8C"/>
    <w:rsid w:val="00416258"/>
    <w:rsid w:val="00420599"/>
    <w:rsid w:val="004207F0"/>
    <w:rsid w:val="00421E2C"/>
    <w:rsid w:val="00422113"/>
    <w:rsid w:val="00422E01"/>
    <w:rsid w:val="00422F69"/>
    <w:rsid w:val="00431698"/>
    <w:rsid w:val="00437257"/>
    <w:rsid w:val="00440531"/>
    <w:rsid w:val="00450C47"/>
    <w:rsid w:val="00452A49"/>
    <w:rsid w:val="00453934"/>
    <w:rsid w:val="004577D5"/>
    <w:rsid w:val="00462918"/>
    <w:rsid w:val="00464944"/>
    <w:rsid w:val="0046536C"/>
    <w:rsid w:val="00467B82"/>
    <w:rsid w:val="00472D7B"/>
    <w:rsid w:val="00473069"/>
    <w:rsid w:val="004731A4"/>
    <w:rsid w:val="00476169"/>
    <w:rsid w:val="00480592"/>
    <w:rsid w:val="004812B1"/>
    <w:rsid w:val="00481758"/>
    <w:rsid w:val="00481BF0"/>
    <w:rsid w:val="00483B56"/>
    <w:rsid w:val="00483E05"/>
    <w:rsid w:val="0048609C"/>
    <w:rsid w:val="004877E0"/>
    <w:rsid w:val="00493FD5"/>
    <w:rsid w:val="00497F01"/>
    <w:rsid w:val="004A0548"/>
    <w:rsid w:val="004A14DA"/>
    <w:rsid w:val="004B2985"/>
    <w:rsid w:val="004B57C9"/>
    <w:rsid w:val="004B67BE"/>
    <w:rsid w:val="004B6C9D"/>
    <w:rsid w:val="004C067A"/>
    <w:rsid w:val="004C07C8"/>
    <w:rsid w:val="004C59E4"/>
    <w:rsid w:val="004D0386"/>
    <w:rsid w:val="004D4520"/>
    <w:rsid w:val="004D69BD"/>
    <w:rsid w:val="004E019D"/>
    <w:rsid w:val="004E3022"/>
    <w:rsid w:val="004E33A7"/>
    <w:rsid w:val="004F0CAC"/>
    <w:rsid w:val="004F1962"/>
    <w:rsid w:val="004F2852"/>
    <w:rsid w:val="00505D3F"/>
    <w:rsid w:val="00507389"/>
    <w:rsid w:val="00510809"/>
    <w:rsid w:val="00512A64"/>
    <w:rsid w:val="00515D93"/>
    <w:rsid w:val="0051675B"/>
    <w:rsid w:val="00526361"/>
    <w:rsid w:val="00535C61"/>
    <w:rsid w:val="005459D9"/>
    <w:rsid w:val="00547A6C"/>
    <w:rsid w:val="00560244"/>
    <w:rsid w:val="00560D55"/>
    <w:rsid w:val="005612CB"/>
    <w:rsid w:val="00563E7D"/>
    <w:rsid w:val="00565C11"/>
    <w:rsid w:val="005676D2"/>
    <w:rsid w:val="00567C2B"/>
    <w:rsid w:val="0057242D"/>
    <w:rsid w:val="005814E4"/>
    <w:rsid w:val="00586D5B"/>
    <w:rsid w:val="005871DA"/>
    <w:rsid w:val="0059227F"/>
    <w:rsid w:val="0059342A"/>
    <w:rsid w:val="00596833"/>
    <w:rsid w:val="00597B08"/>
    <w:rsid w:val="005A0190"/>
    <w:rsid w:val="005A22FA"/>
    <w:rsid w:val="005A4FB0"/>
    <w:rsid w:val="005B138C"/>
    <w:rsid w:val="005B16A4"/>
    <w:rsid w:val="005B2725"/>
    <w:rsid w:val="005B2B60"/>
    <w:rsid w:val="005B5A0F"/>
    <w:rsid w:val="005C007B"/>
    <w:rsid w:val="005C3A0A"/>
    <w:rsid w:val="005D10E3"/>
    <w:rsid w:val="005D38FD"/>
    <w:rsid w:val="005D49DE"/>
    <w:rsid w:val="005D5954"/>
    <w:rsid w:val="005E0947"/>
    <w:rsid w:val="005E1C2B"/>
    <w:rsid w:val="005E5B90"/>
    <w:rsid w:val="005E5E60"/>
    <w:rsid w:val="00610FAE"/>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D8A"/>
    <w:rsid w:val="00654664"/>
    <w:rsid w:val="00654DAD"/>
    <w:rsid w:val="00664E32"/>
    <w:rsid w:val="00665D57"/>
    <w:rsid w:val="00667C29"/>
    <w:rsid w:val="006805C8"/>
    <w:rsid w:val="00691CAF"/>
    <w:rsid w:val="00694D07"/>
    <w:rsid w:val="00696C71"/>
    <w:rsid w:val="00697647"/>
    <w:rsid w:val="006A1A25"/>
    <w:rsid w:val="006A1CF3"/>
    <w:rsid w:val="006A2E87"/>
    <w:rsid w:val="006A7BA6"/>
    <w:rsid w:val="006B7C74"/>
    <w:rsid w:val="006C0121"/>
    <w:rsid w:val="006C6073"/>
    <w:rsid w:val="006D3A86"/>
    <w:rsid w:val="006D6E8A"/>
    <w:rsid w:val="006E1125"/>
    <w:rsid w:val="006E4D26"/>
    <w:rsid w:val="006E60DB"/>
    <w:rsid w:val="006E77AA"/>
    <w:rsid w:val="006F2FE9"/>
    <w:rsid w:val="006F3A4C"/>
    <w:rsid w:val="006F3BFB"/>
    <w:rsid w:val="006F4FC6"/>
    <w:rsid w:val="00700CF1"/>
    <w:rsid w:val="00703E98"/>
    <w:rsid w:val="00711A21"/>
    <w:rsid w:val="00712733"/>
    <w:rsid w:val="00717738"/>
    <w:rsid w:val="00722B63"/>
    <w:rsid w:val="00722C04"/>
    <w:rsid w:val="007241AB"/>
    <w:rsid w:val="0072421D"/>
    <w:rsid w:val="00726ED5"/>
    <w:rsid w:val="007304A2"/>
    <w:rsid w:val="0073073C"/>
    <w:rsid w:val="00731F02"/>
    <w:rsid w:val="00740E16"/>
    <w:rsid w:val="00740FFF"/>
    <w:rsid w:val="0075462A"/>
    <w:rsid w:val="007549C9"/>
    <w:rsid w:val="00762649"/>
    <w:rsid w:val="0076310F"/>
    <w:rsid w:val="007654CD"/>
    <w:rsid w:val="00766070"/>
    <w:rsid w:val="0077177F"/>
    <w:rsid w:val="00771DC5"/>
    <w:rsid w:val="00773645"/>
    <w:rsid w:val="007754E7"/>
    <w:rsid w:val="00775DB5"/>
    <w:rsid w:val="00777F3E"/>
    <w:rsid w:val="0078213F"/>
    <w:rsid w:val="0078547F"/>
    <w:rsid w:val="0078641E"/>
    <w:rsid w:val="007867EB"/>
    <w:rsid w:val="007869E8"/>
    <w:rsid w:val="00796B30"/>
    <w:rsid w:val="007A2274"/>
    <w:rsid w:val="007A47FA"/>
    <w:rsid w:val="007C1626"/>
    <w:rsid w:val="007C6331"/>
    <w:rsid w:val="007C7222"/>
    <w:rsid w:val="007D312E"/>
    <w:rsid w:val="007E19A8"/>
    <w:rsid w:val="007E2862"/>
    <w:rsid w:val="007E3E7F"/>
    <w:rsid w:val="007E43F0"/>
    <w:rsid w:val="007E4B62"/>
    <w:rsid w:val="007E4C52"/>
    <w:rsid w:val="007E6B61"/>
    <w:rsid w:val="007E78DE"/>
    <w:rsid w:val="007E7DFE"/>
    <w:rsid w:val="007F3DEB"/>
    <w:rsid w:val="007F66BE"/>
    <w:rsid w:val="007F7718"/>
    <w:rsid w:val="007F7DE8"/>
    <w:rsid w:val="00800734"/>
    <w:rsid w:val="00800EEC"/>
    <w:rsid w:val="00803A64"/>
    <w:rsid w:val="00803CA8"/>
    <w:rsid w:val="008104B7"/>
    <w:rsid w:val="008110BC"/>
    <w:rsid w:val="00823B02"/>
    <w:rsid w:val="008240F9"/>
    <w:rsid w:val="00824CBB"/>
    <w:rsid w:val="00836FD3"/>
    <w:rsid w:val="00837512"/>
    <w:rsid w:val="00837C0D"/>
    <w:rsid w:val="00846AE8"/>
    <w:rsid w:val="008538B8"/>
    <w:rsid w:val="00854F82"/>
    <w:rsid w:val="00863AA2"/>
    <w:rsid w:val="008662B0"/>
    <w:rsid w:val="008751EA"/>
    <w:rsid w:val="00880296"/>
    <w:rsid w:val="0088196C"/>
    <w:rsid w:val="00884BE6"/>
    <w:rsid w:val="00887549"/>
    <w:rsid w:val="0088781C"/>
    <w:rsid w:val="008907BD"/>
    <w:rsid w:val="0089244B"/>
    <w:rsid w:val="00894860"/>
    <w:rsid w:val="00895BE0"/>
    <w:rsid w:val="008A17F9"/>
    <w:rsid w:val="008A52F7"/>
    <w:rsid w:val="008A62E1"/>
    <w:rsid w:val="008B13AB"/>
    <w:rsid w:val="008B43F6"/>
    <w:rsid w:val="008B5F5A"/>
    <w:rsid w:val="008B700C"/>
    <w:rsid w:val="008B7F66"/>
    <w:rsid w:val="008C3B15"/>
    <w:rsid w:val="008C52CA"/>
    <w:rsid w:val="008C624A"/>
    <w:rsid w:val="008C73E7"/>
    <w:rsid w:val="008D506D"/>
    <w:rsid w:val="008D5C3E"/>
    <w:rsid w:val="008E2639"/>
    <w:rsid w:val="008E7045"/>
    <w:rsid w:val="008F0BD2"/>
    <w:rsid w:val="008F5EFD"/>
    <w:rsid w:val="00905087"/>
    <w:rsid w:val="00906514"/>
    <w:rsid w:val="009078D7"/>
    <w:rsid w:val="009105E5"/>
    <w:rsid w:val="00916F2F"/>
    <w:rsid w:val="0092167E"/>
    <w:rsid w:val="009231E1"/>
    <w:rsid w:val="00923280"/>
    <w:rsid w:val="009249A1"/>
    <w:rsid w:val="0093049B"/>
    <w:rsid w:val="009334A6"/>
    <w:rsid w:val="00933642"/>
    <w:rsid w:val="00940B51"/>
    <w:rsid w:val="0094144C"/>
    <w:rsid w:val="00944E0F"/>
    <w:rsid w:val="00946117"/>
    <w:rsid w:val="00950F61"/>
    <w:rsid w:val="0095487F"/>
    <w:rsid w:val="0095673D"/>
    <w:rsid w:val="0096229B"/>
    <w:rsid w:val="0096768F"/>
    <w:rsid w:val="00967690"/>
    <w:rsid w:val="00967845"/>
    <w:rsid w:val="00970942"/>
    <w:rsid w:val="00975B4E"/>
    <w:rsid w:val="00975D69"/>
    <w:rsid w:val="00977FD1"/>
    <w:rsid w:val="00994C43"/>
    <w:rsid w:val="009A7248"/>
    <w:rsid w:val="009A7434"/>
    <w:rsid w:val="009C4701"/>
    <w:rsid w:val="009C49BE"/>
    <w:rsid w:val="009C4A32"/>
    <w:rsid w:val="009D0901"/>
    <w:rsid w:val="009D17CE"/>
    <w:rsid w:val="009D1DB4"/>
    <w:rsid w:val="009D3F31"/>
    <w:rsid w:val="009D6A0B"/>
    <w:rsid w:val="009E203E"/>
    <w:rsid w:val="009E2CD4"/>
    <w:rsid w:val="009E6C7D"/>
    <w:rsid w:val="009E7727"/>
    <w:rsid w:val="009F6C40"/>
    <w:rsid w:val="009F7C84"/>
    <w:rsid w:val="00A04277"/>
    <w:rsid w:val="00A052DF"/>
    <w:rsid w:val="00A054A4"/>
    <w:rsid w:val="00A067E5"/>
    <w:rsid w:val="00A15B3E"/>
    <w:rsid w:val="00A166E6"/>
    <w:rsid w:val="00A17D6B"/>
    <w:rsid w:val="00A21EA2"/>
    <w:rsid w:val="00A22154"/>
    <w:rsid w:val="00A241AD"/>
    <w:rsid w:val="00A26371"/>
    <w:rsid w:val="00A26C73"/>
    <w:rsid w:val="00A31884"/>
    <w:rsid w:val="00A31AA3"/>
    <w:rsid w:val="00A33C46"/>
    <w:rsid w:val="00A35F10"/>
    <w:rsid w:val="00A36483"/>
    <w:rsid w:val="00A36974"/>
    <w:rsid w:val="00A40F06"/>
    <w:rsid w:val="00A4471B"/>
    <w:rsid w:val="00A533FA"/>
    <w:rsid w:val="00A539AC"/>
    <w:rsid w:val="00A54CBD"/>
    <w:rsid w:val="00A61D7E"/>
    <w:rsid w:val="00A6289F"/>
    <w:rsid w:val="00A64435"/>
    <w:rsid w:val="00A67061"/>
    <w:rsid w:val="00A67D7E"/>
    <w:rsid w:val="00A73A51"/>
    <w:rsid w:val="00A779C7"/>
    <w:rsid w:val="00A80621"/>
    <w:rsid w:val="00A82EF2"/>
    <w:rsid w:val="00A84083"/>
    <w:rsid w:val="00A84898"/>
    <w:rsid w:val="00A868EC"/>
    <w:rsid w:val="00A86CEE"/>
    <w:rsid w:val="00A86D43"/>
    <w:rsid w:val="00A91140"/>
    <w:rsid w:val="00A933D0"/>
    <w:rsid w:val="00A94B9E"/>
    <w:rsid w:val="00A9727E"/>
    <w:rsid w:val="00AA3442"/>
    <w:rsid w:val="00AA5075"/>
    <w:rsid w:val="00AA72A4"/>
    <w:rsid w:val="00AA7D1E"/>
    <w:rsid w:val="00AB6FBD"/>
    <w:rsid w:val="00AC0862"/>
    <w:rsid w:val="00AC1D1A"/>
    <w:rsid w:val="00AC534B"/>
    <w:rsid w:val="00AD4085"/>
    <w:rsid w:val="00AD7DFE"/>
    <w:rsid w:val="00AE1528"/>
    <w:rsid w:val="00AE3D68"/>
    <w:rsid w:val="00AE752B"/>
    <w:rsid w:val="00AF2D5B"/>
    <w:rsid w:val="00B002F9"/>
    <w:rsid w:val="00B01462"/>
    <w:rsid w:val="00B02671"/>
    <w:rsid w:val="00B063F4"/>
    <w:rsid w:val="00B12E28"/>
    <w:rsid w:val="00B20510"/>
    <w:rsid w:val="00B20FC3"/>
    <w:rsid w:val="00B21011"/>
    <w:rsid w:val="00B21551"/>
    <w:rsid w:val="00B24411"/>
    <w:rsid w:val="00B24D59"/>
    <w:rsid w:val="00B2585B"/>
    <w:rsid w:val="00B3161A"/>
    <w:rsid w:val="00B371D2"/>
    <w:rsid w:val="00B376DA"/>
    <w:rsid w:val="00B43E81"/>
    <w:rsid w:val="00B44F90"/>
    <w:rsid w:val="00B51043"/>
    <w:rsid w:val="00B53EF1"/>
    <w:rsid w:val="00B605FA"/>
    <w:rsid w:val="00B70761"/>
    <w:rsid w:val="00B74C22"/>
    <w:rsid w:val="00B808E0"/>
    <w:rsid w:val="00B81500"/>
    <w:rsid w:val="00B830ED"/>
    <w:rsid w:val="00B85D65"/>
    <w:rsid w:val="00B9503C"/>
    <w:rsid w:val="00B951E3"/>
    <w:rsid w:val="00B952D6"/>
    <w:rsid w:val="00B95561"/>
    <w:rsid w:val="00B95970"/>
    <w:rsid w:val="00BA2BDD"/>
    <w:rsid w:val="00BA3B4C"/>
    <w:rsid w:val="00BB0572"/>
    <w:rsid w:val="00BB20CB"/>
    <w:rsid w:val="00BC0581"/>
    <w:rsid w:val="00BC5832"/>
    <w:rsid w:val="00BC5E93"/>
    <w:rsid w:val="00BC6B6C"/>
    <w:rsid w:val="00BC7EAD"/>
    <w:rsid w:val="00BD4236"/>
    <w:rsid w:val="00BD4781"/>
    <w:rsid w:val="00BD4A51"/>
    <w:rsid w:val="00BD6FEB"/>
    <w:rsid w:val="00BE3167"/>
    <w:rsid w:val="00BE3277"/>
    <w:rsid w:val="00BE3711"/>
    <w:rsid w:val="00BE4003"/>
    <w:rsid w:val="00BE64D7"/>
    <w:rsid w:val="00BE7830"/>
    <w:rsid w:val="00BF082B"/>
    <w:rsid w:val="00BF0EB5"/>
    <w:rsid w:val="00BF3075"/>
    <w:rsid w:val="00C03B44"/>
    <w:rsid w:val="00C05D40"/>
    <w:rsid w:val="00C06D7E"/>
    <w:rsid w:val="00C074CC"/>
    <w:rsid w:val="00C07BCD"/>
    <w:rsid w:val="00C127DB"/>
    <w:rsid w:val="00C16026"/>
    <w:rsid w:val="00C16FCF"/>
    <w:rsid w:val="00C25B28"/>
    <w:rsid w:val="00C27DA5"/>
    <w:rsid w:val="00C32722"/>
    <w:rsid w:val="00C33219"/>
    <w:rsid w:val="00C4010A"/>
    <w:rsid w:val="00C45C59"/>
    <w:rsid w:val="00C470A1"/>
    <w:rsid w:val="00C504A0"/>
    <w:rsid w:val="00C50ACA"/>
    <w:rsid w:val="00C5327B"/>
    <w:rsid w:val="00C621BD"/>
    <w:rsid w:val="00C63A95"/>
    <w:rsid w:val="00C679D5"/>
    <w:rsid w:val="00C7060B"/>
    <w:rsid w:val="00C70B98"/>
    <w:rsid w:val="00C725F8"/>
    <w:rsid w:val="00C73598"/>
    <w:rsid w:val="00C75211"/>
    <w:rsid w:val="00C75E1F"/>
    <w:rsid w:val="00C81868"/>
    <w:rsid w:val="00C818C8"/>
    <w:rsid w:val="00C90115"/>
    <w:rsid w:val="00C912B1"/>
    <w:rsid w:val="00C95505"/>
    <w:rsid w:val="00C95834"/>
    <w:rsid w:val="00C97C79"/>
    <w:rsid w:val="00CA1C86"/>
    <w:rsid w:val="00CA2188"/>
    <w:rsid w:val="00CA2DE1"/>
    <w:rsid w:val="00CA495E"/>
    <w:rsid w:val="00CA6612"/>
    <w:rsid w:val="00CB0CF4"/>
    <w:rsid w:val="00CB2651"/>
    <w:rsid w:val="00CB7EBD"/>
    <w:rsid w:val="00CC024F"/>
    <w:rsid w:val="00CC1373"/>
    <w:rsid w:val="00CC3AE6"/>
    <w:rsid w:val="00CD1207"/>
    <w:rsid w:val="00CD1F22"/>
    <w:rsid w:val="00CD3195"/>
    <w:rsid w:val="00CD3AFB"/>
    <w:rsid w:val="00CD76B1"/>
    <w:rsid w:val="00CE3172"/>
    <w:rsid w:val="00CE52E3"/>
    <w:rsid w:val="00CF0EAE"/>
    <w:rsid w:val="00CF448F"/>
    <w:rsid w:val="00CF4D04"/>
    <w:rsid w:val="00CF50F6"/>
    <w:rsid w:val="00D0195D"/>
    <w:rsid w:val="00D03B2C"/>
    <w:rsid w:val="00D057B3"/>
    <w:rsid w:val="00D127C4"/>
    <w:rsid w:val="00D14B07"/>
    <w:rsid w:val="00D14F18"/>
    <w:rsid w:val="00D1534A"/>
    <w:rsid w:val="00D2056F"/>
    <w:rsid w:val="00D26531"/>
    <w:rsid w:val="00D32982"/>
    <w:rsid w:val="00D32ADD"/>
    <w:rsid w:val="00D376BD"/>
    <w:rsid w:val="00D37E6D"/>
    <w:rsid w:val="00D4147D"/>
    <w:rsid w:val="00D41DED"/>
    <w:rsid w:val="00D44471"/>
    <w:rsid w:val="00D5339C"/>
    <w:rsid w:val="00D53CDE"/>
    <w:rsid w:val="00D571FC"/>
    <w:rsid w:val="00D628CA"/>
    <w:rsid w:val="00D62C71"/>
    <w:rsid w:val="00D64D10"/>
    <w:rsid w:val="00D6576C"/>
    <w:rsid w:val="00D709A9"/>
    <w:rsid w:val="00D73B3F"/>
    <w:rsid w:val="00D77DCE"/>
    <w:rsid w:val="00D8119D"/>
    <w:rsid w:val="00D81648"/>
    <w:rsid w:val="00D82C3A"/>
    <w:rsid w:val="00D8484A"/>
    <w:rsid w:val="00D87573"/>
    <w:rsid w:val="00D97414"/>
    <w:rsid w:val="00DA0B09"/>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E03F7"/>
    <w:rsid w:val="00DE20BA"/>
    <w:rsid w:val="00DE244C"/>
    <w:rsid w:val="00DE2694"/>
    <w:rsid w:val="00DE400F"/>
    <w:rsid w:val="00DE426A"/>
    <w:rsid w:val="00DE5865"/>
    <w:rsid w:val="00DE5902"/>
    <w:rsid w:val="00DE5D70"/>
    <w:rsid w:val="00DE7D1A"/>
    <w:rsid w:val="00DF0F57"/>
    <w:rsid w:val="00DF49F8"/>
    <w:rsid w:val="00DF5D6A"/>
    <w:rsid w:val="00DF6B61"/>
    <w:rsid w:val="00E01C25"/>
    <w:rsid w:val="00E0280A"/>
    <w:rsid w:val="00E041A7"/>
    <w:rsid w:val="00E06B81"/>
    <w:rsid w:val="00E07308"/>
    <w:rsid w:val="00E10B94"/>
    <w:rsid w:val="00E157E8"/>
    <w:rsid w:val="00E15AEC"/>
    <w:rsid w:val="00E1751B"/>
    <w:rsid w:val="00E2089E"/>
    <w:rsid w:val="00E223D7"/>
    <w:rsid w:val="00E24A83"/>
    <w:rsid w:val="00E26018"/>
    <w:rsid w:val="00E2602A"/>
    <w:rsid w:val="00E27535"/>
    <w:rsid w:val="00E35ED9"/>
    <w:rsid w:val="00E3626C"/>
    <w:rsid w:val="00E362EC"/>
    <w:rsid w:val="00E364A4"/>
    <w:rsid w:val="00E46BE7"/>
    <w:rsid w:val="00E53E57"/>
    <w:rsid w:val="00E541CD"/>
    <w:rsid w:val="00E5570F"/>
    <w:rsid w:val="00E610F9"/>
    <w:rsid w:val="00E75B8E"/>
    <w:rsid w:val="00E75F56"/>
    <w:rsid w:val="00E83343"/>
    <w:rsid w:val="00E83462"/>
    <w:rsid w:val="00E92A8F"/>
    <w:rsid w:val="00E93765"/>
    <w:rsid w:val="00E93D65"/>
    <w:rsid w:val="00EA4883"/>
    <w:rsid w:val="00EB5F26"/>
    <w:rsid w:val="00EB6265"/>
    <w:rsid w:val="00EB7362"/>
    <w:rsid w:val="00ED171E"/>
    <w:rsid w:val="00EE1963"/>
    <w:rsid w:val="00EE47F4"/>
    <w:rsid w:val="00EF1900"/>
    <w:rsid w:val="00EF6BBF"/>
    <w:rsid w:val="00F0165A"/>
    <w:rsid w:val="00F01C17"/>
    <w:rsid w:val="00F06EC5"/>
    <w:rsid w:val="00F06FB0"/>
    <w:rsid w:val="00F10244"/>
    <w:rsid w:val="00F11564"/>
    <w:rsid w:val="00F22302"/>
    <w:rsid w:val="00F306CB"/>
    <w:rsid w:val="00F33A19"/>
    <w:rsid w:val="00F362A3"/>
    <w:rsid w:val="00F41C8A"/>
    <w:rsid w:val="00F4634D"/>
    <w:rsid w:val="00F47056"/>
    <w:rsid w:val="00F56BBF"/>
    <w:rsid w:val="00F5767A"/>
    <w:rsid w:val="00F61163"/>
    <w:rsid w:val="00F62E84"/>
    <w:rsid w:val="00F6405B"/>
    <w:rsid w:val="00F65017"/>
    <w:rsid w:val="00F728E0"/>
    <w:rsid w:val="00F76351"/>
    <w:rsid w:val="00F811C8"/>
    <w:rsid w:val="00F818EC"/>
    <w:rsid w:val="00F82FEC"/>
    <w:rsid w:val="00F84E24"/>
    <w:rsid w:val="00F85AFB"/>
    <w:rsid w:val="00F94AC1"/>
    <w:rsid w:val="00FA1EE9"/>
    <w:rsid w:val="00FA6847"/>
    <w:rsid w:val="00FB126E"/>
    <w:rsid w:val="00FC3AE2"/>
    <w:rsid w:val="00FC71B0"/>
    <w:rsid w:val="00FE48D6"/>
    <w:rsid w:val="00FE6761"/>
    <w:rsid w:val="00FE6DA9"/>
    <w:rsid w:val="00FE73C9"/>
    <w:rsid w:val="00FF0FE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 w:type="table" w:styleId="Kontuurtabel">
    <w:name w:val="Table Grid"/>
    <w:basedOn w:val="Normaaltabel"/>
    <w:rsid w:val="00483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86D87-8878-402F-9A77-003A2851C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1604</Words>
  <Characters>9306</Characters>
  <Application>Microsoft Office Word</Application>
  <DocSecurity>0</DocSecurity>
  <Lines>77</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10889</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8</cp:revision>
  <cp:lastPrinted>2012-12-11T13:25:00Z</cp:lastPrinted>
  <dcterms:created xsi:type="dcterms:W3CDTF">2023-02-10T08:58:00Z</dcterms:created>
  <dcterms:modified xsi:type="dcterms:W3CDTF">2023-02-14T14:35:00Z</dcterms:modified>
</cp:coreProperties>
</file>