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317F3A" w14:paraId="787F4309" w14:textId="77777777" w:rsidTr="00E47AFA">
        <w:trPr>
          <w:trHeight w:val="2353"/>
        </w:trPr>
        <w:tc>
          <w:tcPr>
            <w:tcW w:w="5387" w:type="dxa"/>
          </w:tcPr>
          <w:p w14:paraId="2999B57C" w14:textId="77777777" w:rsidR="00317F3A" w:rsidRPr="00A10E66" w:rsidRDefault="00317F3A" w:rsidP="00E47AFA">
            <w:pPr>
              <w:pStyle w:val="TableContents"/>
              <w:rPr>
                <w:b/>
              </w:rPr>
            </w:pPr>
            <w:r>
              <w:rPr>
                <w:b/>
                <w:noProof/>
                <w:lang w:eastAsia="et-EE" w:bidi="ar-SA"/>
              </w:rPr>
              <w:drawing>
                <wp:anchor distT="0" distB="0" distL="114300" distR="114300" simplePos="0" relativeHeight="251659264" behindDoc="0" locked="0" layoutInCell="1" allowOverlap="1" wp14:anchorId="5A4F3EA3" wp14:editId="2D22D838">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ndusmin_vapp_est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08D40C4C" w14:textId="77777777" w:rsidR="00317F3A" w:rsidRPr="00BC1A62" w:rsidRDefault="00317F3A" w:rsidP="00E47AFA">
            <w:pPr>
              <w:pStyle w:val="AK"/>
              <w:jc w:val="right"/>
            </w:pPr>
          </w:p>
          <w:p w14:paraId="49E88691" w14:textId="77777777" w:rsidR="00317F3A" w:rsidRPr="00BC1A62" w:rsidRDefault="00317F3A" w:rsidP="00E47AFA">
            <w:pPr>
              <w:jc w:val="right"/>
            </w:pPr>
          </w:p>
        </w:tc>
      </w:tr>
      <w:tr w:rsidR="00317F3A" w:rsidRPr="001D4CFB" w14:paraId="17D59DC2" w14:textId="77777777" w:rsidTr="00E47AFA">
        <w:trPr>
          <w:trHeight w:val="1531"/>
        </w:trPr>
        <w:tc>
          <w:tcPr>
            <w:tcW w:w="5387" w:type="dxa"/>
          </w:tcPr>
          <w:p w14:paraId="453BB2B8" w14:textId="77777777" w:rsidR="00E41702" w:rsidRDefault="00E41702" w:rsidP="00E41702">
            <w:pPr>
              <w:pStyle w:val="Liik"/>
            </w:pPr>
            <w:r>
              <w:t>Määrus</w:t>
            </w:r>
          </w:p>
          <w:p w14:paraId="1E441FD4" w14:textId="77777777" w:rsidR="00E41702" w:rsidRPr="006B118C" w:rsidRDefault="00E41702" w:rsidP="00E41702"/>
          <w:p w14:paraId="3685B978" w14:textId="77777777" w:rsidR="00317F3A" w:rsidRPr="006B118C" w:rsidRDefault="00317F3A" w:rsidP="00317F3A"/>
        </w:tc>
        <w:tc>
          <w:tcPr>
            <w:tcW w:w="3685" w:type="dxa"/>
          </w:tcPr>
          <w:p w14:paraId="432905F0" w14:textId="6663D45F" w:rsidR="00317F3A" w:rsidRPr="0076054B" w:rsidRDefault="00630134" w:rsidP="00E47AFA">
            <w:pPr>
              <w:pStyle w:val="Kuupev1"/>
              <w:rPr>
                <w:i/>
                <w:iCs/>
              </w:rPr>
            </w:pPr>
            <w:r>
              <w:fldChar w:fldCharType="begin"/>
            </w:r>
            <w:r w:rsidR="00DC260C">
              <w:instrText xml:space="preserve"> delta_regDateTime  \* MERGEFORMAT</w:instrText>
            </w:r>
            <w:r>
              <w:fldChar w:fldCharType="separate"/>
            </w:r>
            <w:r w:rsidR="00DC260C">
              <w:t>10.12.2025</w:t>
            </w:r>
            <w:r>
              <w:fldChar w:fldCharType="end"/>
            </w:r>
            <w:r w:rsidR="00317F3A">
              <w:t xml:space="preserve">  nr </w:t>
            </w:r>
            <w:r w:rsidR="00A02530">
              <w:fldChar w:fldCharType="begin"/>
            </w:r>
            <w:r w:rsidR="00DC260C">
              <w:instrText xml:space="preserve"> delta_regNumber  \* MERGEFORMAT</w:instrText>
            </w:r>
            <w:r w:rsidR="00A02530">
              <w:fldChar w:fldCharType="separate"/>
            </w:r>
            <w:r w:rsidR="00DC260C">
              <w:t>33</w:t>
            </w:r>
            <w:r w:rsidR="00A02530">
              <w:fldChar w:fldCharType="end"/>
            </w:r>
          </w:p>
        </w:tc>
      </w:tr>
      <w:tr w:rsidR="00317F3A" w:rsidRPr="001D4CFB" w14:paraId="57B6022E" w14:textId="77777777" w:rsidTr="00E47AFA">
        <w:trPr>
          <w:trHeight w:val="624"/>
        </w:trPr>
        <w:tc>
          <w:tcPr>
            <w:tcW w:w="5387" w:type="dxa"/>
          </w:tcPr>
          <w:p w14:paraId="2F9E7D28" w14:textId="77777777" w:rsidR="0036260B" w:rsidRDefault="0036260B" w:rsidP="00E47AFA">
            <w:pPr>
              <w:pStyle w:val="Pealkiri1"/>
            </w:pPr>
          </w:p>
          <w:p w14:paraId="7911DF95" w14:textId="4264A374" w:rsidR="00317F3A" w:rsidRDefault="00A02530" w:rsidP="00E47AFA">
            <w:pPr>
              <w:pStyle w:val="Pealkiri1"/>
            </w:pPr>
            <w:r>
              <w:fldChar w:fldCharType="begin"/>
            </w:r>
            <w:r w:rsidR="00DC260C">
              <w:instrText xml:space="preserve"> delta_docName  \* MERGEFORMAT</w:instrText>
            </w:r>
            <w:r>
              <w:fldChar w:fldCharType="separate"/>
            </w:r>
            <w:r w:rsidR="00DC260C">
              <w:t>Majandus- ja infotehnoloogiaministri 22. detsembri 2023. a määruse nr 69 „Töötukassa andmekogu põhimäärus“ muutmine</w:t>
            </w:r>
            <w:r>
              <w:fldChar w:fldCharType="end"/>
            </w:r>
          </w:p>
        </w:tc>
        <w:tc>
          <w:tcPr>
            <w:tcW w:w="3685" w:type="dxa"/>
          </w:tcPr>
          <w:p w14:paraId="3DBB5B9A" w14:textId="77777777" w:rsidR="00317F3A" w:rsidRDefault="00317F3A" w:rsidP="00E47AFA"/>
        </w:tc>
      </w:tr>
    </w:tbl>
    <w:p w14:paraId="7C7E7360" w14:textId="370CE28B" w:rsidR="00194A32" w:rsidRDefault="00194A32" w:rsidP="00194A32">
      <w:pPr>
        <w:pStyle w:val="Tekst"/>
      </w:pPr>
      <w:r>
        <w:t xml:space="preserve">Määrus kehtestatakse </w:t>
      </w:r>
      <w:r w:rsidR="0004781D" w:rsidRPr="0004781D">
        <w:t>töötuskindlustuse seaduse § 35 lõike 2</w:t>
      </w:r>
      <w:r>
        <w:t xml:space="preserve"> alusel.</w:t>
      </w:r>
    </w:p>
    <w:p w14:paraId="1A1D33D2" w14:textId="77777777" w:rsidR="00194A32" w:rsidRDefault="00194A32" w:rsidP="00194A32">
      <w:pPr>
        <w:pStyle w:val="Tekst"/>
      </w:pPr>
    </w:p>
    <w:p w14:paraId="2F34A2B0" w14:textId="77777777" w:rsidR="0004781D" w:rsidRPr="0004781D" w:rsidRDefault="0004781D" w:rsidP="0004781D">
      <w:pPr>
        <w:pStyle w:val="Tekst"/>
        <w:rPr>
          <w:b/>
          <w:bCs/>
        </w:rPr>
      </w:pPr>
      <w:r w:rsidRPr="0004781D">
        <w:rPr>
          <w:b/>
          <w:bCs/>
        </w:rPr>
        <w:t xml:space="preserve">§ 1. </w:t>
      </w:r>
      <w:r w:rsidRPr="0004781D">
        <w:t>Majandus- ja infotehnoloogiaministri 22. detsembri 2023. a määruses nr 69 „Töötukassa andmekogu põhimäärus“ tehakse järgmised muudatused:</w:t>
      </w:r>
    </w:p>
    <w:p w14:paraId="11520BFD" w14:textId="77777777" w:rsidR="0004781D" w:rsidRPr="0004781D" w:rsidRDefault="0004781D" w:rsidP="0004781D">
      <w:pPr>
        <w:pStyle w:val="Tekst"/>
        <w:rPr>
          <w:b/>
          <w:bCs/>
        </w:rPr>
      </w:pPr>
    </w:p>
    <w:p w14:paraId="13A2986B" w14:textId="77777777" w:rsidR="0004781D" w:rsidRPr="0004781D" w:rsidRDefault="0004781D" w:rsidP="0004781D">
      <w:pPr>
        <w:pStyle w:val="Tekst"/>
      </w:pPr>
      <w:r w:rsidRPr="0004781D">
        <w:rPr>
          <w:b/>
          <w:bCs/>
        </w:rPr>
        <w:t>1)</w:t>
      </w:r>
      <w:r w:rsidRPr="0004781D">
        <w:t xml:space="preserve"> paragrahvi 4 punkt 6 tunnistatakse kehtetuks;</w:t>
      </w:r>
    </w:p>
    <w:p w14:paraId="5FBDFA7D" w14:textId="77777777" w:rsidR="0004781D" w:rsidRPr="0004781D" w:rsidRDefault="0004781D" w:rsidP="0004781D">
      <w:pPr>
        <w:pStyle w:val="Tekst"/>
      </w:pPr>
    </w:p>
    <w:p w14:paraId="163F8167" w14:textId="77777777" w:rsidR="0004781D" w:rsidRPr="0004781D" w:rsidRDefault="0004781D" w:rsidP="0004781D">
      <w:pPr>
        <w:pStyle w:val="Tekst"/>
        <w:rPr>
          <w:b/>
          <w:bCs/>
        </w:rPr>
      </w:pPr>
      <w:r w:rsidRPr="0004781D">
        <w:rPr>
          <w:b/>
          <w:bCs/>
        </w:rPr>
        <w:t>2)</w:t>
      </w:r>
      <w:r w:rsidRPr="0004781D">
        <w:t xml:space="preserve"> paragrahvi 7 lõike 2 punkti 3 täiendatakse pärast sõna „raskusaste“ sõnadega „ning sellega seotud tegutsemise ja osalemise piirangud“;</w:t>
      </w:r>
    </w:p>
    <w:p w14:paraId="1D5406CA" w14:textId="77777777" w:rsidR="0004781D" w:rsidRPr="0004781D" w:rsidRDefault="0004781D" w:rsidP="0004781D">
      <w:pPr>
        <w:pStyle w:val="Tekst"/>
        <w:rPr>
          <w:b/>
          <w:bCs/>
        </w:rPr>
      </w:pPr>
    </w:p>
    <w:p w14:paraId="3B9539F7" w14:textId="77777777" w:rsidR="0004781D" w:rsidRPr="0004781D" w:rsidRDefault="0004781D" w:rsidP="0004781D">
      <w:pPr>
        <w:pStyle w:val="Tekst"/>
      </w:pPr>
      <w:r w:rsidRPr="0004781D">
        <w:rPr>
          <w:b/>
          <w:bCs/>
        </w:rPr>
        <w:t xml:space="preserve">3) </w:t>
      </w:r>
      <w:r w:rsidRPr="0004781D">
        <w:t>paragrahvi 8 lõike 2 punkt 6 sõnastatakse järgmiselt:</w:t>
      </w:r>
    </w:p>
    <w:p w14:paraId="66DD969D" w14:textId="77777777" w:rsidR="0004781D" w:rsidRPr="0004781D" w:rsidRDefault="0004781D" w:rsidP="0004781D">
      <w:pPr>
        <w:pStyle w:val="Tekst"/>
      </w:pPr>
      <w:r w:rsidRPr="0004781D">
        <w:t>„6) isik õpib õppeasutuses statsionaarses või täiskoormusega õppes, sealhulgas viibib akadeemilisel puhkusel, ning andmed selle kohta, kas isik õpib statsionaarses õppes keskhariduse tasemel või kutseõppes või täiskoormusega õppes kõrghariduse tasemel ja kas ta vastab töötuskindlustushüvitise saamise tingimustele;“;</w:t>
      </w:r>
    </w:p>
    <w:p w14:paraId="5DE7F5BA" w14:textId="77777777" w:rsidR="0004781D" w:rsidRPr="0004781D" w:rsidRDefault="0004781D" w:rsidP="0004781D">
      <w:pPr>
        <w:pStyle w:val="Tekst"/>
        <w:rPr>
          <w:b/>
          <w:bCs/>
        </w:rPr>
      </w:pPr>
    </w:p>
    <w:p w14:paraId="26CAC19B" w14:textId="2956831B" w:rsidR="0004781D" w:rsidRPr="0004781D" w:rsidRDefault="0004781D" w:rsidP="0004781D">
      <w:pPr>
        <w:pStyle w:val="Tekst"/>
      </w:pPr>
      <w:r w:rsidRPr="0004781D">
        <w:rPr>
          <w:b/>
          <w:bCs/>
        </w:rPr>
        <w:t xml:space="preserve">4) </w:t>
      </w:r>
      <w:r w:rsidRPr="0004781D">
        <w:t>paragrahvi 8 lõike 2 punktis 7</w:t>
      </w:r>
      <w:r w:rsidR="00FA446D">
        <w:t xml:space="preserve">, § </w:t>
      </w:r>
      <w:r w:rsidR="00FA446D" w:rsidRPr="00FA446D">
        <w:t xml:space="preserve">25 punktis 7 </w:t>
      </w:r>
      <w:r w:rsidR="00FA446D">
        <w:t xml:space="preserve">ja § </w:t>
      </w:r>
      <w:r w:rsidR="00FA446D" w:rsidRPr="00FA446D">
        <w:t>40 lõikes 13</w:t>
      </w:r>
      <w:r w:rsidRPr="0004781D">
        <w:t xml:space="preserve"> asendatakse tekstiosa „aja-, asendus- või reservteenistus“ tekstiosaga „ajateenistus, korrali</w:t>
      </w:r>
      <w:r w:rsidR="00FA446D">
        <w:t>ne</w:t>
      </w:r>
      <w:r w:rsidRPr="0004781D">
        <w:t xml:space="preserve"> asendusteenistus või erakorrali</w:t>
      </w:r>
      <w:r w:rsidR="00FA446D">
        <w:t>n</w:t>
      </w:r>
      <w:r w:rsidRPr="0004781D">
        <w:t>e reservasendusteenistus“</w:t>
      </w:r>
      <w:r w:rsidR="00FA446D">
        <w:t xml:space="preserve"> vastavas käändes</w:t>
      </w:r>
      <w:r w:rsidRPr="0004781D">
        <w:t>;</w:t>
      </w:r>
    </w:p>
    <w:p w14:paraId="4B721367" w14:textId="77777777" w:rsidR="0004781D" w:rsidRPr="0004781D" w:rsidRDefault="0004781D" w:rsidP="0004781D">
      <w:pPr>
        <w:pStyle w:val="Tekst"/>
        <w:rPr>
          <w:b/>
          <w:bCs/>
        </w:rPr>
      </w:pPr>
    </w:p>
    <w:p w14:paraId="725F23D1" w14:textId="77777777" w:rsidR="0004781D" w:rsidRPr="0004781D" w:rsidRDefault="0004781D" w:rsidP="0004781D">
      <w:pPr>
        <w:pStyle w:val="Tekst"/>
      </w:pPr>
      <w:r w:rsidRPr="0004781D">
        <w:rPr>
          <w:b/>
          <w:bCs/>
        </w:rPr>
        <w:t xml:space="preserve">5) </w:t>
      </w:r>
      <w:r w:rsidRPr="0004781D">
        <w:t>paragrahvi 14 lõige 2 tunnistatakse kehtetuks;</w:t>
      </w:r>
    </w:p>
    <w:p w14:paraId="46EDFB1E" w14:textId="77777777" w:rsidR="0004781D" w:rsidRPr="0004781D" w:rsidRDefault="0004781D" w:rsidP="0004781D">
      <w:pPr>
        <w:pStyle w:val="Tekst"/>
        <w:rPr>
          <w:b/>
          <w:bCs/>
        </w:rPr>
      </w:pPr>
    </w:p>
    <w:p w14:paraId="520D0B8F" w14:textId="063F9EAD" w:rsidR="00F95664" w:rsidRDefault="0004781D" w:rsidP="0004781D">
      <w:pPr>
        <w:pStyle w:val="Tekst"/>
      </w:pPr>
      <w:r w:rsidRPr="0004781D">
        <w:rPr>
          <w:b/>
          <w:bCs/>
        </w:rPr>
        <w:t xml:space="preserve">6) </w:t>
      </w:r>
      <w:bookmarkStart w:id="0" w:name="_Hlk215478615"/>
      <w:r w:rsidRPr="0004781D">
        <w:t xml:space="preserve">paragrahvi 15 punktis 4 </w:t>
      </w:r>
      <w:r w:rsidR="004438A0">
        <w:t xml:space="preserve">ja § 16 punktis 2 </w:t>
      </w:r>
      <w:r w:rsidRPr="0004781D">
        <w:t>asendatakse sõna „koolitaja“ sõnaga „koolitusasutuse“;</w:t>
      </w:r>
      <w:bookmarkEnd w:id="0"/>
    </w:p>
    <w:p w14:paraId="2AA6BB3B" w14:textId="77777777" w:rsidR="0004781D" w:rsidRPr="0004781D" w:rsidRDefault="0004781D" w:rsidP="0004781D">
      <w:pPr>
        <w:pStyle w:val="Tekst"/>
        <w:rPr>
          <w:b/>
          <w:bCs/>
        </w:rPr>
      </w:pPr>
    </w:p>
    <w:p w14:paraId="59699B53" w14:textId="77777777" w:rsidR="0004781D" w:rsidRPr="0004781D" w:rsidRDefault="0004781D" w:rsidP="0004781D">
      <w:pPr>
        <w:pStyle w:val="Tekst"/>
        <w:rPr>
          <w:b/>
          <w:bCs/>
        </w:rPr>
      </w:pPr>
      <w:r w:rsidRPr="0004781D">
        <w:rPr>
          <w:b/>
          <w:bCs/>
        </w:rPr>
        <w:t xml:space="preserve">7) </w:t>
      </w:r>
      <w:r w:rsidRPr="0004781D">
        <w:t>paragrahvi 17 punkt 1 tunnistatakse kehtetuks;</w:t>
      </w:r>
    </w:p>
    <w:p w14:paraId="4378B7A3" w14:textId="77777777" w:rsidR="0004781D" w:rsidRPr="0004781D" w:rsidRDefault="0004781D" w:rsidP="0004781D">
      <w:pPr>
        <w:pStyle w:val="Tekst"/>
      </w:pPr>
    </w:p>
    <w:p w14:paraId="0929C50E" w14:textId="77777777" w:rsidR="0004781D" w:rsidRPr="0004781D" w:rsidRDefault="0004781D" w:rsidP="0004781D">
      <w:pPr>
        <w:pStyle w:val="Tekst"/>
      </w:pPr>
      <w:r w:rsidRPr="00A937E6">
        <w:rPr>
          <w:b/>
          <w:bCs/>
        </w:rPr>
        <w:t>8</w:t>
      </w:r>
      <w:r w:rsidRPr="0004781D">
        <w:rPr>
          <w:b/>
          <w:bCs/>
        </w:rPr>
        <w:t>)</w:t>
      </w:r>
      <w:r w:rsidRPr="0004781D">
        <w:t xml:space="preserve"> paragrahvi 17 täiendatakse punktiga 5 järgmises sõnastuses:</w:t>
      </w:r>
    </w:p>
    <w:p w14:paraId="22795F96" w14:textId="68A235D0" w:rsidR="0004781D" w:rsidRPr="0004781D" w:rsidRDefault="0004781D" w:rsidP="0004781D">
      <w:pPr>
        <w:pStyle w:val="Tekst"/>
      </w:pPr>
      <w:r w:rsidRPr="0004781D">
        <w:t xml:space="preserve">„5) toetatud </w:t>
      </w:r>
      <w:proofErr w:type="spellStart"/>
      <w:r w:rsidRPr="0004781D">
        <w:t>töölerakendamise</w:t>
      </w:r>
      <w:proofErr w:type="spellEnd"/>
      <w:r w:rsidRPr="0004781D">
        <w:t xml:space="preserve"> tegevus</w:t>
      </w:r>
      <w:r w:rsidR="00A12829">
        <w:t>plaan</w:t>
      </w:r>
      <w:r w:rsidRPr="0004781D">
        <w:t xml:space="preserve"> ja tööturuteenuse osutaja hinnang teenuse tulemuslikkuse kohta ning selle andmise kuupäev.“; </w:t>
      </w:r>
    </w:p>
    <w:p w14:paraId="2554CB7F" w14:textId="77777777" w:rsidR="0004781D" w:rsidRPr="0004781D" w:rsidRDefault="0004781D" w:rsidP="0004781D">
      <w:pPr>
        <w:pStyle w:val="Tekst"/>
      </w:pPr>
    </w:p>
    <w:p w14:paraId="410F7DFC" w14:textId="77777777" w:rsidR="0004781D" w:rsidRPr="0004781D" w:rsidRDefault="0004781D" w:rsidP="0004781D">
      <w:pPr>
        <w:pStyle w:val="Tekst"/>
        <w:rPr>
          <w:b/>
          <w:bCs/>
        </w:rPr>
      </w:pPr>
      <w:r w:rsidRPr="0004781D">
        <w:rPr>
          <w:b/>
          <w:bCs/>
        </w:rPr>
        <w:lastRenderedPageBreak/>
        <w:t xml:space="preserve">9) </w:t>
      </w:r>
      <w:r w:rsidRPr="0004781D">
        <w:t>paragrahvi 18 punkt 4 tunnistatakse kehtetuks;</w:t>
      </w:r>
    </w:p>
    <w:p w14:paraId="0A6104E4" w14:textId="77777777" w:rsidR="0004781D" w:rsidRPr="0004781D" w:rsidRDefault="0004781D" w:rsidP="0004781D">
      <w:pPr>
        <w:pStyle w:val="Tekst"/>
        <w:rPr>
          <w:b/>
          <w:bCs/>
        </w:rPr>
      </w:pPr>
    </w:p>
    <w:p w14:paraId="47055839" w14:textId="77777777" w:rsidR="0004781D" w:rsidRPr="0004781D" w:rsidRDefault="0004781D" w:rsidP="0004781D">
      <w:pPr>
        <w:pStyle w:val="Tekst"/>
      </w:pPr>
      <w:r w:rsidRPr="0004781D">
        <w:rPr>
          <w:b/>
          <w:bCs/>
        </w:rPr>
        <w:t xml:space="preserve">10) </w:t>
      </w:r>
      <w:r w:rsidRPr="0004781D">
        <w:t>paragrahvi 20 punkt 4 sõnastatakse järgmiselt:</w:t>
      </w:r>
    </w:p>
    <w:p w14:paraId="331661CB" w14:textId="77777777" w:rsidR="0004781D" w:rsidRPr="0004781D" w:rsidRDefault="0004781D" w:rsidP="0004781D">
      <w:pPr>
        <w:pStyle w:val="Tekst"/>
        <w:rPr>
          <w:b/>
          <w:bCs/>
        </w:rPr>
      </w:pPr>
      <w:r w:rsidRPr="0004781D">
        <w:t>„4) kaugus isiku elukoha ja tööturuteenuse osutamise asukoha vahel kilomeetrites;“;</w:t>
      </w:r>
    </w:p>
    <w:p w14:paraId="7CB26F7A" w14:textId="77777777" w:rsidR="0004781D" w:rsidRPr="0004781D" w:rsidRDefault="0004781D" w:rsidP="0004781D">
      <w:pPr>
        <w:pStyle w:val="Tekst"/>
      </w:pPr>
    </w:p>
    <w:p w14:paraId="646B8724" w14:textId="77777777" w:rsidR="0004781D" w:rsidRPr="0004781D" w:rsidRDefault="0004781D" w:rsidP="0004781D">
      <w:pPr>
        <w:pStyle w:val="Tekst"/>
      </w:pPr>
      <w:r w:rsidRPr="0004781D">
        <w:rPr>
          <w:b/>
          <w:bCs/>
        </w:rPr>
        <w:t>11)</w:t>
      </w:r>
      <w:r w:rsidRPr="0004781D">
        <w:t xml:space="preserve"> määruse 3. peatüki 2. jao 5. jaotis tunnistatakse kehtetuks;</w:t>
      </w:r>
    </w:p>
    <w:p w14:paraId="0C2C589B" w14:textId="77777777" w:rsidR="0004781D" w:rsidRPr="0004781D" w:rsidRDefault="0004781D" w:rsidP="0004781D">
      <w:pPr>
        <w:pStyle w:val="Tekst"/>
        <w:rPr>
          <w:b/>
          <w:bCs/>
        </w:rPr>
      </w:pPr>
    </w:p>
    <w:p w14:paraId="1C4FF4B3" w14:textId="77777777" w:rsidR="0004781D" w:rsidRPr="0004781D" w:rsidRDefault="0004781D" w:rsidP="0004781D">
      <w:pPr>
        <w:pStyle w:val="Tekst"/>
      </w:pPr>
      <w:r w:rsidRPr="0004781D">
        <w:rPr>
          <w:b/>
          <w:bCs/>
        </w:rPr>
        <w:t xml:space="preserve">12) </w:t>
      </w:r>
      <w:r w:rsidRPr="0004781D">
        <w:t>paragrahvi 24 punkti 4 täiendatakse enne sõna „töötuskindlustusstaaži“ sõnadega „sissetulekupõhise töötuskindlustushüvitise määramisel“;</w:t>
      </w:r>
    </w:p>
    <w:p w14:paraId="426B27F5" w14:textId="77777777" w:rsidR="0004781D" w:rsidRPr="0004781D" w:rsidRDefault="0004781D" w:rsidP="0004781D">
      <w:pPr>
        <w:pStyle w:val="Tekst"/>
        <w:rPr>
          <w:b/>
          <w:bCs/>
        </w:rPr>
      </w:pPr>
    </w:p>
    <w:p w14:paraId="23E8ACEF" w14:textId="77777777" w:rsidR="0004781D" w:rsidRPr="0004781D" w:rsidRDefault="0004781D" w:rsidP="0004781D">
      <w:pPr>
        <w:pStyle w:val="Tekst"/>
      </w:pPr>
      <w:r w:rsidRPr="0004781D">
        <w:rPr>
          <w:b/>
          <w:bCs/>
        </w:rPr>
        <w:t>13)</w:t>
      </w:r>
      <w:r w:rsidRPr="0004781D">
        <w:t xml:space="preserve"> paragrahvi 24 täiendatakse punktiga 4</w:t>
      </w:r>
      <w:r w:rsidRPr="0004781D">
        <w:rPr>
          <w:vertAlign w:val="superscript"/>
        </w:rPr>
        <w:t>1</w:t>
      </w:r>
      <w:r w:rsidRPr="0004781D">
        <w:t xml:space="preserve"> järgmises sõnastuses:</w:t>
      </w:r>
    </w:p>
    <w:p w14:paraId="303F18E1" w14:textId="77777777" w:rsidR="0004781D" w:rsidRPr="0004781D" w:rsidRDefault="0004781D" w:rsidP="0004781D">
      <w:pPr>
        <w:pStyle w:val="Tekst"/>
      </w:pPr>
      <w:r w:rsidRPr="0004781D">
        <w:t>„4</w:t>
      </w:r>
      <w:r w:rsidRPr="0004781D">
        <w:rPr>
          <w:vertAlign w:val="superscript"/>
        </w:rPr>
        <w:t>1</w:t>
      </w:r>
      <w:r w:rsidRPr="0004781D">
        <w:t>) baasmääras töötuskindlustushüvitise määramisel töötuskindlustuse seaduse § 6</w:t>
      </w:r>
      <w:r w:rsidRPr="0004781D">
        <w:rPr>
          <w:vertAlign w:val="superscript"/>
        </w:rPr>
        <w:t>1</w:t>
      </w:r>
      <w:r w:rsidRPr="0004781D">
        <w:t xml:space="preserve"> lõike 1 punktis 2 nimetatud referentsperioodi jooksul kogunenud töötuskindlustusstaaži nulliks lugemise päev, välja arvatud töötuskindlustuse seaduse § 3 lõike 2 punktis 5 nimetatud isikute kohta;“;</w:t>
      </w:r>
    </w:p>
    <w:p w14:paraId="14E227B0" w14:textId="77777777" w:rsidR="0004781D" w:rsidRPr="0004781D" w:rsidRDefault="0004781D" w:rsidP="0004781D">
      <w:pPr>
        <w:pStyle w:val="Tekst"/>
        <w:rPr>
          <w:b/>
          <w:bCs/>
        </w:rPr>
      </w:pPr>
    </w:p>
    <w:p w14:paraId="43195976" w14:textId="2146F10A" w:rsidR="0004781D" w:rsidRPr="0004781D" w:rsidRDefault="0004781D" w:rsidP="0004781D">
      <w:pPr>
        <w:pStyle w:val="Tekst"/>
      </w:pPr>
      <w:r w:rsidRPr="0004781D">
        <w:rPr>
          <w:b/>
          <w:bCs/>
        </w:rPr>
        <w:t>1</w:t>
      </w:r>
      <w:r w:rsidR="008B75CA">
        <w:rPr>
          <w:b/>
          <w:bCs/>
        </w:rPr>
        <w:t>4</w:t>
      </w:r>
      <w:r w:rsidRPr="0004781D">
        <w:rPr>
          <w:b/>
          <w:bCs/>
        </w:rPr>
        <w:t>)</w:t>
      </w:r>
      <w:r w:rsidRPr="0004781D">
        <w:t xml:space="preserve"> paragrahvi 25 punkti 12 täiendatakse enne sõna „ühe“ sõnadega „sissetulekupõhise töötuskindlustushüvitise suuruse arvutamisel saadud“;</w:t>
      </w:r>
    </w:p>
    <w:p w14:paraId="3E89EB7E" w14:textId="77777777" w:rsidR="0004781D" w:rsidRPr="0004781D" w:rsidRDefault="0004781D" w:rsidP="0004781D">
      <w:pPr>
        <w:pStyle w:val="Tekst"/>
        <w:rPr>
          <w:b/>
          <w:bCs/>
        </w:rPr>
      </w:pPr>
    </w:p>
    <w:p w14:paraId="4C1C22A1" w14:textId="3999DD7B" w:rsidR="0004781D" w:rsidRPr="0004781D" w:rsidRDefault="0004781D" w:rsidP="0004781D">
      <w:pPr>
        <w:pStyle w:val="Tekst"/>
      </w:pPr>
      <w:r w:rsidRPr="0004781D">
        <w:rPr>
          <w:b/>
          <w:bCs/>
        </w:rPr>
        <w:t>1</w:t>
      </w:r>
      <w:r w:rsidR="008B75CA">
        <w:rPr>
          <w:b/>
          <w:bCs/>
        </w:rPr>
        <w:t>5</w:t>
      </w:r>
      <w:r w:rsidRPr="0004781D">
        <w:rPr>
          <w:b/>
          <w:bCs/>
        </w:rPr>
        <w:t>)</w:t>
      </w:r>
      <w:r w:rsidRPr="0004781D">
        <w:t xml:space="preserve"> paragrahvi 25 punkti 13 täiendatakse pärast sõna „kalendripäeva“ sõnaga „sissetulekupõhise“;</w:t>
      </w:r>
    </w:p>
    <w:p w14:paraId="6E695CDE" w14:textId="77777777" w:rsidR="0004781D" w:rsidRPr="0004781D" w:rsidRDefault="0004781D" w:rsidP="0004781D">
      <w:pPr>
        <w:pStyle w:val="Tekst"/>
        <w:rPr>
          <w:b/>
          <w:bCs/>
        </w:rPr>
      </w:pPr>
    </w:p>
    <w:p w14:paraId="5B1C9D71" w14:textId="5ED29125" w:rsidR="0004781D" w:rsidRPr="0004781D" w:rsidRDefault="0004781D" w:rsidP="0004781D">
      <w:pPr>
        <w:pStyle w:val="Tekst"/>
      </w:pPr>
      <w:r w:rsidRPr="0004781D">
        <w:rPr>
          <w:b/>
          <w:bCs/>
        </w:rPr>
        <w:t>1</w:t>
      </w:r>
      <w:r w:rsidR="008B75CA">
        <w:rPr>
          <w:b/>
          <w:bCs/>
        </w:rPr>
        <w:t>6</w:t>
      </w:r>
      <w:r w:rsidRPr="0004781D">
        <w:rPr>
          <w:b/>
          <w:bCs/>
        </w:rPr>
        <w:t>)</w:t>
      </w:r>
      <w:r w:rsidRPr="0004781D">
        <w:t xml:space="preserve"> paragrahvi 25 täiendatakse punktiga 13</w:t>
      </w:r>
      <w:r w:rsidRPr="0004781D">
        <w:rPr>
          <w:vertAlign w:val="superscript"/>
        </w:rPr>
        <w:t xml:space="preserve">1 </w:t>
      </w:r>
      <w:r w:rsidRPr="0004781D">
        <w:t>järgmises sõnastuses:</w:t>
      </w:r>
    </w:p>
    <w:p w14:paraId="73D0EE5C" w14:textId="77777777" w:rsidR="0004781D" w:rsidRPr="0004781D" w:rsidRDefault="0004781D" w:rsidP="0004781D">
      <w:pPr>
        <w:pStyle w:val="Tekst"/>
      </w:pPr>
      <w:r w:rsidRPr="0004781D">
        <w:t>„13</w:t>
      </w:r>
      <w:r w:rsidRPr="0004781D">
        <w:rPr>
          <w:vertAlign w:val="superscript"/>
        </w:rPr>
        <w:t>1</w:t>
      </w:r>
      <w:r w:rsidRPr="0004781D">
        <w:t>) määratud baasmääras töötuskindlustushüvitise suurus;“;</w:t>
      </w:r>
    </w:p>
    <w:p w14:paraId="3155385B" w14:textId="77777777" w:rsidR="0004781D" w:rsidRPr="0004781D" w:rsidRDefault="0004781D" w:rsidP="0004781D">
      <w:pPr>
        <w:pStyle w:val="Tekst"/>
      </w:pPr>
    </w:p>
    <w:p w14:paraId="2D5FDB7E" w14:textId="4F1733FF" w:rsidR="0004781D" w:rsidRPr="0004781D" w:rsidRDefault="0004781D" w:rsidP="0004781D">
      <w:pPr>
        <w:pStyle w:val="Tekst"/>
      </w:pPr>
      <w:r w:rsidRPr="0004781D">
        <w:rPr>
          <w:b/>
          <w:bCs/>
        </w:rPr>
        <w:t>1</w:t>
      </w:r>
      <w:r w:rsidR="008B75CA">
        <w:rPr>
          <w:b/>
          <w:bCs/>
        </w:rPr>
        <w:t>7</w:t>
      </w:r>
      <w:r w:rsidRPr="0004781D">
        <w:rPr>
          <w:b/>
          <w:bCs/>
        </w:rPr>
        <w:t>)</w:t>
      </w:r>
      <w:r w:rsidRPr="0004781D">
        <w:t xml:space="preserve"> paragrahvi 34 lõike 1 punkt 9 tunnistatakse kehtetuks;</w:t>
      </w:r>
    </w:p>
    <w:p w14:paraId="517441D8" w14:textId="77777777" w:rsidR="0004781D" w:rsidRPr="0004781D" w:rsidRDefault="0004781D" w:rsidP="0004781D">
      <w:pPr>
        <w:pStyle w:val="Tekst"/>
      </w:pPr>
    </w:p>
    <w:p w14:paraId="740EE9D6" w14:textId="5AEF3234" w:rsidR="0004781D" w:rsidRPr="0004781D" w:rsidRDefault="0004781D" w:rsidP="0004781D">
      <w:pPr>
        <w:pStyle w:val="Tekst"/>
      </w:pPr>
      <w:r w:rsidRPr="0004781D">
        <w:rPr>
          <w:b/>
          <w:bCs/>
        </w:rPr>
        <w:t>1</w:t>
      </w:r>
      <w:r w:rsidR="008B75CA">
        <w:rPr>
          <w:b/>
          <w:bCs/>
        </w:rPr>
        <w:t>8</w:t>
      </w:r>
      <w:r w:rsidRPr="0004781D">
        <w:rPr>
          <w:b/>
          <w:bCs/>
        </w:rPr>
        <w:t>)</w:t>
      </w:r>
      <w:r w:rsidRPr="0004781D">
        <w:t xml:space="preserve"> paragrahvi 40 lõike 2 punktis 1 asendatakse tekstiosa „kuni 8-aastaste“ tekstiosaga „alla 3-aastaste“ ja jäetakse välja tekstiosa „, alla 18-aastaste puudega laste nimed ja isikukoodid“;</w:t>
      </w:r>
    </w:p>
    <w:p w14:paraId="7B2DA5EF" w14:textId="77777777" w:rsidR="0004781D" w:rsidRPr="0004781D" w:rsidRDefault="0004781D" w:rsidP="0004781D">
      <w:pPr>
        <w:pStyle w:val="Tekst"/>
      </w:pPr>
    </w:p>
    <w:p w14:paraId="2143B0F2" w14:textId="2565D241" w:rsidR="0004781D" w:rsidRPr="0004781D" w:rsidRDefault="008B75CA" w:rsidP="0004781D">
      <w:pPr>
        <w:pStyle w:val="Tekst"/>
        <w:rPr>
          <w:b/>
          <w:bCs/>
        </w:rPr>
      </w:pPr>
      <w:r>
        <w:rPr>
          <w:b/>
          <w:bCs/>
        </w:rPr>
        <w:t>19</w:t>
      </w:r>
      <w:r w:rsidR="0004781D" w:rsidRPr="0004781D">
        <w:rPr>
          <w:b/>
          <w:bCs/>
        </w:rPr>
        <w:t>)</w:t>
      </w:r>
      <w:r w:rsidR="0004781D" w:rsidRPr="0004781D">
        <w:t xml:space="preserve"> paragrahvi 40 lõike 6 punkti 9 täiendatakse pärast sõna „raskusastme“ sõnadega „ning sellega seotud tegutsemise ja osalemise piirangute“;</w:t>
      </w:r>
    </w:p>
    <w:p w14:paraId="3CE7F5C7" w14:textId="77777777" w:rsidR="0004781D" w:rsidRPr="0004781D" w:rsidRDefault="0004781D" w:rsidP="0004781D">
      <w:pPr>
        <w:pStyle w:val="Tekst"/>
      </w:pPr>
    </w:p>
    <w:p w14:paraId="1423077D" w14:textId="71C2E755" w:rsidR="0004781D" w:rsidRPr="0004781D" w:rsidRDefault="0004781D" w:rsidP="0004781D">
      <w:pPr>
        <w:pStyle w:val="Tekst"/>
      </w:pPr>
      <w:r w:rsidRPr="0004781D">
        <w:rPr>
          <w:b/>
          <w:bCs/>
        </w:rPr>
        <w:t>2</w:t>
      </w:r>
      <w:r w:rsidR="008B75CA">
        <w:rPr>
          <w:b/>
          <w:bCs/>
        </w:rPr>
        <w:t>0</w:t>
      </w:r>
      <w:r w:rsidRPr="0004781D">
        <w:rPr>
          <w:b/>
          <w:bCs/>
        </w:rPr>
        <w:t>)</w:t>
      </w:r>
      <w:r w:rsidRPr="0004781D">
        <w:t xml:space="preserve"> paragrahvi 41 lõike 1 punktist 1 ja § 42 lõike 3 punktist 2 jäetakse välja tekstiosa „töötutoetuse,“;</w:t>
      </w:r>
    </w:p>
    <w:p w14:paraId="1EE2FA30" w14:textId="77777777" w:rsidR="0004781D" w:rsidRPr="0004781D" w:rsidRDefault="0004781D" w:rsidP="0004781D">
      <w:pPr>
        <w:pStyle w:val="Tekst"/>
        <w:rPr>
          <w:b/>
          <w:bCs/>
        </w:rPr>
      </w:pPr>
    </w:p>
    <w:p w14:paraId="04A4CAA0" w14:textId="5D3197E5" w:rsidR="0004781D" w:rsidRPr="0004781D" w:rsidRDefault="0004781D" w:rsidP="0004781D">
      <w:pPr>
        <w:pStyle w:val="Tekst"/>
      </w:pPr>
      <w:r w:rsidRPr="0004781D">
        <w:rPr>
          <w:b/>
          <w:bCs/>
        </w:rPr>
        <w:t>2</w:t>
      </w:r>
      <w:r w:rsidR="008B75CA">
        <w:rPr>
          <w:b/>
          <w:bCs/>
        </w:rPr>
        <w:t>1</w:t>
      </w:r>
      <w:r w:rsidRPr="0004781D">
        <w:rPr>
          <w:b/>
          <w:bCs/>
        </w:rPr>
        <w:t>)</w:t>
      </w:r>
      <w:r w:rsidRPr="0004781D">
        <w:t xml:space="preserve"> paragrahvi 44 täiendatakse lõikega 3 järgmises sõnastuses:</w:t>
      </w:r>
    </w:p>
    <w:p w14:paraId="40FDFEAB" w14:textId="77777777" w:rsidR="0004781D" w:rsidRDefault="0004781D" w:rsidP="0004781D">
      <w:pPr>
        <w:pStyle w:val="Tekst"/>
      </w:pPr>
      <w:r w:rsidRPr="0004781D">
        <w:t>„(3) Enne 2026. aasta 1. jaanuari määratud töötutoetuse määramise alusandmete ja töötutoetuse maksmise andmete töötlemisele ja säilitamisele andmekogus kohaldatakse kuni 2026. aasta 1. jaanuarini kehtinud määruse redaktsiooni.“.</w:t>
      </w:r>
    </w:p>
    <w:p w14:paraId="6B1FB5D8" w14:textId="77777777" w:rsidR="0004781D" w:rsidRPr="0004781D" w:rsidRDefault="0004781D" w:rsidP="0004781D">
      <w:pPr>
        <w:pStyle w:val="Tekst"/>
      </w:pPr>
    </w:p>
    <w:p w14:paraId="3A900380" w14:textId="6261DD2D" w:rsidR="0004781D" w:rsidRPr="0004781D" w:rsidRDefault="0004781D" w:rsidP="0004781D">
      <w:pPr>
        <w:pStyle w:val="Tekst"/>
      </w:pPr>
      <w:r w:rsidRPr="0004781D">
        <w:rPr>
          <w:b/>
          <w:bCs/>
        </w:rPr>
        <w:t xml:space="preserve">§ 2. </w:t>
      </w:r>
      <w:r w:rsidR="00186EFA">
        <w:t>M</w:t>
      </w:r>
      <w:r w:rsidRPr="0004781D">
        <w:t>ääruse § 1 punktid 1, 3, 5‒9</w:t>
      </w:r>
      <w:r w:rsidR="00060774">
        <w:t xml:space="preserve"> ja</w:t>
      </w:r>
      <w:r w:rsidRPr="0004781D">
        <w:t xml:space="preserve"> 11‒</w:t>
      </w:r>
      <w:r w:rsidR="00060774">
        <w:t>2</w:t>
      </w:r>
      <w:r w:rsidRPr="0004781D">
        <w:t>1 jõustuvad 2026. aasta 1. jaanuaril.</w:t>
      </w:r>
    </w:p>
    <w:p w14:paraId="07AD5CDD" w14:textId="3E0B94CC" w:rsidR="004211BF" w:rsidRDefault="004211BF" w:rsidP="004211BF">
      <w:pPr>
        <w:pStyle w:val="allikirjastajanimi"/>
        <w:tabs>
          <w:tab w:val="left" w:pos="5387"/>
        </w:tabs>
        <w:spacing w:before="960"/>
      </w:pPr>
      <w:r>
        <w:t>(allkirjastatud digitaalselt)</w:t>
      </w:r>
      <w:r w:rsidR="00E51B27" w:rsidRPr="00E51B27">
        <w:t xml:space="preserve"> </w:t>
      </w:r>
    </w:p>
    <w:p w14:paraId="20D045A1" w14:textId="7E8C9EDC" w:rsidR="004211BF" w:rsidRDefault="004211BF" w:rsidP="004211BF">
      <w:pPr>
        <w:tabs>
          <w:tab w:val="left" w:pos="5387"/>
        </w:tabs>
        <w:spacing w:line="240" w:lineRule="auto"/>
        <w:jc w:val="left"/>
        <w:rPr>
          <w:lang w:eastAsia="en-US" w:bidi="ar-SA"/>
        </w:rPr>
      </w:pPr>
      <w:r>
        <w:rPr>
          <w:lang w:eastAsia="en-US" w:bidi="ar-SA"/>
        </w:rPr>
        <w:fldChar w:fldCharType="begin"/>
      </w:r>
      <w:r w:rsidR="00DC260C">
        <w:rPr>
          <w:lang w:eastAsia="en-US" w:bidi="ar-SA"/>
        </w:rPr>
        <w:instrText xml:space="preserve"> delta_signerName  \* MERGEFORMAT</w:instrText>
      </w:r>
      <w:r>
        <w:rPr>
          <w:lang w:eastAsia="en-US" w:bidi="ar-SA"/>
        </w:rPr>
        <w:fldChar w:fldCharType="separate"/>
      </w:r>
      <w:r w:rsidR="00DC260C">
        <w:rPr>
          <w:lang w:eastAsia="en-US" w:bidi="ar-SA"/>
        </w:rPr>
        <w:t xml:space="preserve">Erkki </w:t>
      </w:r>
      <w:proofErr w:type="spellStart"/>
      <w:r w:rsidR="00DC260C">
        <w:rPr>
          <w:lang w:eastAsia="en-US" w:bidi="ar-SA"/>
        </w:rPr>
        <w:t>Keldo</w:t>
      </w:r>
      <w:proofErr w:type="spellEnd"/>
      <w:r>
        <w:rPr>
          <w:lang w:eastAsia="en-US" w:bidi="ar-SA"/>
        </w:rPr>
        <w:fldChar w:fldCharType="end"/>
      </w:r>
    </w:p>
    <w:p w14:paraId="1413655C" w14:textId="592A8B68" w:rsidR="003F35DE" w:rsidRDefault="003F35DE" w:rsidP="004211BF">
      <w:pPr>
        <w:tabs>
          <w:tab w:val="left" w:pos="5387"/>
        </w:tabs>
        <w:spacing w:line="240" w:lineRule="auto"/>
        <w:jc w:val="left"/>
        <w:rPr>
          <w:lang w:eastAsia="en-US" w:bidi="ar-SA"/>
        </w:rPr>
      </w:pPr>
      <w:r>
        <w:rPr>
          <w:lang w:eastAsia="en-US" w:bidi="ar-SA"/>
        </w:rPr>
        <w:fldChar w:fldCharType="begin"/>
      </w:r>
      <w:r w:rsidR="00DC260C">
        <w:rPr>
          <w:lang w:eastAsia="en-US" w:bidi="ar-SA"/>
        </w:rPr>
        <w:instrText xml:space="preserve"> delta_signerJobTitle  \* MERGEFORMAT</w:instrText>
      </w:r>
      <w:r>
        <w:rPr>
          <w:lang w:eastAsia="en-US" w:bidi="ar-SA"/>
        </w:rPr>
        <w:fldChar w:fldCharType="separate"/>
      </w:r>
      <w:r w:rsidR="00DC260C">
        <w:rPr>
          <w:lang w:eastAsia="en-US" w:bidi="ar-SA"/>
        </w:rPr>
        <w:t>majandus- ja tööstusminister</w:t>
      </w:r>
      <w:r>
        <w:rPr>
          <w:lang w:eastAsia="en-US" w:bidi="ar-SA"/>
        </w:rPr>
        <w:fldChar w:fldCharType="end"/>
      </w:r>
    </w:p>
    <w:p w14:paraId="2597C04C" w14:textId="77777777" w:rsidR="003F35DE" w:rsidRDefault="003F35DE" w:rsidP="004211BF">
      <w:pPr>
        <w:tabs>
          <w:tab w:val="left" w:pos="5387"/>
        </w:tabs>
        <w:spacing w:line="240" w:lineRule="auto"/>
        <w:jc w:val="left"/>
        <w:rPr>
          <w:lang w:eastAsia="en-US" w:bidi="ar-SA"/>
        </w:rPr>
      </w:pPr>
    </w:p>
    <w:p w14:paraId="1AC0D168" w14:textId="3697A604" w:rsidR="003F35DE" w:rsidRDefault="003F35DE" w:rsidP="003F35DE">
      <w:pPr>
        <w:spacing w:line="240" w:lineRule="auto"/>
        <w:jc w:val="left"/>
        <w:rPr>
          <w:kern w:val="2"/>
          <w:lang w:eastAsia="en-US" w:bidi="ar-SA"/>
        </w:rPr>
      </w:pPr>
    </w:p>
    <w:p w14:paraId="722E338F" w14:textId="77777777" w:rsidR="003F35DE" w:rsidRDefault="003F35DE" w:rsidP="003F35DE">
      <w:pPr>
        <w:spacing w:line="240" w:lineRule="auto"/>
        <w:jc w:val="left"/>
        <w:rPr>
          <w:lang w:eastAsia="en-US" w:bidi="ar-SA"/>
        </w:rPr>
      </w:pPr>
      <w:r>
        <w:rPr>
          <w:lang w:eastAsia="en-US" w:bidi="ar-SA"/>
        </w:rPr>
        <w:t>(allkirjastatud digitaalselt)</w:t>
      </w:r>
    </w:p>
    <w:p w14:paraId="5B9EB380" w14:textId="2DFD90E5" w:rsidR="00D3183A" w:rsidRDefault="003F35DE" w:rsidP="00317F3A">
      <w:pPr>
        <w:jc w:val="left"/>
      </w:pPr>
      <w:r>
        <w:rPr>
          <w:lang w:eastAsia="en-US" w:bidi="ar-SA"/>
        </w:rPr>
        <w:fldChar w:fldCharType="begin"/>
      </w:r>
      <w:r w:rsidR="00DC260C">
        <w:rPr>
          <w:lang w:eastAsia="en-US" w:bidi="ar-SA"/>
        </w:rPr>
        <w:instrText xml:space="preserve"> delta_secondsignerName  \* MERGEFORMAT</w:instrText>
      </w:r>
      <w:r>
        <w:rPr>
          <w:lang w:eastAsia="en-US" w:bidi="ar-SA"/>
        </w:rPr>
        <w:fldChar w:fldCharType="separate"/>
      </w:r>
      <w:r w:rsidR="00DC260C">
        <w:rPr>
          <w:lang w:eastAsia="en-US" w:bidi="ar-SA"/>
        </w:rPr>
        <w:t>Ahti Kuningas</w:t>
      </w:r>
      <w:r>
        <w:rPr>
          <w:lang w:eastAsia="en-US" w:bidi="ar-SA"/>
        </w:rPr>
        <w:fldChar w:fldCharType="end"/>
      </w:r>
      <w:r>
        <w:rPr>
          <w:lang w:eastAsia="en-US" w:bidi="ar-SA"/>
        </w:rPr>
        <w:br/>
      </w:r>
      <w:r>
        <w:rPr>
          <w:lang w:eastAsia="en-US" w:bidi="ar-SA"/>
        </w:rPr>
        <w:fldChar w:fldCharType="begin"/>
      </w:r>
      <w:r w:rsidR="00DC260C">
        <w:rPr>
          <w:lang w:eastAsia="en-US" w:bidi="ar-SA"/>
        </w:rPr>
        <w:instrText xml:space="preserve"> delta_secondsignerJobTitle  \* MERGEFORMAT</w:instrText>
      </w:r>
      <w:r>
        <w:rPr>
          <w:lang w:eastAsia="en-US" w:bidi="ar-SA"/>
        </w:rPr>
        <w:fldChar w:fldCharType="separate"/>
      </w:r>
      <w:r w:rsidR="00DC260C">
        <w:rPr>
          <w:lang w:eastAsia="en-US" w:bidi="ar-SA"/>
        </w:rPr>
        <w:t>kantsler</w:t>
      </w:r>
      <w:r>
        <w:rPr>
          <w:lang w:eastAsia="en-US" w:bidi="ar-SA"/>
        </w:rPr>
        <w:fldChar w:fldCharType="end"/>
      </w:r>
      <w:r w:rsidR="00DC260C">
        <w:rPr>
          <w:lang w:eastAsia="en-US" w:bidi="ar-SA"/>
        </w:rPr>
        <w:t xml:space="preserve"> </w:t>
      </w:r>
    </w:p>
    <w:sectPr w:rsidR="00D3183A" w:rsidSect="00317F3A">
      <w:footerReference w:type="default" r:id="rId7"/>
      <w:pgSz w:w="11906" w:h="16838"/>
      <w:pgMar w:top="907"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2E122" w14:textId="77777777" w:rsidR="003F0F1F" w:rsidRDefault="003F0F1F" w:rsidP="003F0F1F">
      <w:pPr>
        <w:spacing w:line="240" w:lineRule="auto"/>
      </w:pPr>
      <w:r>
        <w:separator/>
      </w:r>
    </w:p>
  </w:endnote>
  <w:endnote w:type="continuationSeparator" w:id="0">
    <w:p w14:paraId="2F7AD0C6" w14:textId="77777777" w:rsidR="003F0F1F" w:rsidRDefault="003F0F1F" w:rsidP="003F0F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68000"/>
      <w:docPartObj>
        <w:docPartGallery w:val="Page Numbers (Bottom of Page)"/>
        <w:docPartUnique/>
      </w:docPartObj>
    </w:sdtPr>
    <w:sdtEndPr/>
    <w:sdtContent>
      <w:p w14:paraId="284F6ACD" w14:textId="4BB43B15" w:rsidR="003F0F1F" w:rsidRDefault="003F0F1F">
        <w:pPr>
          <w:pStyle w:val="Jalus"/>
          <w:jc w:val="center"/>
        </w:pPr>
        <w:r>
          <w:fldChar w:fldCharType="begin"/>
        </w:r>
        <w:r>
          <w:instrText>PAGE   \* MERGEFORMAT</w:instrText>
        </w:r>
        <w:r>
          <w:fldChar w:fldCharType="separate"/>
        </w:r>
        <w:r w:rsidR="00DC260C">
          <w:rPr>
            <w:noProof/>
          </w:rPr>
          <w:t>2</w:t>
        </w:r>
        <w:r>
          <w:fldChar w:fldCharType="end"/>
        </w:r>
      </w:p>
    </w:sdtContent>
  </w:sdt>
  <w:p w14:paraId="4624F7B5" w14:textId="77777777" w:rsidR="003F0F1F" w:rsidRDefault="003F0F1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5B6F" w14:textId="77777777" w:rsidR="003F0F1F" w:rsidRDefault="003F0F1F" w:rsidP="003F0F1F">
      <w:pPr>
        <w:spacing w:line="240" w:lineRule="auto"/>
      </w:pPr>
      <w:r>
        <w:separator/>
      </w:r>
    </w:p>
  </w:footnote>
  <w:footnote w:type="continuationSeparator" w:id="0">
    <w:p w14:paraId="1C9CE309" w14:textId="77777777" w:rsidR="003F0F1F" w:rsidRDefault="003F0F1F" w:rsidP="003F0F1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3A"/>
    <w:rsid w:val="000460E1"/>
    <w:rsid w:val="0004781D"/>
    <w:rsid w:val="00060774"/>
    <w:rsid w:val="000B0473"/>
    <w:rsid w:val="000C7792"/>
    <w:rsid w:val="00121A78"/>
    <w:rsid w:val="0012427B"/>
    <w:rsid w:val="00186EFA"/>
    <w:rsid w:val="00194A32"/>
    <w:rsid w:val="00210776"/>
    <w:rsid w:val="00253A78"/>
    <w:rsid w:val="002A2B49"/>
    <w:rsid w:val="00317F3A"/>
    <w:rsid w:val="0036260B"/>
    <w:rsid w:val="003A434C"/>
    <w:rsid w:val="003D14F6"/>
    <w:rsid w:val="003E52C0"/>
    <w:rsid w:val="003F0F1F"/>
    <w:rsid w:val="003F35DE"/>
    <w:rsid w:val="004211BF"/>
    <w:rsid w:val="004438A0"/>
    <w:rsid w:val="00446615"/>
    <w:rsid w:val="004C2256"/>
    <w:rsid w:val="00563D91"/>
    <w:rsid w:val="005914A4"/>
    <w:rsid w:val="00610E9F"/>
    <w:rsid w:val="00630134"/>
    <w:rsid w:val="00770CD7"/>
    <w:rsid w:val="00821714"/>
    <w:rsid w:val="008261FB"/>
    <w:rsid w:val="008733BC"/>
    <w:rsid w:val="008B75CA"/>
    <w:rsid w:val="009F3873"/>
    <w:rsid w:val="00A02530"/>
    <w:rsid w:val="00A12829"/>
    <w:rsid w:val="00A304F7"/>
    <w:rsid w:val="00A77566"/>
    <w:rsid w:val="00A937E6"/>
    <w:rsid w:val="00AA51C3"/>
    <w:rsid w:val="00AD338E"/>
    <w:rsid w:val="00C017FD"/>
    <w:rsid w:val="00C7134C"/>
    <w:rsid w:val="00CA0401"/>
    <w:rsid w:val="00CC0694"/>
    <w:rsid w:val="00CE085D"/>
    <w:rsid w:val="00CE499F"/>
    <w:rsid w:val="00D05680"/>
    <w:rsid w:val="00D3183A"/>
    <w:rsid w:val="00DC260C"/>
    <w:rsid w:val="00E37BBF"/>
    <w:rsid w:val="00E41702"/>
    <w:rsid w:val="00E51B27"/>
    <w:rsid w:val="00F356A6"/>
    <w:rsid w:val="00F41645"/>
    <w:rsid w:val="00F95664"/>
    <w:rsid w:val="00FA446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B31B"/>
  <w15:chartTrackingRefBased/>
  <w15:docId w15:val="{CFF083C1-3591-4D40-9102-B494DA1D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7F3A"/>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TableContents">
    <w:name w:val="Table Contents"/>
    <w:basedOn w:val="Normaallaad"/>
    <w:rsid w:val="00317F3A"/>
    <w:pPr>
      <w:suppressLineNumbers/>
    </w:pPr>
  </w:style>
  <w:style w:type="paragraph" w:customStyle="1" w:styleId="AK">
    <w:name w:val="AK"/>
    <w:autoRedefine/>
    <w:qFormat/>
    <w:rsid w:val="00317F3A"/>
    <w:pPr>
      <w:keepNext/>
      <w:keepLines/>
      <w:suppressLineNumbers/>
      <w:spacing w:after="0" w:line="240" w:lineRule="auto"/>
    </w:pPr>
    <w:rPr>
      <w:rFonts w:ascii="Times New Roman" w:eastAsia="SimSun" w:hAnsi="Times New Roman" w:cs="Times New Roman"/>
      <w:bCs/>
      <w:kern w:val="1"/>
      <w:sz w:val="20"/>
      <w:szCs w:val="20"/>
      <w:lang w:eastAsia="zh-CN" w:bidi="hi-IN"/>
    </w:rPr>
  </w:style>
  <w:style w:type="paragraph" w:customStyle="1" w:styleId="Pealkiri1">
    <w:name w:val="Pealkiri1"/>
    <w:autoRedefine/>
    <w:qFormat/>
    <w:rsid w:val="00317F3A"/>
    <w:pPr>
      <w:spacing w:after="560" w:line="240" w:lineRule="auto"/>
    </w:pPr>
    <w:rPr>
      <w:rFonts w:ascii="Times New Roman" w:eastAsia="SimSun" w:hAnsi="Times New Roman" w:cs="Times New Roman"/>
      <w:b/>
      <w:bCs/>
      <w:kern w:val="1"/>
      <w:sz w:val="24"/>
      <w:szCs w:val="24"/>
      <w:lang w:eastAsia="zh-CN" w:bidi="hi-IN"/>
    </w:rPr>
  </w:style>
  <w:style w:type="paragraph" w:customStyle="1" w:styleId="Kuupev1">
    <w:name w:val="Kuupäev1"/>
    <w:autoRedefine/>
    <w:qFormat/>
    <w:rsid w:val="00317F3A"/>
    <w:pPr>
      <w:spacing w:before="840" w:after="0" w:line="240" w:lineRule="auto"/>
      <w:jc w:val="right"/>
    </w:pPr>
    <w:rPr>
      <w:rFonts w:ascii="Times New Roman" w:eastAsia="SimSun" w:hAnsi="Times New Roman" w:cs="Times New Roman"/>
      <w:kern w:val="24"/>
      <w:sz w:val="24"/>
      <w:szCs w:val="24"/>
      <w:lang w:eastAsia="zh-CN" w:bidi="hi-IN"/>
    </w:rPr>
  </w:style>
  <w:style w:type="paragraph" w:customStyle="1" w:styleId="Liik">
    <w:name w:val="Liik"/>
    <w:autoRedefine/>
    <w:qFormat/>
    <w:rsid w:val="00317F3A"/>
    <w:pPr>
      <w:spacing w:after="0" w:line="240" w:lineRule="auto"/>
    </w:pPr>
    <w:rPr>
      <w:rFonts w:ascii="Times New Roman" w:eastAsia="SimSun" w:hAnsi="Times New Roman" w:cs="Times New Roman"/>
      <w:caps/>
      <w:kern w:val="24"/>
      <w:sz w:val="24"/>
      <w:szCs w:val="24"/>
      <w:lang w:eastAsia="zh-CN" w:bidi="hi-IN"/>
    </w:rPr>
  </w:style>
  <w:style w:type="paragraph" w:customStyle="1" w:styleId="Tekst">
    <w:name w:val="Tekst"/>
    <w:autoRedefine/>
    <w:qFormat/>
    <w:rsid w:val="00194A32"/>
    <w:pPr>
      <w:spacing w:after="0" w:line="240" w:lineRule="auto"/>
      <w:jc w:val="both"/>
    </w:pPr>
    <w:rPr>
      <w:rFonts w:ascii="Times New Roman" w:eastAsia="SimSun" w:hAnsi="Times New Roman" w:cs="Mangal"/>
      <w:kern w:val="1"/>
      <w:sz w:val="24"/>
      <w:szCs w:val="24"/>
      <w:lang w:eastAsia="zh-CN" w:bidi="hi-IN"/>
    </w:rPr>
  </w:style>
  <w:style w:type="paragraph" w:customStyle="1" w:styleId="allikirjastajanimi">
    <w:name w:val="allikirjastaja:nimi"/>
    <w:basedOn w:val="Normaallaad"/>
    <w:next w:val="Normaallaad"/>
    <w:rsid w:val="00194A32"/>
    <w:pPr>
      <w:widowControl/>
      <w:suppressAutoHyphens w:val="0"/>
      <w:spacing w:line="240" w:lineRule="auto"/>
      <w:jc w:val="left"/>
    </w:pPr>
    <w:rPr>
      <w:rFonts w:eastAsia="Times New Roman"/>
      <w:kern w:val="0"/>
      <w:lang w:eastAsia="en-US" w:bidi="ar-SA"/>
    </w:rPr>
  </w:style>
  <w:style w:type="character" w:styleId="Kommentaariviide">
    <w:name w:val="annotation reference"/>
    <w:basedOn w:val="Liguvaikefont"/>
    <w:uiPriority w:val="99"/>
    <w:semiHidden/>
    <w:unhideWhenUsed/>
    <w:rsid w:val="000C7792"/>
    <w:rPr>
      <w:sz w:val="16"/>
      <w:szCs w:val="16"/>
    </w:rPr>
  </w:style>
  <w:style w:type="paragraph" w:styleId="Kommentaaritekst">
    <w:name w:val="annotation text"/>
    <w:basedOn w:val="Normaallaad"/>
    <w:link w:val="KommentaaritekstMrk"/>
    <w:uiPriority w:val="99"/>
    <w:unhideWhenUsed/>
    <w:rsid w:val="000C7792"/>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0C7792"/>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0C7792"/>
    <w:rPr>
      <w:b/>
      <w:bCs/>
    </w:rPr>
  </w:style>
  <w:style w:type="character" w:customStyle="1" w:styleId="KommentaariteemaMrk">
    <w:name w:val="Kommentaari teema Märk"/>
    <w:basedOn w:val="KommentaaritekstMrk"/>
    <w:link w:val="Kommentaariteema"/>
    <w:uiPriority w:val="99"/>
    <w:semiHidden/>
    <w:rsid w:val="000C7792"/>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0C7792"/>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0C7792"/>
    <w:rPr>
      <w:rFonts w:ascii="Segoe UI" w:eastAsia="SimSun" w:hAnsi="Segoe UI" w:cs="Mangal"/>
      <w:kern w:val="1"/>
      <w:sz w:val="18"/>
      <w:szCs w:val="16"/>
      <w:lang w:eastAsia="zh-CN" w:bidi="hi-IN"/>
    </w:rPr>
  </w:style>
  <w:style w:type="character" w:styleId="Kohatitetekst">
    <w:name w:val="Placeholder Text"/>
    <w:basedOn w:val="Liguvaikefont"/>
    <w:uiPriority w:val="99"/>
    <w:semiHidden/>
    <w:rsid w:val="004211BF"/>
    <w:rPr>
      <w:color w:val="808080"/>
    </w:rPr>
  </w:style>
  <w:style w:type="paragraph" w:styleId="Redaktsioon">
    <w:name w:val="Revision"/>
    <w:hidden/>
    <w:uiPriority w:val="99"/>
    <w:semiHidden/>
    <w:rsid w:val="00186EFA"/>
    <w:pPr>
      <w:spacing w:after="0" w:line="240" w:lineRule="auto"/>
    </w:pPr>
    <w:rPr>
      <w:rFonts w:ascii="Times New Roman" w:eastAsia="SimSun" w:hAnsi="Times New Roman" w:cs="Mangal"/>
      <w:kern w:val="1"/>
      <w:sz w:val="24"/>
      <w:szCs w:val="21"/>
      <w:lang w:eastAsia="zh-CN" w:bidi="hi-IN"/>
    </w:rPr>
  </w:style>
  <w:style w:type="paragraph" w:styleId="Pis">
    <w:name w:val="header"/>
    <w:basedOn w:val="Normaallaad"/>
    <w:link w:val="PisMrk"/>
    <w:uiPriority w:val="99"/>
    <w:unhideWhenUsed/>
    <w:rsid w:val="003F0F1F"/>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rsid w:val="003F0F1F"/>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3F0F1F"/>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3F0F1F"/>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21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3375</Characters>
  <Application>Microsoft Office Word</Application>
  <DocSecurity>0</DocSecurity>
  <Lines>28</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Mariko Männa</dc:creator>
  <cp:keywords/>
  <dc:description/>
  <cp:lastModifiedBy>Merle Järve - RAM</cp:lastModifiedBy>
  <cp:revision>2</cp:revision>
  <dcterms:created xsi:type="dcterms:W3CDTF">2025-12-11T11:03:00Z</dcterms:created>
  <dcterms:modified xsi:type="dcterms:W3CDTF">2025-12-11T11:03:00Z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{reg.kpv}</vt:lpwstr>
  </property>
  <property fmtid="{D5CDD505-2E9C-101B-9397-08002B2CF9AE}" pid="3" name="delta_regNumber">
    <vt:lpwstr>{viit}</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ga_secondsignerJobTitle">
    <vt:lpwstr>{teise allkirjastaja ametikoht}</vt:lpwstr>
  </property>
  <property fmtid="{D5CDD505-2E9C-101B-9397-08002B2CF9AE}" pid="7" name="delta_secondsignerName">
    <vt:lpwstr>{teine allkirjastaja}</vt:lpwstr>
  </property>
  <property fmtid="{D5CDD505-2E9C-101B-9397-08002B2CF9AE}" pid="8" name="delta_signerJobTitle">
    <vt:lpwstr>{ametikoht}</vt:lpwstr>
  </property>
  <property fmtid="{D5CDD505-2E9C-101B-9397-08002B2CF9AE}" pid="9" name="delta_secondsignerJobTitle">
    <vt:lpwstr>{teise allkirjastaja ametikoht}</vt:lpwstr>
  </property>
  <property fmtid="{D5CDD505-2E9C-101B-9397-08002B2CF9AE}" pid="10" name="MSIP_Label_defa4170-0d19-0005-0004-bc88714345d2_Enabled">
    <vt:lpwstr>true</vt:lpwstr>
  </property>
  <property fmtid="{D5CDD505-2E9C-101B-9397-08002B2CF9AE}" pid="11" name="MSIP_Label_defa4170-0d19-0005-0004-bc88714345d2_SetDate">
    <vt:lpwstr>2025-11-27T08:44:18Z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8fe098d2-428d-4bd4-9803-7195fe96f0e2</vt:lpwstr>
  </property>
  <property fmtid="{D5CDD505-2E9C-101B-9397-08002B2CF9AE}" pid="15" name="MSIP_Label_defa4170-0d19-0005-0004-bc88714345d2_ActionId">
    <vt:lpwstr>34a52b83-b70a-4616-ac32-a1c90fb4ca99</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ies>
</file>