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D9A" w:rsidRPr="00892B63" w:rsidRDefault="00F51D9A" w:rsidP="00892B63">
      <w:pPr>
        <w:jc w:val="both"/>
        <w:rPr>
          <w:b/>
        </w:rPr>
      </w:pPr>
      <w:r w:rsidRPr="00892B63">
        <w:rPr>
          <w:b/>
        </w:rPr>
        <w:t>Vabariigi Valitsuse 22. detsembri 2011. a määruse nr 171 „Strateegiliste kaupade nimekiri“ muutmise määruse eelnõu seletuskiri</w:t>
      </w:r>
    </w:p>
    <w:p w:rsidR="00F51D9A" w:rsidRPr="003B234F" w:rsidRDefault="00F51D9A" w:rsidP="00F51D9A">
      <w:pPr>
        <w:jc w:val="both"/>
      </w:pPr>
    </w:p>
    <w:p w:rsidR="00F51D9A" w:rsidRPr="003B234F" w:rsidRDefault="00F51D9A" w:rsidP="00F51D9A">
      <w:pPr>
        <w:jc w:val="both"/>
        <w:rPr>
          <w:b/>
        </w:rPr>
      </w:pPr>
      <w:r w:rsidRPr="003B234F">
        <w:rPr>
          <w:b/>
        </w:rPr>
        <w:t>1. Sissejuhatus</w:t>
      </w:r>
    </w:p>
    <w:p w:rsidR="00F51D9A" w:rsidRPr="003B234F" w:rsidRDefault="00F51D9A" w:rsidP="00F51D9A">
      <w:pPr>
        <w:jc w:val="both"/>
      </w:pPr>
    </w:p>
    <w:p w:rsidR="009F492E" w:rsidRPr="00486E5A" w:rsidRDefault="009F492E" w:rsidP="00F51D9A">
      <w:pPr>
        <w:jc w:val="both"/>
        <w:rPr>
          <w:b/>
        </w:rPr>
      </w:pPr>
      <w:r w:rsidRPr="00486E5A">
        <w:rPr>
          <w:b/>
        </w:rPr>
        <w:t>1.1</w:t>
      </w:r>
      <w:r w:rsidR="00892B63" w:rsidRPr="00486E5A">
        <w:rPr>
          <w:b/>
        </w:rPr>
        <w:t>.</w:t>
      </w:r>
      <w:r w:rsidRPr="00486E5A">
        <w:rPr>
          <w:b/>
        </w:rPr>
        <w:t xml:space="preserve"> Sisukokkuvõte</w:t>
      </w:r>
    </w:p>
    <w:p w:rsidR="002F4C9B" w:rsidRPr="003B234F" w:rsidRDefault="002F4C9B" w:rsidP="00F51D9A">
      <w:pPr>
        <w:jc w:val="both"/>
      </w:pPr>
    </w:p>
    <w:p w:rsidR="002437A4" w:rsidRPr="003B234F" w:rsidRDefault="00F51D9A" w:rsidP="00A627B8">
      <w:pPr>
        <w:jc w:val="both"/>
      </w:pPr>
      <w:r w:rsidRPr="003B234F">
        <w:t>Eelnõuga muudetakse Vabariigi Valitsuse 22. detsembri 2011.</w:t>
      </w:r>
      <w:r w:rsidR="00A627B8" w:rsidRPr="003B234F">
        <w:t xml:space="preserve"> </w:t>
      </w:r>
      <w:r w:rsidRPr="003B234F">
        <w:t>a</w:t>
      </w:r>
      <w:r w:rsidR="00A627B8" w:rsidRPr="003B234F">
        <w:t>asta</w:t>
      </w:r>
      <w:r w:rsidRPr="003B234F">
        <w:t xml:space="preserve"> määrust nr 171 „Strateegiliste kaupade nimekiri“ (edaspidi </w:t>
      </w:r>
      <w:r w:rsidRPr="003B234F">
        <w:rPr>
          <w:i/>
        </w:rPr>
        <w:t>määrus</w:t>
      </w:r>
      <w:r w:rsidRPr="003B234F">
        <w:t xml:space="preserve">). </w:t>
      </w:r>
      <w:r w:rsidRPr="00892B63">
        <w:t xml:space="preserve">Muudatuste </w:t>
      </w:r>
      <w:r w:rsidR="00637FEB" w:rsidRPr="00892B63">
        <w:t>eesmärk</w:t>
      </w:r>
      <w:r w:rsidR="002437A4" w:rsidRPr="00892B63">
        <w:t xml:space="preserve"> on </w:t>
      </w:r>
      <w:r w:rsidR="0071537A" w:rsidRPr="00892B63">
        <w:t xml:space="preserve">ajakohastada </w:t>
      </w:r>
      <w:r w:rsidR="002437A4" w:rsidRPr="00892B63">
        <w:t>sõjaliste kaupade nimekir</w:t>
      </w:r>
      <w:r w:rsidR="0071537A" w:rsidRPr="00892B63">
        <w:t>i ja võtta Eesti õigusesse üle Euroopa Liidu Komisjoni direktiiviga 20</w:t>
      </w:r>
      <w:r w:rsidR="00AD38F7" w:rsidRPr="00892B63">
        <w:t>21</w:t>
      </w:r>
      <w:r w:rsidR="0071537A" w:rsidRPr="00892B63">
        <w:t>/</w:t>
      </w:r>
      <w:r w:rsidR="00AD38F7" w:rsidRPr="00892B63">
        <w:t>10</w:t>
      </w:r>
      <w:r w:rsidR="00DB3111" w:rsidRPr="00892B63">
        <w:t>4</w:t>
      </w:r>
      <w:r w:rsidR="00AD38F7" w:rsidRPr="00892B63">
        <w:t>7</w:t>
      </w:r>
      <w:r w:rsidR="0071537A" w:rsidRPr="00892B63">
        <w:t>/EL</w:t>
      </w:r>
      <w:r w:rsidR="002437A4" w:rsidRPr="00892B63">
        <w:t xml:space="preserve"> </w:t>
      </w:r>
      <w:r w:rsidR="0071537A" w:rsidRPr="00892B63">
        <w:t xml:space="preserve">(edaspidi </w:t>
      </w:r>
      <w:r w:rsidR="00486E5A">
        <w:t xml:space="preserve">ka </w:t>
      </w:r>
      <w:r w:rsidR="0071537A" w:rsidRPr="00486E5A">
        <w:rPr>
          <w:i/>
        </w:rPr>
        <w:t>direktiiv</w:t>
      </w:r>
      <w:r w:rsidR="0071537A" w:rsidRPr="00892B63">
        <w:t>) kehtestatud kaitseotstarbeliste toodete nimekiri.</w:t>
      </w:r>
      <w:r w:rsidR="00AD13A2" w:rsidRPr="003B234F">
        <w:t xml:space="preserve"> Muudatused on vajalikud tulenevalt </w:t>
      </w:r>
      <w:proofErr w:type="spellStart"/>
      <w:r w:rsidR="00AD13A2" w:rsidRPr="003B234F">
        <w:t>Wassenaari</w:t>
      </w:r>
      <w:proofErr w:type="spellEnd"/>
      <w:r w:rsidR="00AD13A2" w:rsidRPr="003B234F">
        <w:t xml:space="preserve"> </w:t>
      </w:r>
      <w:r w:rsidR="00892B63">
        <w:t xml:space="preserve">kokkuleppe organisatsiooni </w:t>
      </w:r>
      <w:r w:rsidR="00892B63" w:rsidRPr="00892B63">
        <w:t>(</w:t>
      </w:r>
      <w:proofErr w:type="spellStart"/>
      <w:r w:rsidR="00892B63" w:rsidRPr="00486E5A">
        <w:rPr>
          <w:i/>
        </w:rPr>
        <w:t>Wassenaar</w:t>
      </w:r>
      <w:proofErr w:type="spellEnd"/>
      <w:r w:rsidR="00892B63" w:rsidRPr="00486E5A">
        <w:rPr>
          <w:i/>
        </w:rPr>
        <w:t xml:space="preserve"> </w:t>
      </w:r>
      <w:proofErr w:type="spellStart"/>
      <w:r w:rsidR="00892B63" w:rsidRPr="00486E5A">
        <w:rPr>
          <w:i/>
        </w:rPr>
        <w:t>Arrangement</w:t>
      </w:r>
      <w:proofErr w:type="spellEnd"/>
      <w:r w:rsidR="00892B63" w:rsidRPr="00486E5A">
        <w:rPr>
          <w:i/>
        </w:rPr>
        <w:t xml:space="preserve"> on </w:t>
      </w:r>
      <w:proofErr w:type="spellStart"/>
      <w:r w:rsidR="00892B63" w:rsidRPr="00486E5A">
        <w:rPr>
          <w:i/>
        </w:rPr>
        <w:t>Export</w:t>
      </w:r>
      <w:proofErr w:type="spellEnd"/>
      <w:r w:rsidR="00892B63" w:rsidRPr="00486E5A">
        <w:rPr>
          <w:i/>
        </w:rPr>
        <w:t xml:space="preserve"> </w:t>
      </w:r>
      <w:proofErr w:type="spellStart"/>
      <w:r w:rsidR="00892B63" w:rsidRPr="00486E5A">
        <w:rPr>
          <w:i/>
        </w:rPr>
        <w:t>Controls</w:t>
      </w:r>
      <w:proofErr w:type="spellEnd"/>
      <w:r w:rsidR="00892B63" w:rsidRPr="00486E5A">
        <w:rPr>
          <w:i/>
        </w:rPr>
        <w:t xml:space="preserve"> </w:t>
      </w:r>
      <w:proofErr w:type="spellStart"/>
      <w:r w:rsidR="00892B63" w:rsidRPr="00486E5A">
        <w:rPr>
          <w:i/>
        </w:rPr>
        <w:t>for</w:t>
      </w:r>
      <w:proofErr w:type="spellEnd"/>
      <w:r w:rsidR="00892B63" w:rsidRPr="00486E5A">
        <w:rPr>
          <w:i/>
        </w:rPr>
        <w:t xml:space="preserve"> </w:t>
      </w:r>
      <w:proofErr w:type="spellStart"/>
      <w:r w:rsidR="00892B63" w:rsidRPr="00486E5A">
        <w:rPr>
          <w:i/>
        </w:rPr>
        <w:t>Conventional</w:t>
      </w:r>
      <w:proofErr w:type="spellEnd"/>
      <w:r w:rsidR="00892B63" w:rsidRPr="00486E5A">
        <w:rPr>
          <w:i/>
        </w:rPr>
        <w:t xml:space="preserve"> </w:t>
      </w:r>
      <w:proofErr w:type="spellStart"/>
      <w:r w:rsidR="00892B63" w:rsidRPr="00486E5A">
        <w:rPr>
          <w:i/>
        </w:rPr>
        <w:t>Arms</w:t>
      </w:r>
      <w:proofErr w:type="spellEnd"/>
      <w:r w:rsidR="00892B63" w:rsidRPr="00486E5A">
        <w:rPr>
          <w:i/>
        </w:rPr>
        <w:t xml:space="preserve"> and </w:t>
      </w:r>
      <w:proofErr w:type="spellStart"/>
      <w:r w:rsidR="00892B63" w:rsidRPr="00486E5A">
        <w:rPr>
          <w:i/>
        </w:rPr>
        <w:t>Dual-Use</w:t>
      </w:r>
      <w:proofErr w:type="spellEnd"/>
      <w:r w:rsidR="00892B63" w:rsidRPr="00486E5A">
        <w:rPr>
          <w:i/>
        </w:rPr>
        <w:t xml:space="preserve"> </w:t>
      </w:r>
      <w:proofErr w:type="spellStart"/>
      <w:r w:rsidR="00892B63" w:rsidRPr="00486E5A">
        <w:rPr>
          <w:i/>
        </w:rPr>
        <w:t>Goods</w:t>
      </w:r>
      <w:proofErr w:type="spellEnd"/>
      <w:r w:rsidR="00892B63" w:rsidRPr="00486E5A">
        <w:rPr>
          <w:i/>
        </w:rPr>
        <w:t xml:space="preserve"> and Technologies</w:t>
      </w:r>
      <w:r w:rsidR="00892B63">
        <w:t>)</w:t>
      </w:r>
      <w:r w:rsidR="00AD13A2" w:rsidRPr="003B234F">
        <w:t xml:space="preserve"> ja Euroopa Liidu nõuetest</w:t>
      </w:r>
      <w:r w:rsidR="0071537A">
        <w:t xml:space="preserve">. </w:t>
      </w:r>
      <w:r w:rsidR="002437A4" w:rsidRPr="003B234F">
        <w:t>Ühtlasi täiendatakse määrust normitehnilise märkusega.</w:t>
      </w:r>
    </w:p>
    <w:p w:rsidR="00F51D9A" w:rsidRPr="003B234F" w:rsidRDefault="00F51D9A" w:rsidP="00F51D9A">
      <w:pPr>
        <w:jc w:val="both"/>
      </w:pPr>
    </w:p>
    <w:p w:rsidR="009F492E" w:rsidRPr="00486E5A" w:rsidRDefault="009F492E" w:rsidP="00F51D9A">
      <w:pPr>
        <w:jc w:val="both"/>
        <w:outlineLvl w:val="0"/>
        <w:rPr>
          <w:b/>
        </w:rPr>
      </w:pPr>
      <w:r w:rsidRPr="00486E5A">
        <w:rPr>
          <w:b/>
        </w:rPr>
        <w:t>1.2</w:t>
      </w:r>
      <w:r w:rsidR="00486E5A" w:rsidRPr="00486E5A">
        <w:rPr>
          <w:b/>
        </w:rPr>
        <w:t>.</w:t>
      </w:r>
      <w:r w:rsidRPr="00486E5A">
        <w:rPr>
          <w:b/>
        </w:rPr>
        <w:t xml:space="preserve"> Eelnõu ettevalmistaja</w:t>
      </w:r>
    </w:p>
    <w:p w:rsidR="002F4C9B" w:rsidRPr="00486E5A" w:rsidRDefault="002F4C9B" w:rsidP="00F51D9A">
      <w:pPr>
        <w:jc w:val="both"/>
        <w:outlineLvl w:val="0"/>
        <w:rPr>
          <w:b/>
        </w:rPr>
      </w:pPr>
    </w:p>
    <w:p w:rsidR="00F51D9A" w:rsidRPr="003B234F" w:rsidRDefault="00F51D9A" w:rsidP="00F51D9A">
      <w:pPr>
        <w:jc w:val="both"/>
        <w:outlineLvl w:val="0"/>
      </w:pPr>
      <w:r w:rsidRPr="003B234F">
        <w:t xml:space="preserve">Eelnõu ja seletuskirja on koostanud Välisministeeriumi poliitikaosakonna </w:t>
      </w:r>
      <w:r w:rsidR="00486E5A">
        <w:t>1. büroo (</w:t>
      </w:r>
      <w:r w:rsidR="00AD38F7">
        <w:t>sanktsioonide</w:t>
      </w:r>
      <w:r w:rsidRPr="003B234F">
        <w:t xml:space="preserve"> ja </w:t>
      </w:r>
      <w:r w:rsidR="00AD38F7">
        <w:t xml:space="preserve">strateegilise kauba </w:t>
      </w:r>
      <w:r w:rsidRPr="003B234F">
        <w:t>büroo</w:t>
      </w:r>
      <w:r w:rsidR="00486E5A">
        <w:t>)</w:t>
      </w:r>
      <w:r w:rsidRPr="003B234F">
        <w:t xml:space="preserve"> nõunik </w:t>
      </w:r>
      <w:r w:rsidR="00D40587" w:rsidRPr="003B234F">
        <w:t>Mait Martinson</w:t>
      </w:r>
      <w:r w:rsidRPr="003B234F">
        <w:t xml:space="preserve"> (637 7251;</w:t>
      </w:r>
      <w:r w:rsidR="00D40587" w:rsidRPr="003B234F">
        <w:t xml:space="preserve"> </w:t>
      </w:r>
      <w:hyperlink r:id="rId8" w:history="1">
        <w:r w:rsidR="00D40587" w:rsidRPr="003B234F">
          <w:rPr>
            <w:rStyle w:val="Hyperlink"/>
          </w:rPr>
          <w:t>mait.martinson@mfa.ee</w:t>
        </w:r>
      </w:hyperlink>
      <w:r w:rsidRPr="003B234F">
        <w:t xml:space="preserve">) ning </w:t>
      </w:r>
      <w:r w:rsidR="002F4C9B" w:rsidRPr="003B234F">
        <w:t xml:space="preserve">selle on üle vaadanud </w:t>
      </w:r>
      <w:r w:rsidRPr="003B234F">
        <w:t xml:space="preserve">juriidilise osakonna </w:t>
      </w:r>
      <w:r w:rsidR="00486E5A">
        <w:t>1. büroo (</w:t>
      </w:r>
      <w:r w:rsidRPr="003B234F">
        <w:t>rahvusvahelise õiguse büroo</w:t>
      </w:r>
      <w:r w:rsidR="00486E5A">
        <w:t>)</w:t>
      </w:r>
      <w:r w:rsidRPr="003B234F">
        <w:t xml:space="preserve"> </w:t>
      </w:r>
      <w:r w:rsidR="00552E3C" w:rsidRPr="003B234F">
        <w:t xml:space="preserve">jurist </w:t>
      </w:r>
      <w:r w:rsidR="006069E4">
        <w:t>Liina Martinson</w:t>
      </w:r>
      <w:r w:rsidRPr="003B234F">
        <w:t xml:space="preserve"> (637 74</w:t>
      </w:r>
      <w:r w:rsidR="006069E4">
        <w:t>22</w:t>
      </w:r>
      <w:r w:rsidRPr="003B234F">
        <w:t>;</w:t>
      </w:r>
      <w:r w:rsidR="00D40587" w:rsidRPr="003B234F">
        <w:t xml:space="preserve"> </w:t>
      </w:r>
      <w:hyperlink r:id="rId9" w:history="1">
        <w:r w:rsidR="006069E4" w:rsidRPr="00940427">
          <w:rPr>
            <w:rStyle w:val="Hyperlink"/>
          </w:rPr>
          <w:t>liina.martinson@mfa.ee</w:t>
        </w:r>
      </w:hyperlink>
      <w:r w:rsidR="007669FD" w:rsidRPr="003B234F">
        <w:t>)</w:t>
      </w:r>
      <w:r w:rsidRPr="003B234F">
        <w:t>.</w:t>
      </w:r>
    </w:p>
    <w:p w:rsidR="009F492E" w:rsidRPr="003B234F" w:rsidRDefault="009F492E" w:rsidP="00F51D9A">
      <w:pPr>
        <w:jc w:val="both"/>
        <w:outlineLvl w:val="0"/>
      </w:pPr>
    </w:p>
    <w:p w:rsidR="009F492E" w:rsidRPr="00486E5A" w:rsidRDefault="009F492E" w:rsidP="00F51D9A">
      <w:pPr>
        <w:jc w:val="both"/>
        <w:outlineLvl w:val="0"/>
        <w:rPr>
          <w:b/>
        </w:rPr>
      </w:pPr>
      <w:r w:rsidRPr="00486E5A">
        <w:rPr>
          <w:b/>
        </w:rPr>
        <w:t>1.3</w:t>
      </w:r>
      <w:r w:rsidR="00486E5A" w:rsidRPr="00486E5A">
        <w:rPr>
          <w:b/>
        </w:rPr>
        <w:t>.</w:t>
      </w:r>
      <w:r w:rsidRPr="00486E5A">
        <w:rPr>
          <w:b/>
        </w:rPr>
        <w:t xml:space="preserve"> Märkused</w:t>
      </w:r>
    </w:p>
    <w:p w:rsidR="002F4C9B" w:rsidRPr="003B234F" w:rsidRDefault="002F4C9B" w:rsidP="00F51D9A">
      <w:pPr>
        <w:jc w:val="both"/>
        <w:outlineLvl w:val="0"/>
      </w:pPr>
    </w:p>
    <w:p w:rsidR="009F492E" w:rsidRPr="003B234F" w:rsidRDefault="00BF3A21" w:rsidP="00F51D9A">
      <w:pPr>
        <w:jc w:val="both"/>
        <w:outlineLvl w:val="0"/>
      </w:pPr>
      <w:r w:rsidRPr="00486E5A">
        <w:t xml:space="preserve">Eelnõu on seotud Euroopa Liidu Nõukogus vastu võetud ühise sõjaliste kaupade nimekirjaga </w:t>
      </w:r>
      <w:r w:rsidRPr="00486E5A">
        <w:rPr>
          <w:lang w:val="fi-FI"/>
        </w:rPr>
        <w:t>20</w:t>
      </w:r>
      <w:r w:rsidR="00AD38F7" w:rsidRPr="00486E5A">
        <w:rPr>
          <w:lang w:val="fi-FI"/>
        </w:rPr>
        <w:t>20</w:t>
      </w:r>
      <w:r w:rsidRPr="00486E5A">
        <w:rPr>
          <w:lang w:val="fi-FI"/>
        </w:rPr>
        <w:t>/C </w:t>
      </w:r>
      <w:r w:rsidR="00AD38F7" w:rsidRPr="00486E5A">
        <w:rPr>
          <w:lang w:val="fi-FI"/>
        </w:rPr>
        <w:t>8</w:t>
      </w:r>
      <w:r w:rsidR="00CE077C" w:rsidRPr="00486E5A">
        <w:rPr>
          <w:lang w:val="fi-FI"/>
        </w:rPr>
        <w:t>5</w:t>
      </w:r>
      <w:r w:rsidRPr="00486E5A">
        <w:rPr>
          <w:lang w:val="fi-FI"/>
        </w:rPr>
        <w:t>/01</w:t>
      </w:r>
      <w:r w:rsidR="003B234F" w:rsidRPr="00486E5A">
        <w:rPr>
          <w:lang w:val="fi-FI"/>
        </w:rPr>
        <w:t xml:space="preserve"> (ELT </w:t>
      </w:r>
      <w:r w:rsidR="00AD38F7" w:rsidRPr="00486E5A">
        <w:rPr>
          <w:lang w:val="fi-FI"/>
        </w:rPr>
        <w:t>C85</w:t>
      </w:r>
      <w:r w:rsidR="003B234F" w:rsidRPr="00486E5A">
        <w:rPr>
          <w:lang w:val="fi-FI"/>
        </w:rPr>
        <w:t xml:space="preserve">, </w:t>
      </w:r>
      <w:r w:rsidR="00CE077C" w:rsidRPr="00486E5A">
        <w:rPr>
          <w:lang w:val="fi-FI"/>
        </w:rPr>
        <w:t>1</w:t>
      </w:r>
      <w:r w:rsidR="00AD38F7" w:rsidRPr="00486E5A">
        <w:rPr>
          <w:lang w:val="fi-FI"/>
        </w:rPr>
        <w:t>3</w:t>
      </w:r>
      <w:r w:rsidR="003B234F" w:rsidRPr="00486E5A">
        <w:rPr>
          <w:lang w:val="fi-FI"/>
        </w:rPr>
        <w:t>.</w:t>
      </w:r>
      <w:r w:rsidR="00CE077C" w:rsidRPr="00486E5A">
        <w:rPr>
          <w:lang w:val="fi-FI"/>
        </w:rPr>
        <w:t>03</w:t>
      </w:r>
      <w:r w:rsidR="003B234F" w:rsidRPr="00486E5A">
        <w:rPr>
          <w:lang w:val="fi-FI"/>
        </w:rPr>
        <w:t>.20</w:t>
      </w:r>
      <w:r w:rsidR="00AD38F7" w:rsidRPr="00486E5A">
        <w:rPr>
          <w:lang w:val="fi-FI"/>
        </w:rPr>
        <w:t>20</w:t>
      </w:r>
      <w:r w:rsidR="003B234F" w:rsidRPr="00486E5A">
        <w:rPr>
          <w:lang w:val="fi-FI"/>
        </w:rPr>
        <w:t xml:space="preserve">, lk </w:t>
      </w:r>
      <w:r w:rsidR="00486E5A" w:rsidRPr="00486E5A">
        <w:rPr>
          <w:lang w:val="fi-FI"/>
        </w:rPr>
        <w:t>1</w:t>
      </w:r>
      <w:r w:rsidR="003B234F" w:rsidRPr="00486E5A">
        <w:rPr>
          <w:lang w:val="fi-FI"/>
        </w:rPr>
        <w:t>–</w:t>
      </w:r>
      <w:r w:rsidR="00486E5A" w:rsidRPr="00486E5A">
        <w:rPr>
          <w:lang w:val="fi-FI"/>
        </w:rPr>
        <w:t>37</w:t>
      </w:r>
      <w:r w:rsidR="003B234F" w:rsidRPr="00486E5A">
        <w:rPr>
          <w:lang w:val="fi-FI"/>
        </w:rPr>
        <w:t>)</w:t>
      </w:r>
      <w:r w:rsidR="0071537A" w:rsidRPr="00486E5A">
        <w:rPr>
          <w:lang w:val="fi-FI"/>
        </w:rPr>
        <w:t xml:space="preserve"> ja Euroopa Komisjoni direktiiviga 20</w:t>
      </w:r>
      <w:r w:rsidR="00AD38F7" w:rsidRPr="00486E5A">
        <w:rPr>
          <w:lang w:val="fi-FI"/>
        </w:rPr>
        <w:t>21</w:t>
      </w:r>
      <w:r w:rsidR="0071537A" w:rsidRPr="00486E5A">
        <w:rPr>
          <w:lang w:val="fi-FI"/>
        </w:rPr>
        <w:t>/</w:t>
      </w:r>
      <w:r w:rsidR="00CE077C" w:rsidRPr="00486E5A">
        <w:rPr>
          <w:lang w:val="fi-FI"/>
        </w:rPr>
        <w:t>1</w:t>
      </w:r>
      <w:r w:rsidR="00AD38F7" w:rsidRPr="00486E5A">
        <w:rPr>
          <w:lang w:val="fi-FI"/>
        </w:rPr>
        <w:t>0</w:t>
      </w:r>
      <w:r w:rsidR="00CE077C" w:rsidRPr="00486E5A">
        <w:rPr>
          <w:lang w:val="fi-FI"/>
        </w:rPr>
        <w:t>4</w:t>
      </w:r>
      <w:r w:rsidR="00AD38F7" w:rsidRPr="00486E5A">
        <w:rPr>
          <w:lang w:val="fi-FI"/>
        </w:rPr>
        <w:t>7</w:t>
      </w:r>
      <w:r w:rsidR="0071537A" w:rsidRPr="00486E5A">
        <w:rPr>
          <w:lang w:val="fi-FI"/>
        </w:rPr>
        <w:t>/EL</w:t>
      </w:r>
      <w:r w:rsidRPr="00486E5A">
        <w:rPr>
          <w:lang w:val="fi-FI"/>
        </w:rPr>
        <w:t xml:space="preserve">. </w:t>
      </w:r>
      <w:r w:rsidR="009F492E" w:rsidRPr="00486E5A">
        <w:t>E</w:t>
      </w:r>
      <w:r w:rsidR="00AA7F34" w:rsidRPr="00486E5A">
        <w:t>elnõu ei ole seotud muu menetluses oleva eelnõuga.</w:t>
      </w:r>
    </w:p>
    <w:p w:rsidR="00AA7F34" w:rsidRPr="003B234F" w:rsidRDefault="00AA7F34" w:rsidP="00F51D9A">
      <w:pPr>
        <w:jc w:val="both"/>
        <w:rPr>
          <w:b/>
        </w:rPr>
      </w:pPr>
    </w:p>
    <w:p w:rsidR="00F51D9A" w:rsidRPr="003B234F" w:rsidRDefault="002F4C9B" w:rsidP="00664ED7">
      <w:pPr>
        <w:jc w:val="both"/>
        <w:rPr>
          <w:b/>
        </w:rPr>
      </w:pPr>
      <w:r w:rsidRPr="003B234F">
        <w:rPr>
          <w:b/>
        </w:rPr>
        <w:t>2</w:t>
      </w:r>
      <w:r w:rsidR="00AA7F34" w:rsidRPr="003B234F">
        <w:rPr>
          <w:b/>
        </w:rPr>
        <w:t xml:space="preserve">. </w:t>
      </w:r>
      <w:r w:rsidR="00F51D9A" w:rsidRPr="003B234F">
        <w:rPr>
          <w:b/>
        </w:rPr>
        <w:t>Eelnõu sisu ja võrdlev analüüs</w:t>
      </w:r>
    </w:p>
    <w:p w:rsidR="00F51D9A" w:rsidRPr="003B234F" w:rsidRDefault="00F51D9A" w:rsidP="00664ED7">
      <w:pPr>
        <w:jc w:val="both"/>
      </w:pPr>
    </w:p>
    <w:p w:rsidR="00F51D9A" w:rsidRPr="003B234F" w:rsidRDefault="00F51D9A" w:rsidP="00664ED7">
      <w:pPr>
        <w:jc w:val="both"/>
      </w:pPr>
      <w:r w:rsidRPr="00486E5A">
        <w:t>Eelnõu koosneb k</w:t>
      </w:r>
      <w:r w:rsidR="0071537A" w:rsidRPr="00486E5A">
        <w:t>olmest</w:t>
      </w:r>
      <w:r w:rsidRPr="00486E5A">
        <w:t xml:space="preserve"> punktist.</w:t>
      </w:r>
    </w:p>
    <w:p w:rsidR="00F51D9A" w:rsidRPr="003B234F" w:rsidRDefault="00F51D9A" w:rsidP="00664ED7">
      <w:pPr>
        <w:jc w:val="both"/>
      </w:pPr>
    </w:p>
    <w:p w:rsidR="00F51D9A" w:rsidRPr="003B234F" w:rsidRDefault="00365AF1" w:rsidP="00664ED7">
      <w:pPr>
        <w:jc w:val="both"/>
        <w:rPr>
          <w:b/>
        </w:rPr>
      </w:pPr>
      <w:r w:rsidRPr="003B234F">
        <w:rPr>
          <w:b/>
        </w:rPr>
        <w:t>1</w:t>
      </w:r>
      <w:r w:rsidR="00EA2E5F" w:rsidRPr="003B234F">
        <w:rPr>
          <w:b/>
        </w:rPr>
        <w:t xml:space="preserve">) </w:t>
      </w:r>
      <w:r w:rsidR="00F51D9A" w:rsidRPr="003B234F">
        <w:rPr>
          <w:b/>
        </w:rPr>
        <w:t xml:space="preserve">Määruse lisa </w:t>
      </w:r>
      <w:r w:rsidR="00D52F0B" w:rsidRPr="003B234F">
        <w:rPr>
          <w:b/>
        </w:rPr>
        <w:t>1</w:t>
      </w:r>
      <w:r w:rsidR="00F51D9A" w:rsidRPr="003B234F">
        <w:rPr>
          <w:b/>
        </w:rPr>
        <w:t xml:space="preserve"> muutmine </w:t>
      </w:r>
    </w:p>
    <w:p w:rsidR="002F4C9B" w:rsidRPr="003B234F" w:rsidRDefault="002F4C9B" w:rsidP="00664ED7">
      <w:pPr>
        <w:jc w:val="both"/>
        <w:rPr>
          <w:b/>
        </w:rPr>
      </w:pPr>
    </w:p>
    <w:p w:rsidR="00BF3A21" w:rsidRPr="003B234F" w:rsidRDefault="00486E5A" w:rsidP="00664ED7">
      <w:pPr>
        <w:jc w:val="both"/>
      </w:pPr>
      <w:r>
        <w:t xml:space="preserve">Punktiga </w:t>
      </w:r>
      <w:r w:rsidR="00430076" w:rsidRPr="003B234F">
        <w:t>1</w:t>
      </w:r>
      <w:r w:rsidR="00F51D9A" w:rsidRPr="003B234F">
        <w:t xml:space="preserve"> </w:t>
      </w:r>
      <w:r>
        <w:t xml:space="preserve">kehtestatakse </w:t>
      </w:r>
      <w:r w:rsidR="00F51D9A" w:rsidRPr="003B234F">
        <w:t xml:space="preserve">uues sõnastuses määruse lisa </w:t>
      </w:r>
      <w:r w:rsidR="0071537A">
        <w:t>1</w:t>
      </w:r>
      <w:r w:rsidR="007F38FB" w:rsidRPr="003B234F">
        <w:t>,</w:t>
      </w:r>
      <w:r w:rsidR="00F51D9A" w:rsidRPr="003B234F">
        <w:t xml:space="preserve"> kus on esitatud </w:t>
      </w:r>
      <w:r w:rsidR="002F4C9B" w:rsidRPr="003B234F">
        <w:t xml:space="preserve">ajakohastatud </w:t>
      </w:r>
      <w:r w:rsidR="007F38FB" w:rsidRPr="003B234F">
        <w:rPr>
          <w:b/>
        </w:rPr>
        <w:t>sõjaliste kaupade</w:t>
      </w:r>
      <w:r w:rsidR="004D4842" w:rsidRPr="003B234F">
        <w:rPr>
          <w:b/>
        </w:rPr>
        <w:t xml:space="preserve"> </w:t>
      </w:r>
      <w:r w:rsidR="00F51D9A" w:rsidRPr="003B234F">
        <w:rPr>
          <w:b/>
        </w:rPr>
        <w:t>nimekiri</w:t>
      </w:r>
      <w:r w:rsidR="00AC11CD" w:rsidRPr="003B234F">
        <w:rPr>
          <w:b/>
        </w:rPr>
        <w:t xml:space="preserve"> </w:t>
      </w:r>
      <w:r w:rsidR="00AC11CD" w:rsidRPr="003B234F">
        <w:t xml:space="preserve">(edaspidi ka </w:t>
      </w:r>
      <w:r w:rsidR="00AC11CD" w:rsidRPr="003B234F">
        <w:rPr>
          <w:i/>
        </w:rPr>
        <w:t>nimekiri).</w:t>
      </w:r>
    </w:p>
    <w:p w:rsidR="00BF3A21" w:rsidRPr="003B234F" w:rsidRDefault="00BF3A21" w:rsidP="00BF3A21">
      <w:pPr>
        <w:jc w:val="both"/>
      </w:pPr>
    </w:p>
    <w:p w:rsidR="00BF3A21" w:rsidRPr="003B234F" w:rsidRDefault="00AC11CD" w:rsidP="00FA6302">
      <w:pPr>
        <w:pStyle w:val="CM4"/>
        <w:jc w:val="both"/>
        <w:rPr>
          <w:rFonts w:ascii="Times New Roman" w:hAnsi="Times New Roman"/>
          <w:color w:val="000000"/>
          <w:lang w:val="et-EE"/>
        </w:rPr>
      </w:pPr>
      <w:r w:rsidRPr="003B234F">
        <w:rPr>
          <w:rFonts w:ascii="Times New Roman" w:hAnsi="Times New Roman"/>
          <w:lang w:val="et-EE"/>
        </w:rPr>
        <w:t>S</w:t>
      </w:r>
      <w:r w:rsidR="00BF3A21" w:rsidRPr="003B234F">
        <w:rPr>
          <w:rFonts w:ascii="Times New Roman" w:hAnsi="Times New Roman"/>
          <w:lang w:val="et-EE"/>
        </w:rPr>
        <w:t xml:space="preserve">õjaliste kaupade </w:t>
      </w:r>
      <w:r w:rsidRPr="003B234F">
        <w:rPr>
          <w:rFonts w:ascii="Times New Roman" w:hAnsi="Times New Roman"/>
          <w:lang w:val="et-EE"/>
        </w:rPr>
        <w:t xml:space="preserve">uues </w:t>
      </w:r>
      <w:r w:rsidR="00BF3A21" w:rsidRPr="003B234F">
        <w:rPr>
          <w:rFonts w:ascii="Times New Roman" w:hAnsi="Times New Roman"/>
          <w:lang w:val="et-EE"/>
        </w:rPr>
        <w:t xml:space="preserve">nimekirjas </w:t>
      </w:r>
      <w:r w:rsidRPr="003B234F">
        <w:rPr>
          <w:rFonts w:ascii="Times New Roman" w:hAnsi="Times New Roman"/>
          <w:lang w:val="et-EE"/>
        </w:rPr>
        <w:t xml:space="preserve">on </w:t>
      </w:r>
      <w:r w:rsidR="00BF3A21" w:rsidRPr="003B234F">
        <w:rPr>
          <w:rFonts w:ascii="Times New Roman" w:hAnsi="Times New Roman"/>
          <w:lang w:val="et-EE"/>
        </w:rPr>
        <w:t xml:space="preserve">arvestatud muudatustega, mis lepiti kokku </w:t>
      </w:r>
      <w:proofErr w:type="spellStart"/>
      <w:r w:rsidR="00BF3A21" w:rsidRPr="003B234F">
        <w:rPr>
          <w:lang w:val="et-EE"/>
        </w:rPr>
        <w:t>Wassenaari</w:t>
      </w:r>
      <w:proofErr w:type="spellEnd"/>
      <w:r w:rsidR="00BF3A21" w:rsidRPr="003B234F">
        <w:rPr>
          <w:lang w:val="et-EE"/>
        </w:rPr>
        <w:t xml:space="preserve"> kokkuleppe organisatsiooni </w:t>
      </w:r>
      <w:r w:rsidR="00BF3A21" w:rsidRPr="003B234F">
        <w:rPr>
          <w:rFonts w:ascii="Times New Roman" w:hAnsi="Times New Roman"/>
          <w:lang w:val="et-EE"/>
        </w:rPr>
        <w:t>201</w:t>
      </w:r>
      <w:r w:rsidR="006069E4">
        <w:rPr>
          <w:rFonts w:ascii="Times New Roman" w:hAnsi="Times New Roman"/>
          <w:lang w:val="et-EE"/>
        </w:rPr>
        <w:t>9</w:t>
      </w:r>
      <w:r w:rsidR="00BF3A21" w:rsidRPr="003B234F">
        <w:rPr>
          <w:rFonts w:ascii="Times New Roman" w:hAnsi="Times New Roman"/>
          <w:lang w:val="et-EE"/>
        </w:rPr>
        <w:t xml:space="preserve">. aasta detsembris toimunud plenaarkohtumisel. Sellest tulenevalt valmistas Euroopa Liidu Nõukogu ette ühise sõjaliste kaupade nimekirja </w:t>
      </w:r>
      <w:r w:rsidR="00BF3A21" w:rsidRPr="003B234F">
        <w:rPr>
          <w:rFonts w:ascii="Times New Roman" w:hAnsi="Times New Roman"/>
          <w:lang w:val="fi-FI"/>
        </w:rPr>
        <w:t>20</w:t>
      </w:r>
      <w:r w:rsidR="00AD38F7">
        <w:rPr>
          <w:rFonts w:ascii="Times New Roman" w:hAnsi="Times New Roman"/>
          <w:lang w:val="fi-FI"/>
        </w:rPr>
        <w:t>20</w:t>
      </w:r>
      <w:r w:rsidR="00BF3A21" w:rsidRPr="003B234F">
        <w:rPr>
          <w:rFonts w:ascii="Times New Roman" w:hAnsi="Times New Roman"/>
          <w:lang w:val="fi-FI"/>
        </w:rPr>
        <w:t>/C </w:t>
      </w:r>
      <w:r w:rsidR="00AD38F7">
        <w:rPr>
          <w:rFonts w:ascii="Times New Roman" w:hAnsi="Times New Roman"/>
          <w:lang w:val="fi-FI"/>
        </w:rPr>
        <w:t>8</w:t>
      </w:r>
      <w:r w:rsidR="0008206F">
        <w:rPr>
          <w:rFonts w:ascii="Times New Roman" w:hAnsi="Times New Roman"/>
          <w:lang w:val="fi-FI"/>
        </w:rPr>
        <w:t>5</w:t>
      </w:r>
      <w:r w:rsidR="00BF3A21" w:rsidRPr="003B234F">
        <w:rPr>
          <w:rFonts w:ascii="Times New Roman" w:hAnsi="Times New Roman"/>
          <w:lang w:val="fi-FI"/>
        </w:rPr>
        <w:t>/01</w:t>
      </w:r>
      <w:r w:rsidR="00FA6302">
        <w:rPr>
          <w:rFonts w:ascii="Times New Roman" w:hAnsi="Times New Roman"/>
          <w:lang w:val="fi-FI"/>
        </w:rPr>
        <w:t>,</w:t>
      </w:r>
      <w:r w:rsidR="00BF3A21" w:rsidRPr="003B234F">
        <w:rPr>
          <w:rFonts w:ascii="Times New Roman" w:hAnsi="Times New Roman"/>
          <w:lang w:val="et-EE"/>
        </w:rPr>
        <w:t xml:space="preserve"> mis on aluseks määruse lisas 1 esitatud nimekirjale. </w:t>
      </w:r>
    </w:p>
    <w:p w:rsidR="00BF3A21" w:rsidRPr="003B234F" w:rsidRDefault="00BF3A21" w:rsidP="00BF3A21">
      <w:pPr>
        <w:pStyle w:val="Default"/>
        <w:jc w:val="both"/>
        <w:rPr>
          <w:rFonts w:ascii="Times New Roman" w:hAnsi="Times New Roman" w:cs="Times New Roman"/>
          <w:lang w:val="et-EE"/>
        </w:rPr>
      </w:pPr>
    </w:p>
    <w:p w:rsidR="00BF3A21" w:rsidRPr="003B234F" w:rsidRDefault="00BF3A21" w:rsidP="00BF3A21">
      <w:pPr>
        <w:pStyle w:val="Default"/>
        <w:jc w:val="both"/>
        <w:rPr>
          <w:rFonts w:ascii="Times New Roman" w:hAnsi="Times New Roman" w:cs="Times New Roman"/>
          <w:lang w:val="et-EE"/>
        </w:rPr>
      </w:pPr>
      <w:r w:rsidRPr="003B234F">
        <w:rPr>
          <w:rFonts w:ascii="Times New Roman" w:hAnsi="Times New Roman" w:cs="Times New Roman"/>
          <w:lang w:val="et-EE"/>
        </w:rPr>
        <w:t xml:space="preserve">Nimekirjas kasutatakse läbivalt mõisteid, mis on jutumärkides ja mille tähendused on ära toodud nimekirja lõpus. Need tulenevad </w:t>
      </w:r>
      <w:proofErr w:type="spellStart"/>
      <w:r w:rsidRPr="003B234F">
        <w:rPr>
          <w:rFonts w:ascii="Times New Roman" w:hAnsi="Times New Roman" w:cs="Times New Roman"/>
          <w:lang w:val="et-EE"/>
        </w:rPr>
        <w:t>Wassenaari</w:t>
      </w:r>
      <w:proofErr w:type="spellEnd"/>
      <w:r w:rsidRPr="003B234F">
        <w:rPr>
          <w:rFonts w:ascii="Times New Roman" w:hAnsi="Times New Roman" w:cs="Times New Roman"/>
          <w:lang w:val="et-EE"/>
        </w:rPr>
        <w:t xml:space="preserve"> režiimi sõjaliste kaupade nimekirjas ja Euroopa Liidu sõjaliste kaupade ühises nimekirjas kasutatud mõistetest ja definitsioonidest. </w:t>
      </w:r>
    </w:p>
    <w:p w:rsidR="00BF3A21" w:rsidRPr="003B234F" w:rsidRDefault="00BF3A21" w:rsidP="00BF3A21">
      <w:pPr>
        <w:pStyle w:val="Default"/>
        <w:jc w:val="both"/>
        <w:rPr>
          <w:rFonts w:ascii="Times New Roman" w:hAnsi="Times New Roman" w:cs="Times New Roman"/>
          <w:lang w:val="et-EE"/>
        </w:rPr>
      </w:pPr>
    </w:p>
    <w:p w:rsidR="00BF3A21" w:rsidRPr="003B234F" w:rsidRDefault="00BF3A21" w:rsidP="00B332C7">
      <w:pPr>
        <w:pStyle w:val="Default"/>
        <w:keepNext/>
        <w:rPr>
          <w:rFonts w:ascii="Times New Roman" w:hAnsi="Times New Roman" w:cs="Times New Roman"/>
          <w:lang w:val="et-EE"/>
        </w:rPr>
      </w:pPr>
      <w:r w:rsidRPr="003B234F">
        <w:rPr>
          <w:rFonts w:ascii="Times New Roman" w:hAnsi="Times New Roman" w:cs="Times New Roman"/>
          <w:u w:val="single"/>
          <w:lang w:val="et-EE"/>
        </w:rPr>
        <w:t>Peamised muudatused sõjaliste kaupade nimekirjas puudutavad järgmisi kaubakategooriaid</w:t>
      </w:r>
      <w:r w:rsidR="00E26684">
        <w:rPr>
          <w:rFonts w:ascii="Times New Roman" w:hAnsi="Times New Roman" w:cs="Times New Roman"/>
          <w:u w:val="single"/>
          <w:lang w:val="et-EE"/>
        </w:rPr>
        <w:t xml:space="preserve"> ja kasutatud mõisteid</w:t>
      </w:r>
      <w:r w:rsidRPr="003B234F">
        <w:rPr>
          <w:rFonts w:ascii="Times New Roman" w:hAnsi="Times New Roman" w:cs="Times New Roman"/>
          <w:u w:val="single"/>
          <w:lang w:val="et-EE"/>
        </w:rPr>
        <w:t>.</w:t>
      </w:r>
      <w:r w:rsidR="000D2AB8" w:rsidRPr="003B234F">
        <w:rPr>
          <w:rFonts w:ascii="Times New Roman" w:hAnsi="Times New Roman" w:cs="Times New Roman"/>
          <w:lang w:val="et-EE"/>
        </w:rPr>
        <w:t xml:space="preserve"> Peale nende on nimekirjas tehtud üksikuid keelelisi muudatusi.</w:t>
      </w:r>
    </w:p>
    <w:p w:rsidR="00BF3A21" w:rsidRPr="003B234F" w:rsidRDefault="00BF3A21" w:rsidP="00B332C7">
      <w:pPr>
        <w:keepNext/>
        <w:jc w:val="both"/>
        <w:rPr>
          <w:b/>
        </w:rPr>
      </w:pPr>
    </w:p>
    <w:p w:rsidR="006069E4" w:rsidRPr="009A5C4F" w:rsidRDefault="00E26684" w:rsidP="00B332C7">
      <w:pPr>
        <w:keepNext/>
        <w:jc w:val="both"/>
        <w:rPr>
          <w:b/>
        </w:rPr>
      </w:pPr>
      <w:r w:rsidRPr="009A5C4F">
        <w:rPr>
          <w:b/>
        </w:rPr>
        <w:t>ML1 - Sileraudsed tulirelvad kaliibriga alla 20 mm ja teised käsitulirelvad ning automaattulirelvad kaliibriga 12,7 mm (kaliiber 0,50 tolli) või alla selle, lisavarustus ja spetsiaalselt neile loodud komponendid ning olulised osad:</w:t>
      </w:r>
    </w:p>
    <w:p w:rsidR="00E26684" w:rsidRPr="009A5C4F" w:rsidRDefault="00E26684" w:rsidP="00B332C7">
      <w:pPr>
        <w:keepNext/>
        <w:jc w:val="both"/>
        <w:rPr>
          <w:b/>
        </w:rPr>
      </w:pPr>
    </w:p>
    <w:p w:rsidR="00E26684" w:rsidRPr="009A5C4F" w:rsidRDefault="009A5C4F" w:rsidP="00B332C7">
      <w:pPr>
        <w:keepNext/>
        <w:jc w:val="both"/>
      </w:pPr>
      <w:r w:rsidRPr="009A5C4F">
        <w:t>Kategooria punkti a</w:t>
      </w:r>
      <w:r>
        <w:t>.</w:t>
      </w:r>
      <w:r w:rsidR="00E26684" w:rsidRPr="009A5C4F">
        <w:t xml:space="preserve"> täpsustavate märkuste nimistusse on lisatud märkus e</w:t>
      </w:r>
      <w:r>
        <w:t>.</w:t>
      </w:r>
      <w:r w:rsidR="00BD2F64" w:rsidRPr="009A5C4F">
        <w:t>, mis määratleb</w:t>
      </w:r>
      <w:r w:rsidR="001F6ED3" w:rsidRPr="009A5C4F">
        <w:t>, et ML1 kategooria ei hõlma</w:t>
      </w:r>
      <w:r w:rsidR="00E26684" w:rsidRPr="009A5C4F">
        <w:t xml:space="preserve"> spetsiaalselt loomade uinutamiseks või koduloomade tapmiseks loodud </w:t>
      </w:r>
      <w:r w:rsidR="001F6ED3" w:rsidRPr="009A5C4F">
        <w:t xml:space="preserve">käsitulirelvi. </w:t>
      </w:r>
      <w:r w:rsidR="00E26684" w:rsidRPr="009A5C4F">
        <w:t xml:space="preserve"> </w:t>
      </w:r>
    </w:p>
    <w:p w:rsidR="006069E4" w:rsidRDefault="006069E4" w:rsidP="00B332C7">
      <w:pPr>
        <w:keepNext/>
        <w:jc w:val="both"/>
        <w:rPr>
          <w:b/>
          <w:highlight w:val="yellow"/>
        </w:rPr>
      </w:pPr>
    </w:p>
    <w:p w:rsidR="00BF3A21" w:rsidRPr="009A5C4F" w:rsidRDefault="00BF3A21" w:rsidP="00B332C7">
      <w:pPr>
        <w:keepNext/>
        <w:jc w:val="both"/>
        <w:rPr>
          <w:b/>
        </w:rPr>
      </w:pPr>
      <w:r w:rsidRPr="009A5C4F">
        <w:rPr>
          <w:b/>
        </w:rPr>
        <w:t>ML</w:t>
      </w:r>
      <w:r w:rsidR="001F6ED3" w:rsidRPr="009A5C4F">
        <w:rPr>
          <w:b/>
        </w:rPr>
        <w:t>2</w:t>
      </w:r>
      <w:r w:rsidRPr="009A5C4F">
        <w:rPr>
          <w:b/>
        </w:rPr>
        <w:t xml:space="preserve"> </w:t>
      </w:r>
      <w:r w:rsidR="00F55DB3" w:rsidRPr="009A5C4F">
        <w:rPr>
          <w:b/>
        </w:rPr>
        <w:t>–</w:t>
      </w:r>
      <w:r w:rsidR="009E32F6" w:rsidRPr="009A5C4F">
        <w:rPr>
          <w:b/>
        </w:rPr>
        <w:t xml:space="preserve"> </w:t>
      </w:r>
      <w:r w:rsidR="001F6ED3" w:rsidRPr="009A5C4F">
        <w:rPr>
          <w:b/>
        </w:rPr>
        <w:t>Sileraudsed relvad kaliibriga 20 mm või üle selle, muud relvad või relvastus kaliibriga üle 12,7 mm (kaliiber 0,50 tolli), spetsiaalselt sõjaliseks kasutuseks loodud või kohandatud heiteseadmed ja lisaseadmed ning spetsiaalselt neile loodud komponendid</w:t>
      </w:r>
      <w:r w:rsidR="0013127A" w:rsidRPr="009A5C4F">
        <w:rPr>
          <w:b/>
        </w:rPr>
        <w:t>:</w:t>
      </w:r>
      <w:r w:rsidRPr="009A5C4F">
        <w:rPr>
          <w:b/>
        </w:rPr>
        <w:t xml:space="preserve"> </w:t>
      </w:r>
    </w:p>
    <w:p w:rsidR="00BF3A21" w:rsidRPr="009A5C4F" w:rsidRDefault="00BF3A21" w:rsidP="00BF3A21">
      <w:pPr>
        <w:jc w:val="both"/>
      </w:pPr>
    </w:p>
    <w:p w:rsidR="009D2F1A" w:rsidRPr="003B234F" w:rsidRDefault="0072382E" w:rsidP="00A627B8">
      <w:pPr>
        <w:jc w:val="both"/>
      </w:pPr>
      <w:r w:rsidRPr="009A5C4F">
        <w:lastRenderedPageBreak/>
        <w:t>Uus sõnastus ja k</w:t>
      </w:r>
      <w:r w:rsidR="00BF3A21" w:rsidRPr="009A5C4F">
        <w:t xml:space="preserve">ategooria </w:t>
      </w:r>
      <w:r w:rsidRPr="009A5C4F">
        <w:t>kaskaadesitlus annavad kergemini mõistetava ülevaate kontrollnimekirja kuuluvate toodete nimistust ja rakendamisest.</w:t>
      </w:r>
      <w:r>
        <w:t xml:space="preserve"> </w:t>
      </w:r>
    </w:p>
    <w:p w:rsidR="009D2F1A" w:rsidRPr="003B234F" w:rsidRDefault="009D2F1A" w:rsidP="00BF3A21">
      <w:pPr>
        <w:jc w:val="both"/>
        <w:rPr>
          <w:b/>
        </w:rPr>
      </w:pPr>
    </w:p>
    <w:p w:rsidR="002C0BEE" w:rsidRPr="009A5C4F" w:rsidRDefault="002C0BEE" w:rsidP="00BF3A21">
      <w:pPr>
        <w:jc w:val="both"/>
        <w:rPr>
          <w:b/>
        </w:rPr>
      </w:pPr>
      <w:r w:rsidRPr="009A5C4F">
        <w:rPr>
          <w:b/>
        </w:rPr>
        <w:t>ML6 – Maismaasõidukid ja nende komponendid</w:t>
      </w:r>
      <w:r w:rsidR="009A5C4F" w:rsidRPr="009A5C4F">
        <w:rPr>
          <w:b/>
        </w:rPr>
        <w:t>:</w:t>
      </w:r>
    </w:p>
    <w:p w:rsidR="002D164C" w:rsidRPr="009A5C4F" w:rsidRDefault="002D164C" w:rsidP="00BF3A21">
      <w:pPr>
        <w:jc w:val="both"/>
        <w:rPr>
          <w:b/>
        </w:rPr>
      </w:pPr>
    </w:p>
    <w:p w:rsidR="001F6ED3" w:rsidRPr="009A5C4F" w:rsidRDefault="001F6ED3" w:rsidP="00BF3A21">
      <w:pPr>
        <w:jc w:val="both"/>
      </w:pPr>
      <w:r w:rsidRPr="009A5C4F">
        <w:t>Kategooria</w:t>
      </w:r>
      <w:r w:rsidR="002D164C" w:rsidRPr="009A5C4F">
        <w:t xml:space="preserve"> </w:t>
      </w:r>
      <w:r w:rsidRPr="009A5C4F">
        <w:t xml:space="preserve">punktis b.1.a. </w:t>
      </w:r>
      <w:r w:rsidR="00922A26" w:rsidRPr="009A5C4F">
        <w:t xml:space="preserve">ja 2.b. </w:t>
      </w:r>
      <w:r w:rsidRPr="009A5C4F">
        <w:t>on sisse toodu</w:t>
      </w:r>
      <w:r w:rsidR="00922A26" w:rsidRPr="009A5C4F">
        <w:t xml:space="preserve">d uus määratlus „samaväärsed standardid“, mis selgitab varasemast täpsemalt III kaitseastmele (NIJ 0108.01, september 1985) vastava või sellest parema kaitse tagamise määratluse. </w:t>
      </w:r>
      <w:r w:rsidR="00BD2F64" w:rsidRPr="009A5C4F">
        <w:t xml:space="preserve">Tulenevalt kontrollnimekirja tehtud muudatusest on täiendatud ka mõistete osa ja lisatud eraldi kirjena ML6 kohta „samaväärsed standardid“ mõiste. </w:t>
      </w:r>
      <w:r w:rsidR="0004043D" w:rsidRPr="009A5C4F">
        <w:t xml:space="preserve"> </w:t>
      </w:r>
      <w:r w:rsidR="00922A26" w:rsidRPr="009A5C4F">
        <w:t xml:space="preserve">  </w:t>
      </w:r>
      <w:r w:rsidRPr="009A5C4F">
        <w:t xml:space="preserve"> </w:t>
      </w:r>
    </w:p>
    <w:p w:rsidR="00BF3A21" w:rsidRPr="003B234F" w:rsidRDefault="00BF3A21" w:rsidP="00BF3A21">
      <w:pPr>
        <w:jc w:val="both"/>
      </w:pPr>
    </w:p>
    <w:p w:rsidR="00BF3A21" w:rsidRPr="003B234F" w:rsidRDefault="00BF3A21" w:rsidP="003B234F">
      <w:pPr>
        <w:keepNext/>
        <w:keepLines/>
        <w:widowControl w:val="0"/>
        <w:tabs>
          <w:tab w:val="left" w:pos="2410"/>
        </w:tabs>
        <w:autoSpaceDE w:val="0"/>
        <w:autoSpaceDN w:val="0"/>
        <w:jc w:val="both"/>
        <w:rPr>
          <w:b/>
        </w:rPr>
      </w:pPr>
      <w:r w:rsidRPr="003B234F">
        <w:rPr>
          <w:b/>
          <w:color w:val="000000"/>
          <w:lang w:eastAsia="en-US"/>
        </w:rPr>
        <w:t>ML</w:t>
      </w:r>
      <w:r w:rsidR="002F2927" w:rsidRPr="003B234F">
        <w:rPr>
          <w:b/>
          <w:color w:val="000000"/>
          <w:lang w:eastAsia="en-US"/>
        </w:rPr>
        <w:t>9</w:t>
      </w:r>
      <w:r w:rsidRPr="003B234F">
        <w:rPr>
          <w:b/>
          <w:color w:val="000000"/>
          <w:lang w:eastAsia="en-US"/>
        </w:rPr>
        <w:t xml:space="preserve"> – </w:t>
      </w:r>
      <w:r w:rsidR="002F2927" w:rsidRPr="003B234F">
        <w:rPr>
          <w:b/>
        </w:rPr>
        <w:t>Sõjalaevad (pealvee- või allveelaevad), spetsiaalne merenduslik varustus, lisaseadmed, ko</w:t>
      </w:r>
      <w:r w:rsidR="009A5C4F">
        <w:rPr>
          <w:b/>
        </w:rPr>
        <w:t xml:space="preserve">mponendid ja muud </w:t>
      </w:r>
      <w:proofErr w:type="spellStart"/>
      <w:r w:rsidR="009A5C4F">
        <w:rPr>
          <w:b/>
        </w:rPr>
        <w:t>pealveelaevad</w:t>
      </w:r>
      <w:proofErr w:type="spellEnd"/>
      <w:r w:rsidR="009A5C4F">
        <w:rPr>
          <w:b/>
        </w:rPr>
        <w:t>:</w:t>
      </w:r>
    </w:p>
    <w:p w:rsidR="00BF3A21" w:rsidRPr="003B234F" w:rsidRDefault="00BF3A21" w:rsidP="00BF3A21">
      <w:pPr>
        <w:pStyle w:val="NormalLeft"/>
        <w:tabs>
          <w:tab w:val="left" w:pos="2410"/>
        </w:tabs>
        <w:spacing w:before="0" w:after="0"/>
        <w:jc w:val="both"/>
        <w:rPr>
          <w:b/>
          <w:lang w:val="et-EE"/>
        </w:rPr>
      </w:pPr>
    </w:p>
    <w:p w:rsidR="00BF3A21" w:rsidRPr="003B234F" w:rsidRDefault="00BF3A21" w:rsidP="00366ED6">
      <w:pPr>
        <w:pStyle w:val="NormalLeft"/>
        <w:tabs>
          <w:tab w:val="left" w:pos="2410"/>
        </w:tabs>
        <w:spacing w:before="0" w:after="0"/>
        <w:jc w:val="both"/>
        <w:rPr>
          <w:lang w:val="et-EE"/>
        </w:rPr>
      </w:pPr>
      <w:r w:rsidRPr="009A5C4F">
        <w:rPr>
          <w:lang w:val="et-EE"/>
        </w:rPr>
        <w:t>K</w:t>
      </w:r>
      <w:r w:rsidR="004B29A1" w:rsidRPr="009A5C4F">
        <w:rPr>
          <w:lang w:val="et-EE"/>
        </w:rPr>
        <w:t xml:space="preserve">ategooria </w:t>
      </w:r>
      <w:r w:rsidR="007C2720" w:rsidRPr="009A5C4F">
        <w:rPr>
          <w:lang w:val="et-EE"/>
        </w:rPr>
        <w:t>punkt</w:t>
      </w:r>
      <w:r w:rsidR="00AA2DD1" w:rsidRPr="009A5C4F">
        <w:rPr>
          <w:lang w:val="et-EE"/>
        </w:rPr>
        <w:t xml:space="preserve"> </w:t>
      </w:r>
      <w:r w:rsidR="007C2720" w:rsidRPr="009A5C4F">
        <w:rPr>
          <w:lang w:val="et-EE"/>
        </w:rPr>
        <w:t>h</w:t>
      </w:r>
      <w:r w:rsidR="00AA2DD1" w:rsidRPr="009A5C4F">
        <w:rPr>
          <w:lang w:val="et-EE"/>
        </w:rPr>
        <w:t>.</w:t>
      </w:r>
      <w:r w:rsidR="007C2720" w:rsidRPr="009A5C4F">
        <w:rPr>
          <w:lang w:val="et-EE"/>
        </w:rPr>
        <w:t xml:space="preserve"> </w:t>
      </w:r>
      <w:r w:rsidR="00AA2DD1" w:rsidRPr="009A5C4F">
        <w:rPr>
          <w:lang w:val="et-EE"/>
        </w:rPr>
        <w:t xml:space="preserve">on uues sõnastuses </w:t>
      </w:r>
      <w:r w:rsidR="007C2720" w:rsidRPr="009A5C4F">
        <w:rPr>
          <w:lang w:val="et-EE"/>
        </w:rPr>
        <w:t>(</w:t>
      </w:r>
      <w:proofErr w:type="spellStart"/>
      <w:r w:rsidR="00AA2DD1" w:rsidRPr="009A5C4F">
        <w:t>spetsiaalselt</w:t>
      </w:r>
      <w:proofErr w:type="spellEnd"/>
      <w:r w:rsidR="00AA2DD1" w:rsidRPr="009A5C4F">
        <w:t xml:space="preserve"> </w:t>
      </w:r>
      <w:proofErr w:type="spellStart"/>
      <w:r w:rsidR="00AA2DD1" w:rsidRPr="009A5C4F">
        <w:t>punktis</w:t>
      </w:r>
      <w:proofErr w:type="spellEnd"/>
      <w:r w:rsidR="00AA2DD1" w:rsidRPr="009A5C4F">
        <w:t xml:space="preserve"> ML9.a </w:t>
      </w:r>
      <w:proofErr w:type="spellStart"/>
      <w:r w:rsidR="00AA2DD1" w:rsidRPr="009A5C4F">
        <w:t>nimetatud</w:t>
      </w:r>
      <w:proofErr w:type="spellEnd"/>
      <w:r w:rsidR="00AA2DD1" w:rsidRPr="009A5C4F">
        <w:t xml:space="preserve"> </w:t>
      </w:r>
      <w:proofErr w:type="spellStart"/>
      <w:r w:rsidR="00AA2DD1" w:rsidRPr="009A5C4F">
        <w:t>laevade</w:t>
      </w:r>
      <w:proofErr w:type="spellEnd"/>
      <w:r w:rsidR="00AA2DD1" w:rsidRPr="009A5C4F">
        <w:t xml:space="preserve"> </w:t>
      </w:r>
      <w:proofErr w:type="spellStart"/>
      <w:r w:rsidR="00AA2DD1" w:rsidRPr="009A5C4F">
        <w:t>jaoks</w:t>
      </w:r>
      <w:proofErr w:type="spellEnd"/>
      <w:r w:rsidR="00AA2DD1" w:rsidRPr="009A5C4F">
        <w:t xml:space="preserve"> </w:t>
      </w:r>
      <w:proofErr w:type="spellStart"/>
      <w:r w:rsidR="00AA2DD1" w:rsidRPr="009A5C4F">
        <w:t>loodud</w:t>
      </w:r>
      <w:proofErr w:type="spellEnd"/>
      <w:r w:rsidR="00AA2DD1" w:rsidRPr="009A5C4F">
        <w:t xml:space="preserve"> </w:t>
      </w:r>
      <w:proofErr w:type="spellStart"/>
      <w:r w:rsidR="00AA2DD1" w:rsidRPr="009A5C4F">
        <w:t>tuumaenergia</w:t>
      </w:r>
      <w:proofErr w:type="spellEnd"/>
      <w:r w:rsidR="00AA2DD1" w:rsidRPr="009A5C4F">
        <w:t xml:space="preserve"> </w:t>
      </w:r>
      <w:proofErr w:type="spellStart"/>
      <w:r w:rsidR="00AA2DD1" w:rsidRPr="009A5C4F">
        <w:t>tootmisseadmed</w:t>
      </w:r>
      <w:proofErr w:type="spellEnd"/>
      <w:r w:rsidR="00AA2DD1" w:rsidRPr="009A5C4F">
        <w:t xml:space="preserve"> </w:t>
      </w:r>
      <w:proofErr w:type="spellStart"/>
      <w:r w:rsidR="00AA2DD1" w:rsidRPr="009A5C4F">
        <w:t>või</w:t>
      </w:r>
      <w:proofErr w:type="spellEnd"/>
      <w:r w:rsidR="00AA2DD1" w:rsidRPr="009A5C4F">
        <w:t xml:space="preserve"> </w:t>
      </w:r>
      <w:proofErr w:type="spellStart"/>
      <w:r w:rsidR="00AA2DD1" w:rsidRPr="009A5C4F">
        <w:t>tuumajõuseadmed</w:t>
      </w:r>
      <w:proofErr w:type="spellEnd"/>
      <w:r w:rsidR="00AA2DD1" w:rsidRPr="009A5C4F">
        <w:t xml:space="preserve"> </w:t>
      </w:r>
      <w:proofErr w:type="spellStart"/>
      <w:r w:rsidR="00AA2DD1" w:rsidRPr="009A5C4F">
        <w:t>ja</w:t>
      </w:r>
      <w:proofErr w:type="spellEnd"/>
      <w:r w:rsidR="00AA2DD1" w:rsidRPr="009A5C4F">
        <w:t xml:space="preserve"> </w:t>
      </w:r>
      <w:proofErr w:type="spellStart"/>
      <w:r w:rsidR="00AA2DD1" w:rsidRPr="009A5C4F">
        <w:t>spetsiaalselt</w:t>
      </w:r>
      <w:proofErr w:type="spellEnd"/>
      <w:r w:rsidR="00AA2DD1" w:rsidRPr="009A5C4F">
        <w:t xml:space="preserve"> </w:t>
      </w:r>
      <w:proofErr w:type="spellStart"/>
      <w:r w:rsidR="00AA2DD1" w:rsidRPr="009A5C4F">
        <w:t>nendele</w:t>
      </w:r>
      <w:proofErr w:type="spellEnd"/>
      <w:r w:rsidR="00AA2DD1" w:rsidRPr="009A5C4F">
        <w:t xml:space="preserve"> </w:t>
      </w:r>
      <w:proofErr w:type="spellStart"/>
      <w:r w:rsidR="00AA2DD1" w:rsidRPr="009A5C4F">
        <w:lastRenderedPageBreak/>
        <w:t>sõjaliseks</w:t>
      </w:r>
      <w:proofErr w:type="spellEnd"/>
      <w:r w:rsidR="00AA2DD1" w:rsidRPr="009A5C4F">
        <w:t xml:space="preserve"> </w:t>
      </w:r>
      <w:proofErr w:type="spellStart"/>
      <w:r w:rsidR="00AA2DD1" w:rsidRPr="009A5C4F">
        <w:t>kasutamiseks</w:t>
      </w:r>
      <w:proofErr w:type="spellEnd"/>
      <w:r w:rsidR="00AA2DD1" w:rsidRPr="009A5C4F">
        <w:t xml:space="preserve"> </w:t>
      </w:r>
      <w:proofErr w:type="spellStart"/>
      <w:r w:rsidR="00AA2DD1" w:rsidRPr="009A5C4F">
        <w:t>loodud</w:t>
      </w:r>
      <w:proofErr w:type="spellEnd"/>
      <w:r w:rsidR="00AA2DD1" w:rsidRPr="009A5C4F">
        <w:t xml:space="preserve"> </w:t>
      </w:r>
      <w:proofErr w:type="spellStart"/>
      <w:r w:rsidR="00AA2DD1" w:rsidRPr="009A5C4F">
        <w:t>või</w:t>
      </w:r>
      <w:proofErr w:type="spellEnd"/>
      <w:r w:rsidR="00AA2DD1" w:rsidRPr="009A5C4F">
        <w:t xml:space="preserve"> </w:t>
      </w:r>
      <w:proofErr w:type="spellStart"/>
      <w:r w:rsidR="00AA2DD1" w:rsidRPr="009A5C4F">
        <w:t>kohandatud</w:t>
      </w:r>
      <w:proofErr w:type="spellEnd"/>
      <w:r w:rsidR="00AA2DD1" w:rsidRPr="009A5C4F">
        <w:t xml:space="preserve"> </w:t>
      </w:r>
      <w:proofErr w:type="spellStart"/>
      <w:r w:rsidR="00AA2DD1" w:rsidRPr="009A5C4F">
        <w:t>komponendid</w:t>
      </w:r>
      <w:proofErr w:type="spellEnd"/>
      <w:r w:rsidR="00AA2DD1" w:rsidRPr="009A5C4F">
        <w:t>),</w:t>
      </w:r>
      <w:r w:rsidR="00AA2DD1" w:rsidRPr="009A5C4F">
        <w:rPr>
          <w:lang w:val="et-EE"/>
        </w:rPr>
        <w:t xml:space="preserve"> </w:t>
      </w:r>
      <w:r w:rsidR="007C2720" w:rsidRPr="009A5C4F">
        <w:rPr>
          <w:lang w:val="et-EE"/>
        </w:rPr>
        <w:t>mi</w:t>
      </w:r>
      <w:r w:rsidR="002A2A64" w:rsidRPr="009A5C4F">
        <w:rPr>
          <w:lang w:val="et-EE"/>
        </w:rPr>
        <w:t xml:space="preserve">llega </w:t>
      </w:r>
      <w:r w:rsidR="00AA2DD1" w:rsidRPr="009A5C4F">
        <w:rPr>
          <w:lang w:val="et-EE"/>
        </w:rPr>
        <w:t xml:space="preserve">konkretiseeritakse varasemat </w:t>
      </w:r>
      <w:r w:rsidR="006E5392" w:rsidRPr="009A5C4F">
        <w:rPr>
          <w:lang w:val="et-EE"/>
        </w:rPr>
        <w:t xml:space="preserve">määratlust (merenduslikud tuumaseadmed). </w:t>
      </w:r>
      <w:r w:rsidR="00F81476" w:rsidRPr="009A5C4F">
        <w:rPr>
          <w:lang w:val="et-EE"/>
        </w:rPr>
        <w:t>Muudatus</w:t>
      </w:r>
      <w:r w:rsidR="009B5914" w:rsidRPr="009A5C4F">
        <w:rPr>
          <w:lang w:val="et-EE"/>
        </w:rPr>
        <w:t xml:space="preserve">ed </w:t>
      </w:r>
      <w:r w:rsidR="00A314A6" w:rsidRPr="009A5C4F">
        <w:rPr>
          <w:lang w:val="et-EE"/>
        </w:rPr>
        <w:t xml:space="preserve">annavad parema mõistetavuse </w:t>
      </w:r>
      <w:r w:rsidR="009B5914" w:rsidRPr="009A5C4F">
        <w:rPr>
          <w:lang w:val="et-EE"/>
        </w:rPr>
        <w:t xml:space="preserve">ML9 kategooria kaupade </w:t>
      </w:r>
      <w:r w:rsidR="00F81476" w:rsidRPr="009A5C4F">
        <w:rPr>
          <w:lang w:val="et-EE"/>
        </w:rPr>
        <w:t>k</w:t>
      </w:r>
      <w:r w:rsidRPr="009A5C4F">
        <w:rPr>
          <w:lang w:val="et-EE"/>
        </w:rPr>
        <w:t>ontroll</w:t>
      </w:r>
      <w:r w:rsidR="00A314A6" w:rsidRPr="009A5C4F">
        <w:rPr>
          <w:lang w:val="et-EE"/>
        </w:rPr>
        <w:t xml:space="preserve">nimekirja rakendamisel.  </w:t>
      </w:r>
      <w:r w:rsidR="00F81476" w:rsidRPr="003B234F">
        <w:rPr>
          <w:lang w:val="et-EE"/>
        </w:rPr>
        <w:t xml:space="preserve"> </w:t>
      </w:r>
    </w:p>
    <w:p w:rsidR="00F81476" w:rsidRPr="003B234F" w:rsidRDefault="00F81476" w:rsidP="00BF3A21">
      <w:pPr>
        <w:pStyle w:val="NormalLeft"/>
        <w:tabs>
          <w:tab w:val="left" w:pos="2410"/>
        </w:tabs>
        <w:spacing w:before="0" w:after="0"/>
        <w:jc w:val="both"/>
        <w:rPr>
          <w:lang w:val="et-EE"/>
        </w:rPr>
      </w:pPr>
    </w:p>
    <w:p w:rsidR="00F81476" w:rsidRPr="003B234F" w:rsidRDefault="00F81476" w:rsidP="00197D59">
      <w:pPr>
        <w:keepNext/>
        <w:keepLines/>
        <w:widowControl w:val="0"/>
        <w:tabs>
          <w:tab w:val="left" w:pos="2410"/>
        </w:tabs>
        <w:autoSpaceDE w:val="0"/>
        <w:autoSpaceDN w:val="0"/>
        <w:spacing w:after="100" w:afterAutospacing="1"/>
      </w:pPr>
      <w:r w:rsidRPr="003B234F">
        <w:rPr>
          <w:b/>
        </w:rPr>
        <w:t>ML1</w:t>
      </w:r>
      <w:r w:rsidR="009B5914">
        <w:rPr>
          <w:b/>
        </w:rPr>
        <w:t>0</w:t>
      </w:r>
      <w:r w:rsidRPr="003B234F">
        <w:rPr>
          <w:b/>
        </w:rPr>
        <w:t xml:space="preserve"> </w:t>
      </w:r>
      <w:r w:rsidR="00F55DB3" w:rsidRPr="003B234F">
        <w:rPr>
          <w:b/>
        </w:rPr>
        <w:t>–</w:t>
      </w:r>
      <w:r w:rsidR="00F55DB3" w:rsidRPr="003B234F">
        <w:t xml:space="preserve"> </w:t>
      </w:r>
      <w:r w:rsidR="00197D59" w:rsidRPr="00197D59">
        <w:rPr>
          <w:b/>
        </w:rPr>
        <w:t>„Õhusõidukid”, „õhust kergemad õhusõidukid”, „mehitamata õhusõidukid“, „õhusõidukite” mootorid ja varustus, nendega seotud varustus ja komponendid, mis on spetsiaalselt loodud või kohandatud sõjaliseks kasutuseks</w:t>
      </w:r>
      <w:r w:rsidR="009A5C4F">
        <w:rPr>
          <w:b/>
        </w:rPr>
        <w:t>:</w:t>
      </w:r>
    </w:p>
    <w:p w:rsidR="00837882" w:rsidRPr="009A5C4F" w:rsidRDefault="00A47830" w:rsidP="003B234F">
      <w:pPr>
        <w:pStyle w:val="NormalLeft"/>
        <w:tabs>
          <w:tab w:val="left" w:pos="2410"/>
        </w:tabs>
        <w:spacing w:before="0" w:after="0"/>
        <w:jc w:val="both"/>
        <w:rPr>
          <w:color w:val="000000"/>
          <w:lang w:val="et-EE" w:eastAsia="en-US"/>
        </w:rPr>
      </w:pPr>
      <w:r w:rsidRPr="009A5C4F">
        <w:rPr>
          <w:color w:val="000000"/>
          <w:lang w:val="et-EE" w:eastAsia="en-US"/>
        </w:rPr>
        <w:t>K</w:t>
      </w:r>
      <w:r w:rsidR="00837882" w:rsidRPr="009A5C4F">
        <w:rPr>
          <w:color w:val="000000"/>
          <w:lang w:val="et-EE" w:eastAsia="en-US"/>
        </w:rPr>
        <w:t xml:space="preserve">ategooria </w:t>
      </w:r>
      <w:r w:rsidR="00197D59" w:rsidRPr="009A5C4F">
        <w:rPr>
          <w:color w:val="000000"/>
          <w:lang w:val="et-EE" w:eastAsia="en-US"/>
        </w:rPr>
        <w:t>märkus</w:t>
      </w:r>
      <w:r w:rsidRPr="009A5C4F">
        <w:rPr>
          <w:color w:val="000000"/>
          <w:lang w:val="et-EE" w:eastAsia="en-US"/>
        </w:rPr>
        <w:t>ed</w:t>
      </w:r>
      <w:r w:rsidR="00197D59" w:rsidRPr="009A5C4F">
        <w:rPr>
          <w:color w:val="000000"/>
          <w:lang w:val="et-EE" w:eastAsia="en-US"/>
        </w:rPr>
        <w:t xml:space="preserve"> </w:t>
      </w:r>
      <w:r w:rsidRPr="009A5C4F">
        <w:rPr>
          <w:color w:val="000000"/>
          <w:lang w:val="et-EE" w:eastAsia="en-US"/>
        </w:rPr>
        <w:t>1, 2 ja 3 ei ole enam kasutuses</w:t>
      </w:r>
      <w:r w:rsidR="00B94A62" w:rsidRPr="009A5C4F">
        <w:rPr>
          <w:lang w:val="et-EE"/>
        </w:rPr>
        <w:t xml:space="preserve">. </w:t>
      </w:r>
      <w:r w:rsidR="00837882" w:rsidRPr="009A5C4F">
        <w:rPr>
          <w:color w:val="000000"/>
          <w:lang w:val="et-EE" w:eastAsia="en-US"/>
        </w:rPr>
        <w:t>Mu</w:t>
      </w:r>
      <w:r w:rsidR="00BD50C7" w:rsidRPr="009A5C4F">
        <w:rPr>
          <w:color w:val="000000"/>
          <w:lang w:val="et-EE" w:eastAsia="en-US"/>
        </w:rPr>
        <w:t>udatus viib kontrolli tehnoloogiliselt põhjendatuks</w:t>
      </w:r>
      <w:r w:rsidR="00AA2DD1" w:rsidRPr="009A5C4F">
        <w:rPr>
          <w:color w:val="000000"/>
          <w:lang w:val="et-EE" w:eastAsia="en-US"/>
        </w:rPr>
        <w:t xml:space="preserve"> ja ol</w:t>
      </w:r>
      <w:r w:rsidR="006E5392" w:rsidRPr="009A5C4F">
        <w:rPr>
          <w:color w:val="000000"/>
          <w:lang w:val="et-EE" w:eastAsia="en-US"/>
        </w:rPr>
        <w:t xml:space="preserve">uliselt </w:t>
      </w:r>
      <w:r w:rsidR="00AA2DD1" w:rsidRPr="009A5C4F">
        <w:rPr>
          <w:color w:val="000000"/>
          <w:lang w:val="et-EE" w:eastAsia="en-US"/>
        </w:rPr>
        <w:t>rangemaks</w:t>
      </w:r>
      <w:r w:rsidR="00BD50C7" w:rsidRPr="009A5C4F">
        <w:rPr>
          <w:color w:val="000000"/>
          <w:lang w:val="et-EE" w:eastAsia="en-US"/>
        </w:rPr>
        <w:t>.</w:t>
      </w:r>
      <w:r w:rsidR="00837882" w:rsidRPr="009A5C4F">
        <w:rPr>
          <w:color w:val="000000"/>
          <w:lang w:val="et-EE" w:eastAsia="en-US"/>
        </w:rPr>
        <w:t xml:space="preserve"> </w:t>
      </w:r>
    </w:p>
    <w:p w:rsidR="00FB4CAF" w:rsidRPr="00FB4CAF" w:rsidRDefault="00FB4CAF" w:rsidP="003B234F">
      <w:pPr>
        <w:pStyle w:val="NormalLeft"/>
        <w:tabs>
          <w:tab w:val="left" w:pos="2410"/>
        </w:tabs>
        <w:spacing w:before="0" w:after="0"/>
        <w:jc w:val="both"/>
        <w:rPr>
          <w:b/>
          <w:color w:val="000000"/>
          <w:lang w:val="et-EE" w:eastAsia="en-US"/>
        </w:rPr>
      </w:pPr>
    </w:p>
    <w:p w:rsidR="002D164C" w:rsidRPr="009A5C4F" w:rsidRDefault="002D164C" w:rsidP="002D164C">
      <w:pPr>
        <w:jc w:val="both"/>
        <w:rPr>
          <w:b/>
        </w:rPr>
      </w:pPr>
      <w:r w:rsidRPr="009A5C4F">
        <w:rPr>
          <w:b/>
        </w:rPr>
        <w:t>ML13 – Soomus- või kaitsevarustus ja konstruktsioonid ning nende komponendid:</w:t>
      </w:r>
    </w:p>
    <w:p w:rsidR="002D164C" w:rsidRPr="009A5C4F" w:rsidRDefault="002D164C" w:rsidP="002D164C">
      <w:pPr>
        <w:jc w:val="both"/>
      </w:pPr>
    </w:p>
    <w:p w:rsidR="002D164C" w:rsidRPr="009A5C4F" w:rsidRDefault="002D164C" w:rsidP="002D164C">
      <w:pPr>
        <w:jc w:val="both"/>
      </w:pPr>
      <w:r w:rsidRPr="009A5C4F">
        <w:t xml:space="preserve">Kategooria punktis d.2. on sisse toodud uus määratlus „samaväärsed standardid“, mis selgitab varasemast täpsemalt III </w:t>
      </w:r>
      <w:r w:rsidRPr="009A5C4F">
        <w:lastRenderedPageBreak/>
        <w:t xml:space="preserve">kaitseastmele (NIJ 0101.06, juuli 2008) vastava või sellest parema kaitse tagamise </w:t>
      </w:r>
      <w:r w:rsidR="0004043D" w:rsidRPr="009A5C4F">
        <w:t xml:space="preserve">standardite </w:t>
      </w:r>
      <w:r w:rsidRPr="009A5C4F">
        <w:t xml:space="preserve">määratluse kohaldumise soomusvestidele. </w:t>
      </w:r>
      <w:r w:rsidR="00A47830" w:rsidRPr="009A5C4F">
        <w:t>Tulenevalt kontrollnimekirja tehtud muudatusest on täiendatud ka mõistete osa ja lisatud eraldi kirjena ML13 kohta „samaväärsed standardid“ mõiste.</w:t>
      </w:r>
    </w:p>
    <w:p w:rsidR="00BF786B" w:rsidRPr="009A5C4F" w:rsidRDefault="00BF786B" w:rsidP="00BF786B">
      <w:pPr>
        <w:keepNext/>
        <w:keepLines/>
        <w:widowControl w:val="0"/>
        <w:tabs>
          <w:tab w:val="left" w:pos="2410"/>
        </w:tabs>
        <w:autoSpaceDE w:val="0"/>
        <w:autoSpaceDN w:val="0"/>
        <w:spacing w:after="100" w:afterAutospacing="1"/>
        <w:rPr>
          <w:b/>
        </w:rPr>
      </w:pPr>
      <w:r w:rsidRPr="009A5C4F">
        <w:rPr>
          <w:b/>
          <w:color w:val="000000"/>
          <w:lang w:eastAsia="en-US"/>
        </w:rPr>
        <w:t>ML1</w:t>
      </w:r>
      <w:r w:rsidR="00A47830" w:rsidRPr="009A5C4F">
        <w:rPr>
          <w:b/>
          <w:color w:val="000000"/>
          <w:lang w:eastAsia="en-US"/>
        </w:rPr>
        <w:t>8</w:t>
      </w:r>
      <w:r w:rsidRPr="009A5C4F">
        <w:rPr>
          <w:b/>
          <w:color w:val="000000"/>
          <w:lang w:eastAsia="en-US"/>
        </w:rPr>
        <w:t xml:space="preserve"> </w:t>
      </w:r>
      <w:r w:rsidR="00A47830" w:rsidRPr="009A5C4F">
        <w:rPr>
          <w:b/>
          <w:color w:val="000000"/>
          <w:lang w:eastAsia="en-US"/>
        </w:rPr>
        <w:t>–</w:t>
      </w:r>
      <w:r w:rsidRPr="009A5C4F">
        <w:rPr>
          <w:b/>
          <w:color w:val="000000"/>
          <w:lang w:eastAsia="en-US"/>
        </w:rPr>
        <w:t xml:space="preserve"> </w:t>
      </w:r>
      <w:r w:rsidR="009A5C4F" w:rsidRPr="009A5C4F">
        <w:rPr>
          <w:b/>
          <w:color w:val="000000"/>
          <w:lang w:eastAsia="en-US"/>
        </w:rPr>
        <w:t>„</w:t>
      </w:r>
      <w:proofErr w:type="spellStart"/>
      <w:r w:rsidR="009A5C4F" w:rsidRPr="009A5C4F">
        <w:rPr>
          <w:b/>
          <w:color w:val="000000"/>
          <w:lang w:eastAsia="en-US"/>
        </w:rPr>
        <w:t>Tootmis“</w:t>
      </w:r>
      <w:r w:rsidR="00A47830" w:rsidRPr="009A5C4F">
        <w:rPr>
          <w:b/>
          <w:color w:val="000000"/>
          <w:lang w:eastAsia="en-US"/>
        </w:rPr>
        <w:t>varustus</w:t>
      </w:r>
      <w:proofErr w:type="spellEnd"/>
      <w:r w:rsidR="00A47830" w:rsidRPr="009A5C4F">
        <w:rPr>
          <w:b/>
          <w:color w:val="000000"/>
          <w:lang w:eastAsia="en-US"/>
        </w:rPr>
        <w:t xml:space="preserve">, katsekeskkonna rajatised ja nende komponendid: </w:t>
      </w:r>
    </w:p>
    <w:p w:rsidR="00C61226" w:rsidRDefault="00BF786B" w:rsidP="00BF786B">
      <w:pPr>
        <w:keepNext/>
        <w:keepLines/>
        <w:widowControl w:val="0"/>
        <w:tabs>
          <w:tab w:val="left" w:pos="2410"/>
        </w:tabs>
        <w:autoSpaceDE w:val="0"/>
        <w:autoSpaceDN w:val="0"/>
        <w:spacing w:after="100" w:afterAutospacing="1"/>
      </w:pPr>
      <w:r w:rsidRPr="009A5C4F">
        <w:t>Muudetud sõnastuses kategooria</w:t>
      </w:r>
      <w:r w:rsidR="00C61226" w:rsidRPr="009A5C4F">
        <w:t xml:space="preserve"> (lisandunud: katsekeskkonna rajatised)</w:t>
      </w:r>
      <w:r w:rsidRPr="009A5C4F">
        <w:t xml:space="preserve">. Muudatus tagab </w:t>
      </w:r>
      <w:r w:rsidR="00C61226" w:rsidRPr="009A5C4F">
        <w:t xml:space="preserve">laiema, kuid samas </w:t>
      </w:r>
      <w:r w:rsidRPr="009A5C4F">
        <w:t>selgema mää</w:t>
      </w:r>
      <w:r w:rsidR="0072382E" w:rsidRPr="009A5C4F">
        <w:t>ratluse.</w:t>
      </w:r>
    </w:p>
    <w:p w:rsidR="00C61226" w:rsidRPr="009A5C4F" w:rsidRDefault="00C61226" w:rsidP="00BF786B">
      <w:pPr>
        <w:keepNext/>
        <w:keepLines/>
        <w:widowControl w:val="0"/>
        <w:tabs>
          <w:tab w:val="left" w:pos="2410"/>
        </w:tabs>
        <w:autoSpaceDE w:val="0"/>
        <w:autoSpaceDN w:val="0"/>
        <w:spacing w:after="100" w:afterAutospacing="1"/>
        <w:rPr>
          <w:b/>
        </w:rPr>
      </w:pPr>
      <w:r w:rsidRPr="009A5C4F">
        <w:rPr>
          <w:b/>
        </w:rPr>
        <w:t>ML21 – „Tarkvara“:</w:t>
      </w:r>
    </w:p>
    <w:p w:rsidR="006D5642" w:rsidRPr="009A5C4F" w:rsidRDefault="00C61226" w:rsidP="006D5642">
      <w:pPr>
        <w:jc w:val="both"/>
      </w:pPr>
      <w:r w:rsidRPr="009A5C4F">
        <w:t>Kate</w:t>
      </w:r>
      <w:r w:rsidR="009A5C4F">
        <w:t>gooriasse on lisatud punkt b.5.</w:t>
      </w:r>
      <w:r w:rsidR="006D5642" w:rsidRPr="009A5C4F">
        <w:t xml:space="preserve"> („tarkvara”, mis on spetsiaalselt loodud või kohandatud sõjalise ründe </w:t>
      </w:r>
      <w:proofErr w:type="spellStart"/>
      <w:r w:rsidR="006D5642" w:rsidRPr="009A5C4F">
        <w:t>kü</w:t>
      </w:r>
      <w:r w:rsidR="009A5C4F">
        <w:t>beroperatsioonide</w:t>
      </w:r>
      <w:proofErr w:type="spellEnd"/>
      <w:r w:rsidR="009A5C4F">
        <w:t xml:space="preserve"> läbiviimiseks) ning täiendavad m</w:t>
      </w:r>
      <w:r w:rsidR="006D5642" w:rsidRPr="009A5C4F">
        <w:t xml:space="preserve">ärkus 1 ja 2; samuti NB märge punktis c. (Vt sõjaliste kaupade nimekirjas loetletud süsteeme, seadmeid või komponente seoses </w:t>
      </w:r>
      <w:proofErr w:type="spellStart"/>
      <w:r w:rsidR="006D5642" w:rsidRPr="009A5C4F">
        <w:t>üldotstarbeliste</w:t>
      </w:r>
      <w:proofErr w:type="spellEnd"/>
      <w:r w:rsidR="006D5642" w:rsidRPr="009A5C4F">
        <w:t xml:space="preserve"> „digitaalarvutitega“, millele on paigaldatud punktis ML21.c nimetatud „tarkvara“). Tulenevalt kontrollnimekirja </w:t>
      </w:r>
      <w:r w:rsidR="006D5642" w:rsidRPr="009A5C4F">
        <w:lastRenderedPageBreak/>
        <w:t>tehtud muudatusest on täiendatud ka mõistete osa ja lisatud eraldi kirjetena ML21 kohta „digitaalarvuti“, „</w:t>
      </w:r>
      <w:proofErr w:type="spellStart"/>
      <w:r w:rsidR="006D5642" w:rsidRPr="009A5C4F">
        <w:t>küberintsidentidele</w:t>
      </w:r>
      <w:proofErr w:type="spellEnd"/>
      <w:r w:rsidR="006D5642" w:rsidRPr="009A5C4F">
        <w:t xml:space="preserve"> reageerimine“ ja „turva</w:t>
      </w:r>
      <w:r w:rsidR="009A5C4F">
        <w:t xml:space="preserve">nõrkustest teatamine“ mõisted. </w:t>
      </w:r>
      <w:r w:rsidR="00A314A6" w:rsidRPr="009A5C4F">
        <w:t>Muudatus viib kontrollnimekirja vastavusse valdkondlike tehnoloogiliste muutustega.</w:t>
      </w:r>
    </w:p>
    <w:p w:rsidR="00B94A62" w:rsidRPr="00BF786B" w:rsidRDefault="00B94A62" w:rsidP="003B234F">
      <w:pPr>
        <w:pStyle w:val="NormalLeft"/>
        <w:tabs>
          <w:tab w:val="left" w:pos="2410"/>
        </w:tabs>
        <w:spacing w:before="0" w:after="0"/>
        <w:jc w:val="both"/>
        <w:rPr>
          <w:b/>
          <w:color w:val="000000"/>
          <w:lang w:val="et-EE" w:eastAsia="en-US"/>
        </w:rPr>
      </w:pPr>
    </w:p>
    <w:p w:rsidR="00FB4CAF" w:rsidRDefault="00F576A0" w:rsidP="00BF3A21">
      <w:pPr>
        <w:jc w:val="both"/>
        <w:rPr>
          <w:b/>
        </w:rPr>
      </w:pPr>
      <w:r>
        <w:rPr>
          <w:b/>
        </w:rPr>
        <w:t>2) Määruse lisa 2 muutmine</w:t>
      </w:r>
    </w:p>
    <w:p w:rsidR="00F576A0" w:rsidRDefault="00F576A0" w:rsidP="00BF3A21">
      <w:pPr>
        <w:jc w:val="both"/>
        <w:rPr>
          <w:b/>
        </w:rPr>
      </w:pPr>
    </w:p>
    <w:p w:rsidR="00F576A0" w:rsidRPr="005F2403" w:rsidRDefault="00F576A0" w:rsidP="00BF3A21">
      <w:pPr>
        <w:jc w:val="both"/>
      </w:pPr>
      <w:r w:rsidRPr="005F2403">
        <w:t>Punkti</w:t>
      </w:r>
      <w:r w:rsidR="005F2403" w:rsidRPr="005F2403">
        <w:t>ga</w:t>
      </w:r>
      <w:r w:rsidRPr="005F2403">
        <w:t xml:space="preserve"> 2 </w:t>
      </w:r>
      <w:r w:rsidR="005F2403" w:rsidRPr="005F2403">
        <w:t>kehtestatakse</w:t>
      </w:r>
      <w:r w:rsidRPr="005F2403">
        <w:t xml:space="preserve"> uues sõnastuses määruse lisa 2, kus on esitatud </w:t>
      </w:r>
      <w:r w:rsidRPr="005F2403">
        <w:rPr>
          <w:b/>
        </w:rPr>
        <w:t>kaitseotstarbeliste toodete nimekiri</w:t>
      </w:r>
      <w:r w:rsidRPr="005F2403">
        <w:t xml:space="preserve">. </w:t>
      </w:r>
      <w:r w:rsidR="00B73FDA" w:rsidRPr="005F2403">
        <w:t>Kaitseotstarbeliste toodete nimekirja uuendamise vajadus tuleneb direktiivist 20</w:t>
      </w:r>
      <w:r w:rsidR="00AD38F7" w:rsidRPr="005F2403">
        <w:t>21</w:t>
      </w:r>
      <w:r w:rsidR="00B73FDA" w:rsidRPr="005F2403">
        <w:t>/</w:t>
      </w:r>
      <w:r w:rsidR="00AD38F7" w:rsidRPr="005F2403">
        <w:t>1047</w:t>
      </w:r>
      <w:r w:rsidR="00B73FDA" w:rsidRPr="005F2403">
        <w:t xml:space="preserve">/EL, mille lisaga asendatakse seni kehtinud kaitseotstarbeliste toodete nimekiri. Komisjon võttis direktiivi vastu </w:t>
      </w:r>
      <w:r w:rsidR="00AD38F7" w:rsidRPr="005F2403">
        <w:t>5</w:t>
      </w:r>
      <w:r w:rsidR="00B73FDA" w:rsidRPr="005F2403">
        <w:t>.</w:t>
      </w:r>
      <w:r w:rsidR="005F2403" w:rsidRPr="005F2403">
        <w:t xml:space="preserve"> </w:t>
      </w:r>
      <w:r w:rsidR="00B73FDA" w:rsidRPr="005F2403">
        <w:t>märtsil 20</w:t>
      </w:r>
      <w:r w:rsidR="00AD38F7" w:rsidRPr="005F2403">
        <w:t>21</w:t>
      </w:r>
      <w:r w:rsidR="00B73FDA" w:rsidRPr="005F2403">
        <w:t xml:space="preserve"> ning selle rakendamiseks peavad liikmesriigid vajalikud õigusaktid vastu võtma ja avaldama hiljemalt 30.</w:t>
      </w:r>
      <w:r w:rsidR="005F2403" w:rsidRPr="005F2403">
        <w:t xml:space="preserve"> </w:t>
      </w:r>
      <w:r w:rsidR="00AD38F7" w:rsidRPr="005F2403">
        <w:t xml:space="preserve">septembriks </w:t>
      </w:r>
      <w:r w:rsidR="00B73FDA" w:rsidRPr="005F2403">
        <w:t>20</w:t>
      </w:r>
      <w:r w:rsidR="00AD38F7" w:rsidRPr="005F2403">
        <w:t>2</w:t>
      </w:r>
      <w:r w:rsidR="00B73FDA" w:rsidRPr="005F2403">
        <w:t xml:space="preserve">1. Nimetatud norme kohaldatakse alates </w:t>
      </w:r>
      <w:r w:rsidR="00AD38F7" w:rsidRPr="005F2403">
        <w:t>7</w:t>
      </w:r>
      <w:r w:rsidR="00B73FDA" w:rsidRPr="005F2403">
        <w:t>.</w:t>
      </w:r>
      <w:r w:rsidR="005F2403" w:rsidRPr="005F2403">
        <w:t xml:space="preserve"> </w:t>
      </w:r>
      <w:r w:rsidR="00AD38F7" w:rsidRPr="005F2403">
        <w:t xml:space="preserve">oktoobrist </w:t>
      </w:r>
      <w:r w:rsidR="00B73FDA" w:rsidRPr="005F2403">
        <w:t>20</w:t>
      </w:r>
      <w:r w:rsidR="00AD38F7" w:rsidRPr="005F2403">
        <w:t>2</w:t>
      </w:r>
      <w:r w:rsidR="00B73FDA" w:rsidRPr="005F2403">
        <w:t xml:space="preserve">1.  </w:t>
      </w:r>
    </w:p>
    <w:p w:rsidR="00F576A0" w:rsidRPr="00256EAF" w:rsidRDefault="00F576A0" w:rsidP="00BF3A21">
      <w:pPr>
        <w:jc w:val="both"/>
        <w:rPr>
          <w:b/>
          <w:highlight w:val="yellow"/>
        </w:rPr>
      </w:pPr>
    </w:p>
    <w:p w:rsidR="00F51D9A" w:rsidRPr="007843E0" w:rsidRDefault="00B73FDA" w:rsidP="00664ED7">
      <w:pPr>
        <w:jc w:val="both"/>
        <w:rPr>
          <w:b/>
        </w:rPr>
      </w:pPr>
      <w:r w:rsidRPr="007843E0">
        <w:rPr>
          <w:b/>
        </w:rPr>
        <w:lastRenderedPageBreak/>
        <w:t>3</w:t>
      </w:r>
      <w:r w:rsidR="001069F8" w:rsidRPr="007843E0">
        <w:rPr>
          <w:b/>
        </w:rPr>
        <w:t xml:space="preserve">) </w:t>
      </w:r>
      <w:r w:rsidR="00F51D9A" w:rsidRPr="007843E0">
        <w:rPr>
          <w:b/>
        </w:rPr>
        <w:t xml:space="preserve">Normitehnilise märkuse muutmine </w:t>
      </w:r>
    </w:p>
    <w:p w:rsidR="001069F8" w:rsidRPr="007843E0" w:rsidRDefault="001069F8" w:rsidP="00664ED7">
      <w:pPr>
        <w:jc w:val="both"/>
      </w:pPr>
    </w:p>
    <w:p w:rsidR="00F51D9A" w:rsidRPr="003B234F" w:rsidRDefault="00F51D9A" w:rsidP="009A147A">
      <w:pPr>
        <w:jc w:val="both"/>
      </w:pPr>
      <w:r w:rsidRPr="007843E0">
        <w:t xml:space="preserve">Eelnõu punktiga </w:t>
      </w:r>
      <w:r w:rsidR="00B73FDA" w:rsidRPr="007843E0">
        <w:t>3</w:t>
      </w:r>
      <w:r w:rsidRPr="007843E0">
        <w:t xml:space="preserve"> </w:t>
      </w:r>
      <w:r w:rsidR="009F492E" w:rsidRPr="007843E0">
        <w:t xml:space="preserve">täiendatakse </w:t>
      </w:r>
      <w:r w:rsidRPr="007843E0">
        <w:t>määruse normitehnili</w:t>
      </w:r>
      <w:r w:rsidR="009F492E" w:rsidRPr="007843E0">
        <w:t>st</w:t>
      </w:r>
      <w:r w:rsidRPr="007843E0">
        <w:t xml:space="preserve"> märkus</w:t>
      </w:r>
      <w:r w:rsidR="009F492E" w:rsidRPr="007843E0">
        <w:t>t</w:t>
      </w:r>
      <w:r w:rsidRPr="007843E0">
        <w:t xml:space="preserve"> </w:t>
      </w:r>
      <w:r w:rsidR="009F492E" w:rsidRPr="007843E0">
        <w:t>vii</w:t>
      </w:r>
      <w:r w:rsidR="00B73FDA" w:rsidRPr="007843E0">
        <w:t>det</w:t>
      </w:r>
      <w:r w:rsidR="009F492E" w:rsidRPr="007843E0">
        <w:t xml:space="preserve">ega </w:t>
      </w:r>
      <w:r w:rsidR="006520F3" w:rsidRPr="007843E0">
        <w:t>Euroopa Liidu Nõukogus vastu võetud sõjaliste kaupade ühisele Euroopa Liidu nimekirjale 20</w:t>
      </w:r>
      <w:r w:rsidR="00AD38F7" w:rsidRPr="007843E0">
        <w:t>20</w:t>
      </w:r>
      <w:r w:rsidRPr="007843E0">
        <w:t>/</w:t>
      </w:r>
      <w:r w:rsidR="006520F3" w:rsidRPr="007843E0">
        <w:t xml:space="preserve">C </w:t>
      </w:r>
      <w:r w:rsidR="00AD38F7" w:rsidRPr="007843E0">
        <w:t>8</w:t>
      </w:r>
      <w:r w:rsidR="00B73FDA" w:rsidRPr="007843E0">
        <w:t>5</w:t>
      </w:r>
      <w:r w:rsidR="006520F3" w:rsidRPr="007843E0">
        <w:t>/</w:t>
      </w:r>
      <w:r w:rsidR="009E32F6" w:rsidRPr="007843E0">
        <w:t xml:space="preserve">01 </w:t>
      </w:r>
      <w:r w:rsidR="006520F3" w:rsidRPr="007843E0">
        <w:t xml:space="preserve">(ELT </w:t>
      </w:r>
      <w:r w:rsidR="00AD38F7" w:rsidRPr="007843E0">
        <w:t>C85,</w:t>
      </w:r>
      <w:r w:rsidR="0055167A" w:rsidRPr="007843E0">
        <w:t xml:space="preserve"> </w:t>
      </w:r>
      <w:r w:rsidR="006520F3" w:rsidRPr="007843E0">
        <w:t>1</w:t>
      </w:r>
      <w:r w:rsidR="00AD38F7" w:rsidRPr="007843E0">
        <w:t>3</w:t>
      </w:r>
      <w:r w:rsidR="0055167A" w:rsidRPr="007843E0">
        <w:t>.</w:t>
      </w:r>
      <w:r w:rsidR="006520F3" w:rsidRPr="007843E0">
        <w:t>03</w:t>
      </w:r>
      <w:r w:rsidR="0055167A" w:rsidRPr="007843E0">
        <w:t>.20</w:t>
      </w:r>
      <w:r w:rsidR="00AD38F7" w:rsidRPr="007843E0">
        <w:t>20</w:t>
      </w:r>
      <w:r w:rsidR="007843E0" w:rsidRPr="007843E0">
        <w:t>, lk 1</w:t>
      </w:r>
      <w:r w:rsidR="009E32F6" w:rsidRPr="007843E0">
        <w:t>–</w:t>
      </w:r>
      <w:r w:rsidR="007843E0" w:rsidRPr="007843E0">
        <w:t>37</w:t>
      </w:r>
      <w:r w:rsidR="006520F3" w:rsidRPr="007843E0">
        <w:t>)</w:t>
      </w:r>
      <w:r w:rsidR="00256EAF" w:rsidRPr="007843E0">
        <w:t xml:space="preserve"> ja kaitseotstarbeliste toodete uuendatud nimekirja kehtestavale Euroopa Komisjoni direktiivile 20</w:t>
      </w:r>
      <w:r w:rsidR="00AD38F7" w:rsidRPr="007843E0">
        <w:t>21</w:t>
      </w:r>
      <w:r w:rsidR="00256EAF" w:rsidRPr="007843E0">
        <w:t>/</w:t>
      </w:r>
      <w:r w:rsidR="00AD38F7" w:rsidRPr="007843E0">
        <w:t>1047</w:t>
      </w:r>
      <w:r w:rsidR="00256EAF" w:rsidRPr="007843E0">
        <w:t>/EL</w:t>
      </w:r>
      <w:r w:rsidR="00365AF1" w:rsidRPr="007843E0">
        <w:t>.</w:t>
      </w:r>
    </w:p>
    <w:p w:rsidR="00F51D9A" w:rsidRPr="003B234F" w:rsidRDefault="00F51D9A" w:rsidP="00664ED7">
      <w:pPr>
        <w:jc w:val="both"/>
        <w:rPr>
          <w:b/>
        </w:rPr>
      </w:pPr>
    </w:p>
    <w:p w:rsidR="00F51D9A" w:rsidRPr="003B234F" w:rsidRDefault="002F4C9B" w:rsidP="00664ED7">
      <w:pPr>
        <w:keepNext/>
        <w:jc w:val="both"/>
        <w:rPr>
          <w:b/>
        </w:rPr>
      </w:pPr>
      <w:r w:rsidRPr="003B234F">
        <w:rPr>
          <w:b/>
        </w:rPr>
        <w:t>3</w:t>
      </w:r>
      <w:r w:rsidR="00F51D9A" w:rsidRPr="003B234F">
        <w:rPr>
          <w:b/>
        </w:rPr>
        <w:t>. Eelnõu vastavus Euroopa Liidu õigusele</w:t>
      </w:r>
    </w:p>
    <w:p w:rsidR="00F51D9A" w:rsidRPr="003B234F" w:rsidRDefault="00F51D9A" w:rsidP="00664ED7">
      <w:pPr>
        <w:keepNext/>
        <w:jc w:val="both"/>
      </w:pPr>
    </w:p>
    <w:p w:rsidR="00F51D9A" w:rsidRPr="003B234F" w:rsidRDefault="00F51D9A" w:rsidP="00664ED7">
      <w:pPr>
        <w:keepNext/>
        <w:jc w:val="both"/>
      </w:pPr>
      <w:r w:rsidRPr="003B234F">
        <w:t>Eelnõu on kooskõlas Euroopa Liidu õigusega</w:t>
      </w:r>
      <w:r w:rsidR="006F7BE4" w:rsidRPr="003B234F">
        <w:t xml:space="preserve"> ja sõjaliste kaupade </w:t>
      </w:r>
      <w:r w:rsidR="009461EF" w:rsidRPr="003B234F">
        <w:t xml:space="preserve">ühise </w:t>
      </w:r>
      <w:r w:rsidR="006F7BE4" w:rsidRPr="003B234F">
        <w:t>Euroopa Liidu nimekirjaga</w:t>
      </w:r>
      <w:r w:rsidRPr="003B234F">
        <w:t>.</w:t>
      </w:r>
    </w:p>
    <w:p w:rsidR="00F51D9A" w:rsidRPr="003B234F" w:rsidRDefault="00F51D9A" w:rsidP="00664ED7">
      <w:pPr>
        <w:jc w:val="both"/>
      </w:pPr>
    </w:p>
    <w:p w:rsidR="00F51D9A" w:rsidRPr="003B234F" w:rsidRDefault="002F4C9B" w:rsidP="00664ED7">
      <w:pPr>
        <w:jc w:val="both"/>
        <w:rPr>
          <w:b/>
        </w:rPr>
      </w:pPr>
      <w:r w:rsidRPr="003B234F">
        <w:rPr>
          <w:b/>
        </w:rPr>
        <w:t>4</w:t>
      </w:r>
      <w:r w:rsidR="00F51D9A" w:rsidRPr="003B234F">
        <w:rPr>
          <w:b/>
        </w:rPr>
        <w:t>. Määruse mõjud</w:t>
      </w:r>
    </w:p>
    <w:p w:rsidR="00F51D9A" w:rsidRPr="003B234F" w:rsidRDefault="00F51D9A" w:rsidP="00664ED7">
      <w:pPr>
        <w:jc w:val="both"/>
      </w:pPr>
    </w:p>
    <w:p w:rsidR="00F51D9A" w:rsidRPr="003B234F" w:rsidRDefault="00F51D9A" w:rsidP="00664ED7">
      <w:pPr>
        <w:jc w:val="both"/>
      </w:pPr>
      <w:r w:rsidRPr="003B234F">
        <w:t>Määruse rakendamisega ei kaasne olulist sotsiaalset, sh demograafilist mõju, ega olulist mõju elu- ja looduskeskkonnale, regionaalarengule, riigiasutuste ja kohaliku omavalitsuse korraldusele</w:t>
      </w:r>
      <w:r w:rsidR="00803976" w:rsidRPr="003B234F">
        <w:t xml:space="preserve"> ning ettevõtlusele</w:t>
      </w:r>
      <w:r w:rsidRPr="003B234F">
        <w:t>.</w:t>
      </w:r>
    </w:p>
    <w:p w:rsidR="00F51D9A" w:rsidRPr="003B234F" w:rsidRDefault="00F51D9A" w:rsidP="00664ED7">
      <w:pPr>
        <w:jc w:val="both"/>
      </w:pPr>
    </w:p>
    <w:p w:rsidR="00F51D9A" w:rsidRPr="003B234F" w:rsidRDefault="00F51D9A" w:rsidP="00664ED7">
      <w:pPr>
        <w:jc w:val="both"/>
      </w:pPr>
      <w:r w:rsidRPr="003B234F">
        <w:t>Määruse rakendamisel on mõju riigi julgeolekule ja välissuhetele. Strateegiliste kaupade kontrolli meetmete üldiseks eesmärgiks on tagada rahvusvaheline ja riiklik julgeolek. Selle paremaks saavutamiseks uuendatakse nii Euroopa Liidus kui ka ekspordikontrolli režiimides strateegiliste kaupade nimekirju ning nende nimekirjade rakendamine Eestis aitab ühe tegurina kaasa Eesti ja rahvusvahelise julgeoleku tagamisele.</w:t>
      </w:r>
    </w:p>
    <w:p w:rsidR="00F51D9A" w:rsidRDefault="00F51D9A" w:rsidP="00664ED7">
      <w:pPr>
        <w:jc w:val="both"/>
        <w:rPr>
          <w:rFonts w:cs="Arial"/>
          <w:bCs/>
        </w:rPr>
      </w:pPr>
    </w:p>
    <w:p w:rsidR="00215278" w:rsidRPr="00215278" w:rsidRDefault="00215278" w:rsidP="00215278">
      <w:pPr>
        <w:jc w:val="both"/>
        <w:rPr>
          <w:rFonts w:cs="Arial"/>
          <w:bCs/>
        </w:rPr>
      </w:pPr>
      <w:r w:rsidRPr="00215278">
        <w:t xml:space="preserve">Direktiivi 2009/43/EÜ lisaga ette nähtud kaitseotstarbeliste toodete nimekiri asendatakse </w:t>
      </w:r>
      <w:r w:rsidRPr="007843E0">
        <w:t>direktiiviga 2021/1047/EL kehtestatud uue</w:t>
      </w:r>
      <w:r w:rsidRPr="00215278">
        <w:t xml:space="preserve"> nimekirjaga.</w:t>
      </w:r>
      <w:r w:rsidRPr="00215278">
        <w:rPr>
          <w:rFonts w:cs="Arial"/>
          <w:bCs/>
        </w:rPr>
        <w:t xml:space="preserve"> Eesmärgiks on lihtsustada ja ühtlustada kaitseotstarbeliste toodete Euroopa Liidu sisese veo tingimusi, et edendada Euroopa kaitsevarustuse siseturu nõuetekohast toimimist ning Euroopa kaitsealase tehnoloogilise ja tööstusliku baasi arengut. Peamiselt puudutab direktiiv Euroopa Liidu liikmesriikide kaitsejõudusid, Euroopa kaitseettevõtjaid, rahvusvahelisi ja valitsusvahelisi organisatsioone, liikmesriikide vahelisi relvastusalaseid koostööprogramme, katastroofi korral humanitaarabiga või eriolukorras annetusega seotud vedusid.</w:t>
      </w:r>
    </w:p>
    <w:p w:rsidR="00215278" w:rsidRPr="003B234F" w:rsidRDefault="00215278" w:rsidP="00664ED7">
      <w:pPr>
        <w:jc w:val="both"/>
        <w:rPr>
          <w:rFonts w:cs="Arial"/>
          <w:bCs/>
        </w:rPr>
      </w:pPr>
    </w:p>
    <w:p w:rsidR="00F51D9A" w:rsidRPr="003B234F" w:rsidRDefault="00F51D9A" w:rsidP="00664ED7">
      <w:pPr>
        <w:jc w:val="both"/>
      </w:pPr>
      <w:r w:rsidRPr="003B234F">
        <w:t>Määruse rakendamisega seoses tekib teavitamisvajadus, mille</w:t>
      </w:r>
      <w:r w:rsidR="00262C9A" w:rsidRPr="003B234F">
        <w:t xml:space="preserve"> tõttu</w:t>
      </w:r>
      <w:r w:rsidRPr="003B234F">
        <w:t xml:space="preserve"> peab </w:t>
      </w:r>
      <w:r w:rsidR="00224239" w:rsidRPr="003B234F">
        <w:t xml:space="preserve">Välisministeerium </w:t>
      </w:r>
      <w:r w:rsidRPr="003B234F">
        <w:t>korraldama teabepäevi ning jagama teavitusmaterjale (paberil ja elektrooniliselt). Otseselt puudutab teavitusvajadus strateegilise kaubaga tegelevaid ettevõtjaid ja riigiasutuste töötajad (kaitsepolitsei, politsei, toll), aga ka strateegilise kauba veoga seotud ettevõt</w:t>
      </w:r>
      <w:r w:rsidR="00803976" w:rsidRPr="003B234F">
        <w:t>teid.</w:t>
      </w:r>
    </w:p>
    <w:p w:rsidR="00F51D9A" w:rsidRPr="003B234F" w:rsidRDefault="00F51D9A" w:rsidP="00664ED7">
      <w:pPr>
        <w:jc w:val="both"/>
      </w:pPr>
    </w:p>
    <w:p w:rsidR="00F51D9A" w:rsidRPr="003B234F" w:rsidRDefault="002F4C9B" w:rsidP="00664ED7">
      <w:pPr>
        <w:jc w:val="both"/>
        <w:rPr>
          <w:b/>
        </w:rPr>
      </w:pPr>
      <w:r w:rsidRPr="003B234F">
        <w:rPr>
          <w:b/>
        </w:rPr>
        <w:t>5</w:t>
      </w:r>
      <w:r w:rsidR="00F51D9A" w:rsidRPr="003B234F">
        <w:rPr>
          <w:b/>
        </w:rPr>
        <w:t>. Määruse rakendamisega seotud tegevused, vajalikud kulud ja määruse rakendamise eeldatavad tulud</w:t>
      </w:r>
    </w:p>
    <w:p w:rsidR="00F51D9A" w:rsidRPr="003B234F" w:rsidRDefault="00F51D9A" w:rsidP="00664ED7">
      <w:pPr>
        <w:jc w:val="both"/>
      </w:pPr>
    </w:p>
    <w:p w:rsidR="00F51D9A" w:rsidRPr="003B234F" w:rsidRDefault="00F51D9A" w:rsidP="00664ED7">
      <w:pPr>
        <w:jc w:val="both"/>
      </w:pPr>
      <w:r w:rsidRPr="003B234F">
        <w:t>Määruse rakendamiseks ei ole vajalikud kulutused riigieelarvest. Määruse rakendamisega ei teki lisatulusid.</w:t>
      </w:r>
    </w:p>
    <w:p w:rsidR="00F51D9A" w:rsidRPr="003B234F" w:rsidRDefault="00F51D9A" w:rsidP="00664ED7">
      <w:pPr>
        <w:jc w:val="both"/>
      </w:pPr>
    </w:p>
    <w:p w:rsidR="00F51D9A" w:rsidRPr="003B234F" w:rsidRDefault="00F51D9A" w:rsidP="00664ED7">
      <w:pPr>
        <w:jc w:val="both"/>
      </w:pPr>
      <w:r w:rsidRPr="003B234F">
        <w:t>Määruse rakendamine toob Välisministeeriumile kaasa administratiivse lisakulu (seminaride korraldamine, teavitusmaterjalide koostamine, veebilehe uuendamine), mis kaetakse ministeeriumi eelarvest.</w:t>
      </w:r>
    </w:p>
    <w:p w:rsidR="00F51D9A" w:rsidRPr="003B234F" w:rsidRDefault="00F51D9A" w:rsidP="00664ED7">
      <w:pPr>
        <w:jc w:val="both"/>
      </w:pPr>
    </w:p>
    <w:p w:rsidR="00F51D9A" w:rsidRPr="003B234F" w:rsidRDefault="002F4C9B" w:rsidP="00664ED7">
      <w:pPr>
        <w:jc w:val="both"/>
        <w:rPr>
          <w:b/>
        </w:rPr>
      </w:pPr>
      <w:r w:rsidRPr="003B234F">
        <w:rPr>
          <w:b/>
        </w:rPr>
        <w:t>6</w:t>
      </w:r>
      <w:r w:rsidR="00F51D9A" w:rsidRPr="003B234F">
        <w:rPr>
          <w:b/>
        </w:rPr>
        <w:t>. Määruse jõustumine</w:t>
      </w:r>
    </w:p>
    <w:p w:rsidR="00F51D9A" w:rsidRPr="003B234F" w:rsidRDefault="00F51D9A" w:rsidP="00664ED7">
      <w:pPr>
        <w:jc w:val="both"/>
      </w:pPr>
    </w:p>
    <w:p w:rsidR="00F51D9A" w:rsidRPr="003B234F" w:rsidRDefault="00F51D9A" w:rsidP="00664ED7">
      <w:pPr>
        <w:jc w:val="both"/>
        <w:rPr>
          <w:b/>
        </w:rPr>
      </w:pPr>
      <w:r w:rsidRPr="003B234F">
        <w:lastRenderedPageBreak/>
        <w:t xml:space="preserve">Määrus jõustub </w:t>
      </w:r>
      <w:proofErr w:type="spellStart"/>
      <w:r w:rsidRPr="003B234F">
        <w:t>üldkorras</w:t>
      </w:r>
      <w:proofErr w:type="spellEnd"/>
      <w:r w:rsidRPr="003B234F">
        <w:t>.</w:t>
      </w:r>
    </w:p>
    <w:p w:rsidR="00F51D9A" w:rsidRPr="003B234F" w:rsidRDefault="00F51D9A" w:rsidP="00664ED7">
      <w:pPr>
        <w:jc w:val="both"/>
        <w:rPr>
          <w:b/>
        </w:rPr>
      </w:pPr>
    </w:p>
    <w:p w:rsidR="00F51D9A" w:rsidRPr="003B234F" w:rsidRDefault="002F4C9B" w:rsidP="00664ED7">
      <w:pPr>
        <w:jc w:val="both"/>
        <w:rPr>
          <w:b/>
        </w:rPr>
      </w:pPr>
      <w:r w:rsidRPr="003B234F">
        <w:rPr>
          <w:b/>
        </w:rPr>
        <w:t>7</w:t>
      </w:r>
      <w:r w:rsidR="00F51D9A" w:rsidRPr="003B234F">
        <w:rPr>
          <w:b/>
        </w:rPr>
        <w:t>. Eelnõu kooskõlastamine, huvirühmade kaasamine ja avalik konsultatsioon</w:t>
      </w:r>
    </w:p>
    <w:p w:rsidR="00F51D9A" w:rsidRPr="003B234F" w:rsidRDefault="00F51D9A" w:rsidP="00664ED7">
      <w:pPr>
        <w:jc w:val="both"/>
      </w:pPr>
    </w:p>
    <w:p w:rsidR="00967700" w:rsidRDefault="00CC54AE" w:rsidP="00ED7C4B">
      <w:pPr>
        <w:jc w:val="both"/>
      </w:pPr>
      <w:r w:rsidRPr="003B234F">
        <w:t xml:space="preserve">Eelnõu </w:t>
      </w:r>
      <w:r w:rsidR="000D2AB8" w:rsidRPr="003B234F">
        <w:t xml:space="preserve">esitatakse </w:t>
      </w:r>
      <w:r w:rsidR="00F51D9A" w:rsidRPr="003B234F">
        <w:t xml:space="preserve">eelnõude </w:t>
      </w:r>
      <w:r w:rsidR="00B8443B">
        <w:t>infosüsteemi</w:t>
      </w:r>
      <w:bookmarkStart w:id="0" w:name="_GoBack"/>
      <w:bookmarkEnd w:id="0"/>
      <w:r w:rsidR="00F51D9A" w:rsidRPr="003B234F">
        <w:t xml:space="preserve"> EIS kaudu kooskõlastamiseks Kaitseministeeriumile, Majandus- ja Kommunikatsiooniministeeriumile</w:t>
      </w:r>
      <w:r w:rsidR="00430076" w:rsidRPr="003B234F">
        <w:t>, Rahandusministeeriumile ning Siseministeeriumile.</w:t>
      </w:r>
      <w:r w:rsidR="00256EAF">
        <w:t xml:space="preserve"> </w:t>
      </w:r>
    </w:p>
    <w:sectPr w:rsidR="00967700" w:rsidSect="00664ED7">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12B" w:rsidRDefault="0072012B" w:rsidP="00500CBE">
      <w:r>
        <w:separator/>
      </w:r>
    </w:p>
  </w:endnote>
  <w:endnote w:type="continuationSeparator" w:id="0">
    <w:p w:rsidR="0072012B" w:rsidRDefault="0072012B" w:rsidP="0050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alibri">
    <w:altName w:val="Times New Roman"/>
    <w:panose1 w:val="020F0502020204030204"/>
    <w:charset w:val="BA"/>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Arial">
    <w:altName w:val=" Helvetica"/>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CBE" w:rsidRDefault="00500CBE">
    <w:pPr>
      <w:pStyle w:val="Footer"/>
      <w:jc w:val="center"/>
    </w:pPr>
    <w:r>
      <w:fldChar w:fldCharType="begin"/>
    </w:r>
    <w:r>
      <w:instrText xml:space="preserve"> PAGE   \* MERGEFORMAT </w:instrText>
    </w:r>
    <w:r>
      <w:fldChar w:fldCharType="separate"/>
    </w:r>
    <w:r w:rsidR="00B8443B">
      <w:rPr>
        <w:noProof/>
      </w:rPr>
      <w:t>3</w:t>
    </w:r>
    <w:r>
      <w:fldChar w:fldCharType="end"/>
    </w:r>
  </w:p>
  <w:p w:rsidR="00500CBE" w:rsidRDefault="0050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12B" w:rsidRDefault="0072012B" w:rsidP="00500CBE">
      <w:r>
        <w:separator/>
      </w:r>
    </w:p>
  </w:footnote>
  <w:footnote w:type="continuationSeparator" w:id="0">
    <w:p w:rsidR="0072012B" w:rsidRDefault="0072012B" w:rsidP="00500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058AF"/>
    <w:multiLevelType w:val="hybridMultilevel"/>
    <w:tmpl w:val="364C72A8"/>
    <w:lvl w:ilvl="0" w:tplc="04250011">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 w15:restartNumberingAfterBreak="0">
    <w:nsid w:val="75BC00CA"/>
    <w:multiLevelType w:val="multilevel"/>
    <w:tmpl w:val="D0C4667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9A"/>
    <w:rsid w:val="00031AB5"/>
    <w:rsid w:val="0004043D"/>
    <w:rsid w:val="0008096D"/>
    <w:rsid w:val="0008206F"/>
    <w:rsid w:val="00084118"/>
    <w:rsid w:val="00086364"/>
    <w:rsid w:val="00095293"/>
    <w:rsid w:val="000A4161"/>
    <w:rsid w:val="000A7923"/>
    <w:rsid w:val="000D051D"/>
    <w:rsid w:val="000D2AB8"/>
    <w:rsid w:val="000E1752"/>
    <w:rsid w:val="000E217F"/>
    <w:rsid w:val="001069F8"/>
    <w:rsid w:val="00117E1B"/>
    <w:rsid w:val="001224EB"/>
    <w:rsid w:val="00127648"/>
    <w:rsid w:val="0013127A"/>
    <w:rsid w:val="001404A1"/>
    <w:rsid w:val="001415CF"/>
    <w:rsid w:val="0016179A"/>
    <w:rsid w:val="00161940"/>
    <w:rsid w:val="00166562"/>
    <w:rsid w:val="00196BE0"/>
    <w:rsid w:val="00197D59"/>
    <w:rsid w:val="001C3E60"/>
    <w:rsid w:val="001C408C"/>
    <w:rsid w:val="001E6F3D"/>
    <w:rsid w:val="001F6ED3"/>
    <w:rsid w:val="00215278"/>
    <w:rsid w:val="00224239"/>
    <w:rsid w:val="00227618"/>
    <w:rsid w:val="00240C7F"/>
    <w:rsid w:val="002437A4"/>
    <w:rsid w:val="002444D7"/>
    <w:rsid w:val="00255DFC"/>
    <w:rsid w:val="00256EAF"/>
    <w:rsid w:val="0026195B"/>
    <w:rsid w:val="00262C9A"/>
    <w:rsid w:val="00265E5A"/>
    <w:rsid w:val="00281EB5"/>
    <w:rsid w:val="002A2A64"/>
    <w:rsid w:val="002A3E4E"/>
    <w:rsid w:val="002C0BEE"/>
    <w:rsid w:val="002D164C"/>
    <w:rsid w:val="002F2927"/>
    <w:rsid w:val="002F4C9B"/>
    <w:rsid w:val="0031022D"/>
    <w:rsid w:val="003313D2"/>
    <w:rsid w:val="00341CAB"/>
    <w:rsid w:val="00365AF1"/>
    <w:rsid w:val="00366ED6"/>
    <w:rsid w:val="00380DC0"/>
    <w:rsid w:val="00383AA9"/>
    <w:rsid w:val="003B234F"/>
    <w:rsid w:val="003B284C"/>
    <w:rsid w:val="00424F2B"/>
    <w:rsid w:val="00430076"/>
    <w:rsid w:val="00457DD4"/>
    <w:rsid w:val="00464D3D"/>
    <w:rsid w:val="00480605"/>
    <w:rsid w:val="00486E5A"/>
    <w:rsid w:val="004B025C"/>
    <w:rsid w:val="004B29A1"/>
    <w:rsid w:val="004B5183"/>
    <w:rsid w:val="004B7448"/>
    <w:rsid w:val="004C6309"/>
    <w:rsid w:val="004D4842"/>
    <w:rsid w:val="00500CBE"/>
    <w:rsid w:val="005075E3"/>
    <w:rsid w:val="0055167A"/>
    <w:rsid w:val="00552E3C"/>
    <w:rsid w:val="005644E7"/>
    <w:rsid w:val="0056709D"/>
    <w:rsid w:val="00585A79"/>
    <w:rsid w:val="00593683"/>
    <w:rsid w:val="005B4D29"/>
    <w:rsid w:val="005D0D03"/>
    <w:rsid w:val="005D32C6"/>
    <w:rsid w:val="005F222B"/>
    <w:rsid w:val="005F2403"/>
    <w:rsid w:val="006069E4"/>
    <w:rsid w:val="00607DC2"/>
    <w:rsid w:val="0063623D"/>
    <w:rsid w:val="00637FEB"/>
    <w:rsid w:val="006520F3"/>
    <w:rsid w:val="006538E0"/>
    <w:rsid w:val="00656345"/>
    <w:rsid w:val="00664ED7"/>
    <w:rsid w:val="00666A66"/>
    <w:rsid w:val="006827BE"/>
    <w:rsid w:val="00685DDE"/>
    <w:rsid w:val="00687822"/>
    <w:rsid w:val="00687B86"/>
    <w:rsid w:val="006D3852"/>
    <w:rsid w:val="006D5642"/>
    <w:rsid w:val="006E5392"/>
    <w:rsid w:val="006F7BE4"/>
    <w:rsid w:val="0071537A"/>
    <w:rsid w:val="0072012B"/>
    <w:rsid w:val="0072382E"/>
    <w:rsid w:val="00724713"/>
    <w:rsid w:val="0073673A"/>
    <w:rsid w:val="00754E9B"/>
    <w:rsid w:val="007669FD"/>
    <w:rsid w:val="007843E0"/>
    <w:rsid w:val="007A1555"/>
    <w:rsid w:val="007B4084"/>
    <w:rsid w:val="007C2720"/>
    <w:rsid w:val="007E171B"/>
    <w:rsid w:val="007E38E0"/>
    <w:rsid w:val="007F38FB"/>
    <w:rsid w:val="00803976"/>
    <w:rsid w:val="00830CFF"/>
    <w:rsid w:val="008335C3"/>
    <w:rsid w:val="00837882"/>
    <w:rsid w:val="00862B46"/>
    <w:rsid w:val="008668D0"/>
    <w:rsid w:val="0087597B"/>
    <w:rsid w:val="0087716B"/>
    <w:rsid w:val="00890470"/>
    <w:rsid w:val="00892B63"/>
    <w:rsid w:val="008A51EC"/>
    <w:rsid w:val="008B0502"/>
    <w:rsid w:val="008B443E"/>
    <w:rsid w:val="008C25CF"/>
    <w:rsid w:val="008D6BA9"/>
    <w:rsid w:val="00904D29"/>
    <w:rsid w:val="00922A26"/>
    <w:rsid w:val="00934BFB"/>
    <w:rsid w:val="00940427"/>
    <w:rsid w:val="00940824"/>
    <w:rsid w:val="009461EF"/>
    <w:rsid w:val="00951515"/>
    <w:rsid w:val="00956E55"/>
    <w:rsid w:val="00967487"/>
    <w:rsid w:val="00967700"/>
    <w:rsid w:val="009864C4"/>
    <w:rsid w:val="00995DF9"/>
    <w:rsid w:val="009A147A"/>
    <w:rsid w:val="009A5C4F"/>
    <w:rsid w:val="009B5914"/>
    <w:rsid w:val="009C554C"/>
    <w:rsid w:val="009C5D77"/>
    <w:rsid w:val="009D2F1A"/>
    <w:rsid w:val="009E32F6"/>
    <w:rsid w:val="009E61D7"/>
    <w:rsid w:val="009F492E"/>
    <w:rsid w:val="00A0426F"/>
    <w:rsid w:val="00A30AC6"/>
    <w:rsid w:val="00A314A6"/>
    <w:rsid w:val="00A31F8D"/>
    <w:rsid w:val="00A47830"/>
    <w:rsid w:val="00A613D8"/>
    <w:rsid w:val="00A627B8"/>
    <w:rsid w:val="00A64EF1"/>
    <w:rsid w:val="00A73D4A"/>
    <w:rsid w:val="00A969C8"/>
    <w:rsid w:val="00AA23E4"/>
    <w:rsid w:val="00AA25F1"/>
    <w:rsid w:val="00AA2DD1"/>
    <w:rsid w:val="00AA646A"/>
    <w:rsid w:val="00AA7F34"/>
    <w:rsid w:val="00AB7B6D"/>
    <w:rsid w:val="00AC11CD"/>
    <w:rsid w:val="00AD13A2"/>
    <w:rsid w:val="00AD38F7"/>
    <w:rsid w:val="00AF340F"/>
    <w:rsid w:val="00B10E65"/>
    <w:rsid w:val="00B332C7"/>
    <w:rsid w:val="00B45E2C"/>
    <w:rsid w:val="00B646A2"/>
    <w:rsid w:val="00B66971"/>
    <w:rsid w:val="00B73FDA"/>
    <w:rsid w:val="00B8443B"/>
    <w:rsid w:val="00B86453"/>
    <w:rsid w:val="00B94A62"/>
    <w:rsid w:val="00BB1D2A"/>
    <w:rsid w:val="00BC5EF5"/>
    <w:rsid w:val="00BC6C9D"/>
    <w:rsid w:val="00BD2F64"/>
    <w:rsid w:val="00BD50C7"/>
    <w:rsid w:val="00BD5995"/>
    <w:rsid w:val="00BD6908"/>
    <w:rsid w:val="00BF00E7"/>
    <w:rsid w:val="00BF3A21"/>
    <w:rsid w:val="00BF786B"/>
    <w:rsid w:val="00C236D5"/>
    <w:rsid w:val="00C238A0"/>
    <w:rsid w:val="00C42657"/>
    <w:rsid w:val="00C61226"/>
    <w:rsid w:val="00CB265F"/>
    <w:rsid w:val="00CB6AE9"/>
    <w:rsid w:val="00CC4252"/>
    <w:rsid w:val="00CC54AE"/>
    <w:rsid w:val="00CE077C"/>
    <w:rsid w:val="00CF6969"/>
    <w:rsid w:val="00CF7A2C"/>
    <w:rsid w:val="00D1323D"/>
    <w:rsid w:val="00D20FC2"/>
    <w:rsid w:val="00D27609"/>
    <w:rsid w:val="00D35102"/>
    <w:rsid w:val="00D40587"/>
    <w:rsid w:val="00D41938"/>
    <w:rsid w:val="00D52F0B"/>
    <w:rsid w:val="00D861EF"/>
    <w:rsid w:val="00D872C6"/>
    <w:rsid w:val="00D91E8B"/>
    <w:rsid w:val="00DB3111"/>
    <w:rsid w:val="00DE4D49"/>
    <w:rsid w:val="00E229B3"/>
    <w:rsid w:val="00E26684"/>
    <w:rsid w:val="00E340A2"/>
    <w:rsid w:val="00E41B31"/>
    <w:rsid w:val="00E50D5D"/>
    <w:rsid w:val="00E67C46"/>
    <w:rsid w:val="00E70656"/>
    <w:rsid w:val="00E9279E"/>
    <w:rsid w:val="00EA2E5F"/>
    <w:rsid w:val="00EB4810"/>
    <w:rsid w:val="00ED6548"/>
    <w:rsid w:val="00ED7C4B"/>
    <w:rsid w:val="00EE5929"/>
    <w:rsid w:val="00F14FDF"/>
    <w:rsid w:val="00F35042"/>
    <w:rsid w:val="00F36345"/>
    <w:rsid w:val="00F40F1B"/>
    <w:rsid w:val="00F51D9A"/>
    <w:rsid w:val="00F55DB3"/>
    <w:rsid w:val="00F576A0"/>
    <w:rsid w:val="00F81476"/>
    <w:rsid w:val="00FA5F37"/>
    <w:rsid w:val="00FA6302"/>
    <w:rsid w:val="00FB4CAF"/>
    <w:rsid w:val="00FC386D"/>
    <w:rsid w:val="00FE3B93"/>
    <w:rsid w:val="00FF14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524D9"/>
  <w14:defaultImageDpi w14:val="0"/>
  <w15:docId w15:val="{B116105B-41C0-4F6E-BFE5-7BEB7FF0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9A"/>
    <w:pPr>
      <w:spacing w:after="0" w:line="240" w:lineRule="auto"/>
    </w:pPr>
    <w:rPr>
      <w:rFonts w:ascii="Times New Roman" w:hAnsi="Times New Roman" w:cs="Times New Roman"/>
      <w:sz w:val="24"/>
      <w:szCs w:val="24"/>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1D9A"/>
    <w:rPr>
      <w:rFonts w:cs="Times New Roman"/>
      <w:color w:val="0000FF"/>
      <w:u w:val="single"/>
    </w:rPr>
  </w:style>
  <w:style w:type="paragraph" w:customStyle="1" w:styleId="Default">
    <w:name w:val="Default"/>
    <w:rsid w:val="00F51D9A"/>
    <w:pPr>
      <w:autoSpaceDE w:val="0"/>
      <w:autoSpaceDN w:val="0"/>
      <w:adjustRightInd w:val="0"/>
      <w:spacing w:after="0" w:line="240" w:lineRule="auto"/>
    </w:pPr>
    <w:rPr>
      <w:rFonts w:ascii="EUAlbertina" w:hAnsi="EUAlbertina" w:cs="EUAlbertina"/>
      <w:color w:val="000000"/>
      <w:sz w:val="24"/>
      <w:szCs w:val="24"/>
      <w:lang w:val="en-US"/>
    </w:rPr>
  </w:style>
  <w:style w:type="paragraph" w:customStyle="1" w:styleId="CM4">
    <w:name w:val="CM4"/>
    <w:basedOn w:val="Default"/>
    <w:next w:val="Default"/>
    <w:uiPriority w:val="99"/>
    <w:rsid w:val="00F51D9A"/>
    <w:rPr>
      <w:rFonts w:cs="Times New Roman"/>
      <w:color w:val="auto"/>
    </w:rPr>
  </w:style>
  <w:style w:type="paragraph" w:customStyle="1" w:styleId="NormalLeft">
    <w:name w:val="Normal Left"/>
    <w:basedOn w:val="Normal"/>
    <w:uiPriority w:val="99"/>
    <w:rsid w:val="00F51D9A"/>
    <w:pPr>
      <w:autoSpaceDE w:val="0"/>
      <w:autoSpaceDN w:val="0"/>
      <w:spacing w:before="120" w:after="120"/>
    </w:pPr>
    <w:rPr>
      <w:lang w:val="fr-FR" w:eastAsia="fr-BE"/>
    </w:rPr>
  </w:style>
  <w:style w:type="paragraph" w:customStyle="1" w:styleId="Point1">
    <w:name w:val="Point 1"/>
    <w:basedOn w:val="Normal"/>
    <w:uiPriority w:val="99"/>
    <w:rsid w:val="00F51D9A"/>
    <w:pPr>
      <w:spacing w:before="120" w:after="120"/>
      <w:ind w:left="1418" w:hanging="567"/>
      <w:jc w:val="both"/>
    </w:pPr>
    <w:rPr>
      <w:szCs w:val="20"/>
      <w:lang w:val="en-GB" w:eastAsia="fr-BE"/>
    </w:rPr>
  </w:style>
  <w:style w:type="character" w:styleId="CommentReference">
    <w:name w:val="annotation reference"/>
    <w:basedOn w:val="DefaultParagraphFont"/>
    <w:uiPriority w:val="99"/>
    <w:semiHidden/>
    <w:unhideWhenUsed/>
    <w:rsid w:val="00F51D9A"/>
    <w:rPr>
      <w:rFonts w:cs="Times New Roman"/>
      <w:sz w:val="16"/>
      <w:szCs w:val="16"/>
    </w:rPr>
  </w:style>
  <w:style w:type="paragraph" w:styleId="CommentText">
    <w:name w:val="annotation text"/>
    <w:basedOn w:val="Normal"/>
    <w:link w:val="CommentTextChar"/>
    <w:uiPriority w:val="99"/>
    <w:semiHidden/>
    <w:unhideWhenUsed/>
    <w:rsid w:val="00F51D9A"/>
    <w:rPr>
      <w:sz w:val="20"/>
      <w:szCs w:val="20"/>
    </w:rPr>
  </w:style>
  <w:style w:type="character" w:customStyle="1" w:styleId="CommentTextChar">
    <w:name w:val="Comment Text Char"/>
    <w:basedOn w:val="DefaultParagraphFont"/>
    <w:link w:val="CommentText"/>
    <w:uiPriority w:val="99"/>
    <w:semiHidden/>
    <w:locked/>
    <w:rsid w:val="00F51D9A"/>
    <w:rPr>
      <w:rFonts w:ascii="Times New Roman" w:hAnsi="Times New Roman" w:cs="Times New Roman"/>
      <w:sz w:val="20"/>
      <w:szCs w:val="20"/>
      <w:lang w:val="x-none" w:eastAsia="et-EE"/>
    </w:rPr>
  </w:style>
  <w:style w:type="character" w:customStyle="1" w:styleId="apple-converted-space">
    <w:name w:val="apple-converted-space"/>
    <w:rsid w:val="00F51D9A"/>
  </w:style>
  <w:style w:type="paragraph" w:styleId="BalloonText">
    <w:name w:val="Balloon Text"/>
    <w:basedOn w:val="Normal"/>
    <w:link w:val="BalloonTextChar"/>
    <w:uiPriority w:val="99"/>
    <w:semiHidden/>
    <w:unhideWhenUsed/>
    <w:rsid w:val="00F51D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1D9A"/>
    <w:rPr>
      <w:rFonts w:ascii="Tahoma" w:hAnsi="Tahoma" w:cs="Tahoma"/>
      <w:sz w:val="16"/>
      <w:szCs w:val="16"/>
      <w:lang w:val="x-none" w:eastAsia="et-EE"/>
    </w:rPr>
  </w:style>
  <w:style w:type="paragraph" w:styleId="ListParagraph">
    <w:name w:val="List Paragraph"/>
    <w:basedOn w:val="Normal"/>
    <w:uiPriority w:val="34"/>
    <w:qFormat/>
    <w:rsid w:val="00FF147B"/>
    <w:pPr>
      <w:ind w:left="720"/>
    </w:pPr>
    <w:rPr>
      <w:rFonts w:ascii="Calibri" w:hAnsi="Calibri"/>
      <w:sz w:val="22"/>
      <w:szCs w:val="22"/>
      <w:lang w:eastAsia="en-US"/>
    </w:rPr>
  </w:style>
  <w:style w:type="paragraph" w:styleId="CommentSubject">
    <w:name w:val="annotation subject"/>
    <w:basedOn w:val="CommentText"/>
    <w:next w:val="CommentText"/>
    <w:link w:val="CommentSubjectChar"/>
    <w:uiPriority w:val="99"/>
    <w:semiHidden/>
    <w:unhideWhenUsed/>
    <w:rsid w:val="00CC54AE"/>
    <w:rPr>
      <w:b/>
      <w:bCs/>
    </w:rPr>
  </w:style>
  <w:style w:type="character" w:customStyle="1" w:styleId="CommentSubjectChar">
    <w:name w:val="Comment Subject Char"/>
    <w:basedOn w:val="CommentTextChar"/>
    <w:link w:val="CommentSubject"/>
    <w:uiPriority w:val="99"/>
    <w:semiHidden/>
    <w:locked/>
    <w:rsid w:val="00CC54AE"/>
    <w:rPr>
      <w:rFonts w:ascii="Times New Roman" w:hAnsi="Times New Roman" w:cs="Times New Roman"/>
      <w:b/>
      <w:bCs/>
      <w:sz w:val="20"/>
      <w:szCs w:val="20"/>
      <w:lang w:val="x-none" w:eastAsia="et-EE"/>
    </w:rPr>
  </w:style>
  <w:style w:type="paragraph" w:styleId="NormalWeb">
    <w:name w:val="Normal (Web)"/>
    <w:basedOn w:val="Normal"/>
    <w:uiPriority w:val="99"/>
    <w:unhideWhenUsed/>
    <w:rsid w:val="00265E5A"/>
  </w:style>
  <w:style w:type="character" w:styleId="Strong">
    <w:name w:val="Strong"/>
    <w:basedOn w:val="DefaultParagraphFont"/>
    <w:uiPriority w:val="22"/>
    <w:qFormat/>
    <w:rsid w:val="00265E5A"/>
    <w:rPr>
      <w:rFonts w:cs="Times New Roman"/>
      <w:b/>
      <w:bCs/>
    </w:rPr>
  </w:style>
  <w:style w:type="paragraph" w:styleId="Header">
    <w:name w:val="header"/>
    <w:basedOn w:val="Normal"/>
    <w:link w:val="HeaderChar"/>
    <w:uiPriority w:val="99"/>
    <w:unhideWhenUsed/>
    <w:rsid w:val="00500CBE"/>
    <w:pPr>
      <w:tabs>
        <w:tab w:val="center" w:pos="4680"/>
        <w:tab w:val="right" w:pos="9360"/>
      </w:tabs>
    </w:pPr>
  </w:style>
  <w:style w:type="character" w:customStyle="1" w:styleId="HeaderChar">
    <w:name w:val="Header Char"/>
    <w:basedOn w:val="DefaultParagraphFont"/>
    <w:link w:val="Header"/>
    <w:uiPriority w:val="99"/>
    <w:locked/>
    <w:rsid w:val="00500CBE"/>
    <w:rPr>
      <w:rFonts w:ascii="Times New Roman" w:hAnsi="Times New Roman" w:cs="Times New Roman"/>
      <w:sz w:val="24"/>
      <w:szCs w:val="24"/>
      <w:lang w:val="x-none" w:eastAsia="et-EE"/>
    </w:rPr>
  </w:style>
  <w:style w:type="paragraph" w:styleId="Footer">
    <w:name w:val="footer"/>
    <w:basedOn w:val="Normal"/>
    <w:link w:val="FooterChar"/>
    <w:uiPriority w:val="99"/>
    <w:unhideWhenUsed/>
    <w:rsid w:val="00500CBE"/>
    <w:pPr>
      <w:tabs>
        <w:tab w:val="center" w:pos="4680"/>
        <w:tab w:val="right" w:pos="9360"/>
      </w:tabs>
    </w:pPr>
  </w:style>
  <w:style w:type="character" w:customStyle="1" w:styleId="FooterChar">
    <w:name w:val="Footer Char"/>
    <w:basedOn w:val="DefaultParagraphFont"/>
    <w:link w:val="Footer"/>
    <w:uiPriority w:val="99"/>
    <w:locked/>
    <w:rsid w:val="00500CBE"/>
    <w:rPr>
      <w:rFonts w:ascii="Times New Roman" w:hAnsi="Times New Roman" w:cs="Times New Roman"/>
      <w:sz w:val="24"/>
      <w:szCs w:val="24"/>
      <w:lang w:val="x-none" w:eastAsia="et-EE"/>
    </w:rPr>
  </w:style>
  <w:style w:type="paragraph" w:styleId="Revision">
    <w:name w:val="Revision"/>
    <w:hidden/>
    <w:uiPriority w:val="99"/>
    <w:semiHidden/>
    <w:rsid w:val="009A147A"/>
    <w:pPr>
      <w:spacing w:after="0" w:line="240" w:lineRule="auto"/>
    </w:pPr>
    <w:rPr>
      <w:rFonts w:ascii="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173249">
      <w:marLeft w:val="0"/>
      <w:marRight w:val="0"/>
      <w:marTop w:val="0"/>
      <w:marBottom w:val="0"/>
      <w:divBdr>
        <w:top w:val="none" w:sz="0" w:space="0" w:color="auto"/>
        <w:left w:val="none" w:sz="0" w:space="0" w:color="auto"/>
        <w:bottom w:val="none" w:sz="0" w:space="0" w:color="auto"/>
        <w:right w:val="none" w:sz="0" w:space="0" w:color="auto"/>
      </w:divBdr>
    </w:div>
    <w:div w:id="1850173250">
      <w:marLeft w:val="0"/>
      <w:marRight w:val="0"/>
      <w:marTop w:val="0"/>
      <w:marBottom w:val="0"/>
      <w:divBdr>
        <w:top w:val="none" w:sz="0" w:space="0" w:color="auto"/>
        <w:left w:val="none" w:sz="0" w:space="0" w:color="auto"/>
        <w:bottom w:val="none" w:sz="0" w:space="0" w:color="auto"/>
        <w:right w:val="none" w:sz="0" w:space="0" w:color="auto"/>
      </w:divBdr>
    </w:div>
    <w:div w:id="1850173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t.martinson@mf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ina.martinson@mf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A9CD-B457-4792-90FA-29ED92F5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1066</Words>
  <Characters>8400</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Liina Martinson</cp:lastModifiedBy>
  <cp:revision>6</cp:revision>
  <dcterms:created xsi:type="dcterms:W3CDTF">2021-09-27T13:21:00Z</dcterms:created>
  <dcterms:modified xsi:type="dcterms:W3CDTF">2021-09-27T13:32:00Z</dcterms:modified>
</cp:coreProperties>
</file>