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EBA3" w14:textId="77777777" w:rsidR="00CD411B" w:rsidRPr="0036721B" w:rsidRDefault="00CD411B" w:rsidP="00CD411B">
      <w:pPr>
        <w:jc w:val="right"/>
      </w:pPr>
      <w:r w:rsidRPr="0036721B">
        <w:t>KINNITATUD</w:t>
      </w:r>
    </w:p>
    <w:p w14:paraId="48459B7D" w14:textId="77777777" w:rsidR="00CD411B" w:rsidRPr="0036721B" w:rsidRDefault="00CD411B" w:rsidP="00CD411B">
      <w:pPr>
        <w:tabs>
          <w:tab w:val="left" w:pos="6237"/>
        </w:tabs>
        <w:jc w:val="right"/>
      </w:pPr>
      <w:r w:rsidRPr="0036721B">
        <w:t xml:space="preserve">RMK </w:t>
      </w:r>
      <w:r w:rsidRPr="001120FD">
        <w:t xml:space="preserve">õigus- ja hangete </w:t>
      </w:r>
      <w:r w:rsidRPr="0036721B">
        <w:t xml:space="preserve">osakonna </w:t>
      </w:r>
    </w:p>
    <w:p w14:paraId="316AEAFE" w14:textId="6FDCA308" w:rsidR="00CD411B" w:rsidRPr="007F66BE" w:rsidRDefault="00CD411B" w:rsidP="00CD411B">
      <w:pPr>
        <w:tabs>
          <w:tab w:val="left" w:pos="6237"/>
        </w:tabs>
        <w:jc w:val="right"/>
      </w:pPr>
      <w:r w:rsidRPr="0036721B">
        <w:t xml:space="preserve">juhataja käskkirjaga nr </w:t>
      </w:r>
      <w:r w:rsidRPr="00D43950">
        <w:t xml:space="preserve"> </w:t>
      </w:r>
      <w:r w:rsidR="00B23857" w:rsidRPr="00B23857">
        <w:t>1-47.3112</w:t>
      </w:r>
      <w:r w:rsidR="00B23857">
        <w:t>/1</w:t>
      </w:r>
    </w:p>
    <w:p w14:paraId="6DC5F148" w14:textId="77777777" w:rsidR="00CD411B" w:rsidRDefault="00CD411B" w:rsidP="00CD411B">
      <w:pPr>
        <w:tabs>
          <w:tab w:val="left" w:pos="6237"/>
        </w:tabs>
      </w:pPr>
    </w:p>
    <w:p w14:paraId="5DC63D48" w14:textId="77777777" w:rsidR="00CD411B" w:rsidRDefault="00CD411B" w:rsidP="00CD411B">
      <w:pPr>
        <w:tabs>
          <w:tab w:val="left" w:pos="6237"/>
        </w:tabs>
        <w:rPr>
          <w:b/>
          <w:bCs/>
          <w:i/>
          <w:iCs/>
        </w:rPr>
      </w:pPr>
    </w:p>
    <w:p w14:paraId="5DF32496" w14:textId="48F0A881" w:rsidR="00565545" w:rsidRDefault="00CD411B" w:rsidP="00565545">
      <w:pPr>
        <w:tabs>
          <w:tab w:val="left" w:pos="6237"/>
        </w:tabs>
      </w:pPr>
      <w:r w:rsidRPr="009D233C">
        <w:rPr>
          <w:b/>
          <w:bCs/>
        </w:rPr>
        <w:t>Hanke nimetus</w:t>
      </w:r>
      <w:r>
        <w:rPr>
          <w:b/>
          <w:bCs/>
        </w:rPr>
        <w:t>:</w:t>
      </w:r>
      <w:r w:rsidRPr="00C25CE2">
        <w:t xml:space="preserve"> </w:t>
      </w:r>
      <w:r w:rsidR="00565545">
        <w:t>Liiklusmärkide ja tähiste ost.</w:t>
      </w:r>
    </w:p>
    <w:p w14:paraId="1929E32D" w14:textId="53CF8A0C" w:rsidR="00CD411B" w:rsidRPr="00C25CE2" w:rsidRDefault="00565545" w:rsidP="00565545">
      <w:pPr>
        <w:tabs>
          <w:tab w:val="left" w:pos="6237"/>
        </w:tabs>
      </w:pPr>
      <w:r w:rsidRPr="00565545">
        <w:rPr>
          <w:b/>
          <w:bCs/>
        </w:rPr>
        <w:t>Viitenumber</w:t>
      </w:r>
      <w:r>
        <w:t>: 279537</w:t>
      </w:r>
    </w:p>
    <w:p w14:paraId="62AA33B9" w14:textId="77777777" w:rsidR="00CD411B" w:rsidRPr="00A3533F" w:rsidRDefault="00CD411B" w:rsidP="00CD411B">
      <w:pPr>
        <w:tabs>
          <w:tab w:val="left" w:pos="6237"/>
        </w:tabs>
      </w:pPr>
      <w:r w:rsidRPr="009D233C">
        <w:rPr>
          <w:b/>
          <w:bCs/>
        </w:rPr>
        <w:t xml:space="preserve">Hankija: </w:t>
      </w:r>
      <w:r w:rsidRPr="00A3533F">
        <w:t>Riigimetsa Majandamise Keskus (70004459)</w:t>
      </w:r>
    </w:p>
    <w:p w14:paraId="368F30AD" w14:textId="77777777" w:rsidR="00CD411B" w:rsidRPr="009D233C" w:rsidRDefault="00CD411B" w:rsidP="00CD411B">
      <w:pPr>
        <w:tabs>
          <w:tab w:val="left" w:pos="6237"/>
        </w:tabs>
        <w:rPr>
          <w:b/>
          <w:bCs/>
        </w:rPr>
      </w:pPr>
    </w:p>
    <w:p w14:paraId="2E4B28FA" w14:textId="77777777" w:rsidR="00CD411B" w:rsidRPr="00850E97" w:rsidRDefault="00CD411B" w:rsidP="00CD411B">
      <w:pPr>
        <w:tabs>
          <w:tab w:val="left" w:pos="6237"/>
        </w:tabs>
        <w:rPr>
          <w:b/>
          <w:bCs/>
        </w:rPr>
      </w:pPr>
    </w:p>
    <w:p w14:paraId="146FC747" w14:textId="77777777" w:rsidR="00CD411B" w:rsidRPr="00850E97" w:rsidRDefault="00CD411B" w:rsidP="00CD411B">
      <w:pPr>
        <w:tabs>
          <w:tab w:val="left" w:pos="6237"/>
        </w:tabs>
        <w:rPr>
          <w:b/>
          <w:bCs/>
        </w:rPr>
      </w:pPr>
      <w:r w:rsidRPr="00850E97">
        <w:rPr>
          <w:b/>
          <w:bCs/>
        </w:rPr>
        <w:t>HANKEDOKUMENT</w:t>
      </w:r>
    </w:p>
    <w:p w14:paraId="1F3CBB13" w14:textId="77777777" w:rsidR="00CD411B" w:rsidRPr="00850E97" w:rsidRDefault="00CD411B" w:rsidP="00CD411B">
      <w:pPr>
        <w:tabs>
          <w:tab w:val="left" w:pos="6237"/>
        </w:tabs>
        <w:jc w:val="right"/>
      </w:pPr>
    </w:p>
    <w:p w14:paraId="77E177EE" w14:textId="77777777" w:rsidR="00CD411B" w:rsidRPr="00850E97" w:rsidRDefault="00CD411B" w:rsidP="00CD411B">
      <w:pPr>
        <w:pStyle w:val="Loendilik"/>
        <w:numPr>
          <w:ilvl w:val="0"/>
          <w:numId w:val="1"/>
        </w:numPr>
      </w:pPr>
      <w:r w:rsidRPr="00850E97">
        <w:rPr>
          <w:b/>
          <w:bCs/>
        </w:rPr>
        <w:t>ÜLDOSA</w:t>
      </w:r>
    </w:p>
    <w:p w14:paraId="1FC2CFDD" w14:textId="3CEAFE08" w:rsidR="00CD411B" w:rsidRPr="00D16568" w:rsidRDefault="00CD411B" w:rsidP="00CD411B">
      <w:pPr>
        <w:pStyle w:val="Loendilik"/>
        <w:numPr>
          <w:ilvl w:val="1"/>
          <w:numId w:val="1"/>
        </w:numPr>
        <w:tabs>
          <w:tab w:val="center" w:pos="426"/>
          <w:tab w:val="right" w:pos="8306"/>
        </w:tabs>
        <w:contextualSpacing w:val="0"/>
        <w:jc w:val="both"/>
      </w:pPr>
      <w:bookmarkStart w:id="0" w:name="_Hlk164417638"/>
      <w:r w:rsidRPr="00D16568">
        <w:t>Hanke nimetus:</w:t>
      </w:r>
      <w:r>
        <w:t xml:space="preserve"> </w:t>
      </w:r>
      <w:r w:rsidR="00565545" w:rsidRPr="00565545">
        <w:t>Liiklusmärkide ja tähiste ost</w:t>
      </w:r>
    </w:p>
    <w:p w14:paraId="0FAD0211" w14:textId="3A58BB1F" w:rsidR="00CD411B" w:rsidRPr="00D16568" w:rsidRDefault="00CD411B" w:rsidP="00CD411B">
      <w:pPr>
        <w:pStyle w:val="Loendilik"/>
        <w:numPr>
          <w:ilvl w:val="1"/>
          <w:numId w:val="1"/>
        </w:numPr>
        <w:tabs>
          <w:tab w:val="center" w:pos="426"/>
          <w:tab w:val="right" w:pos="8306"/>
        </w:tabs>
        <w:contextualSpacing w:val="0"/>
        <w:jc w:val="both"/>
      </w:pPr>
      <w:r w:rsidRPr="00D16568">
        <w:t xml:space="preserve">Riigihanke viitenumber: </w:t>
      </w:r>
      <w:r w:rsidR="00565545" w:rsidRPr="00565545">
        <w:t>279537</w:t>
      </w:r>
    </w:p>
    <w:bookmarkEnd w:id="0"/>
    <w:p w14:paraId="7B35032A" w14:textId="08ED1019" w:rsidR="00CD411B" w:rsidRPr="00D16568" w:rsidRDefault="00CD411B" w:rsidP="00CD411B">
      <w:pPr>
        <w:pStyle w:val="Loendilik"/>
        <w:numPr>
          <w:ilvl w:val="1"/>
          <w:numId w:val="1"/>
        </w:numPr>
        <w:tabs>
          <w:tab w:val="left" w:pos="426"/>
        </w:tabs>
        <w:contextualSpacing w:val="0"/>
        <w:jc w:val="both"/>
      </w:pPr>
      <w:r w:rsidRPr="00D16568">
        <w:t xml:space="preserve">Klassifikatsioon: </w:t>
      </w:r>
      <w:r w:rsidR="009E3FBD" w:rsidRPr="00740427">
        <w:rPr>
          <w:color w:val="000000"/>
        </w:rPr>
        <w:t>34928470-3 märgid ja sildid; 34928472-7 märgipostid</w:t>
      </w:r>
    </w:p>
    <w:p w14:paraId="3BC75CEA" w14:textId="42B2D273" w:rsidR="00CD411B" w:rsidRDefault="00CD411B" w:rsidP="00CD411B">
      <w:pPr>
        <w:pStyle w:val="Loendilik"/>
        <w:numPr>
          <w:ilvl w:val="1"/>
          <w:numId w:val="1"/>
        </w:numPr>
        <w:tabs>
          <w:tab w:val="left" w:pos="426"/>
        </w:tabs>
        <w:contextualSpacing w:val="0"/>
        <w:jc w:val="both"/>
      </w:pPr>
      <w:r w:rsidRPr="00D16568">
        <w:t xml:space="preserve">Hankemenetluse liik: </w:t>
      </w:r>
      <w:r>
        <w:t>lihthange</w:t>
      </w:r>
    </w:p>
    <w:p w14:paraId="6A44642F" w14:textId="77777777" w:rsidR="00CD411B" w:rsidRDefault="00CD411B" w:rsidP="00CD411B">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5CC43D7C" w14:textId="77777777" w:rsidR="00CD411B" w:rsidRPr="00122189" w:rsidRDefault="00CD411B" w:rsidP="00CD411B">
      <w:pPr>
        <w:pStyle w:val="Loendilik"/>
        <w:numPr>
          <w:ilvl w:val="1"/>
          <w:numId w:val="1"/>
        </w:numPr>
        <w:tabs>
          <w:tab w:val="left" w:pos="426"/>
        </w:tabs>
        <w:jc w:val="both"/>
      </w:pPr>
      <w:r w:rsidRPr="00122189">
        <w:t>Hange viiakse läbi elektroonilise hankena e-riigihangete keskkonnas (edaspidi</w:t>
      </w:r>
      <w:r>
        <w:t xml:space="preserve"> </w:t>
      </w:r>
      <w:proofErr w:type="spellStart"/>
      <w:r>
        <w:t>eRHR</w:t>
      </w:r>
      <w:proofErr w:type="spellEnd"/>
      <w:r w:rsidRPr="00122189">
        <w:t xml:space="preserve">) aadressil https://riigihanked.riik.ee, kus hankija tagab piiramatu ja täieliku elektroonilise juurdepääsu riigihanke alusdokumentidele. </w:t>
      </w:r>
    </w:p>
    <w:p w14:paraId="6F7792CA" w14:textId="6AB3E1AA" w:rsidR="00CD411B" w:rsidRPr="00122189" w:rsidRDefault="00CD411B" w:rsidP="00CD411B">
      <w:pPr>
        <w:pStyle w:val="Loendilik"/>
        <w:numPr>
          <w:ilvl w:val="1"/>
          <w:numId w:val="1"/>
        </w:numPr>
        <w:tabs>
          <w:tab w:val="left" w:pos="426"/>
        </w:tabs>
        <w:jc w:val="both"/>
      </w:pPr>
      <w:r w:rsidRPr="00122189">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w:t>
      </w:r>
      <w:r w:rsidR="009E3FBD" w:rsidRPr="009E3FBD">
        <w:t>kahte tööpäeva</w:t>
      </w:r>
      <w:r w:rsidRPr="00122189">
        <w:t>, siis ei ole hankija kohustatud selgitustaotlusele vastama</w:t>
      </w:r>
      <w:r>
        <w:t xml:space="preserve">. </w:t>
      </w:r>
      <w:r w:rsidRPr="00122189">
        <w:t xml:space="preserve"> </w:t>
      </w:r>
    </w:p>
    <w:p w14:paraId="594739EE" w14:textId="77777777" w:rsidR="00CD411B" w:rsidRPr="00122189" w:rsidRDefault="00CD411B" w:rsidP="00CD411B">
      <w:pPr>
        <w:pStyle w:val="Loendilik"/>
        <w:numPr>
          <w:ilvl w:val="1"/>
          <w:numId w:val="1"/>
        </w:numPr>
        <w:tabs>
          <w:tab w:val="left" w:pos="426"/>
        </w:tabs>
        <w:jc w:val="both"/>
      </w:pPr>
      <w:r w:rsidRPr="00122189">
        <w:t>Hankija ei vastuta võimalike viivituste, tõrgete või katkestuste eest, mida põhjustavad re</w:t>
      </w:r>
      <w:r>
        <w:t>gistris</w:t>
      </w:r>
      <w:r w:rsidRPr="00122189">
        <w:t xml:space="preserve">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1C8644B1" w14:textId="77777777" w:rsidR="00CD411B" w:rsidRDefault="00CD411B" w:rsidP="00CD411B">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605FCFC" w14:textId="77777777" w:rsidR="00CD411B" w:rsidRDefault="00CD411B" w:rsidP="00CD411B">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1E351E5F" w14:textId="77777777" w:rsidR="009806FD" w:rsidRDefault="00CD411B" w:rsidP="009806FD">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6B835582" w14:textId="673FE141" w:rsidR="00D35C76" w:rsidRDefault="00D35C76" w:rsidP="009806FD">
      <w:pPr>
        <w:pStyle w:val="Loendilik"/>
        <w:numPr>
          <w:ilvl w:val="1"/>
          <w:numId w:val="1"/>
        </w:numPr>
      </w:pPr>
      <w:r w:rsidRPr="00D35C76">
        <w:t xml:space="preserve">Hankija ei ole käesolevat hanget jaganud osadeks, kuna hanke esemeks olevate toodete tarnimine </w:t>
      </w:r>
      <w:r>
        <w:t xml:space="preserve"> ja ladustamine </w:t>
      </w:r>
      <w:r w:rsidRPr="00D35C76">
        <w:t>moodustab ühtse terviku, mida hankijal on otstarbekas hallata ühise tervikuna ning mille jagamine osadeks ei ole tehniliselt mõistlik ega majanduslikult põhjendatud. Ühe teenusepakkuja kaasamisel on samuti tagatud</w:t>
      </w:r>
      <w:r w:rsidR="0075312B">
        <w:t xml:space="preserve"> toodete</w:t>
      </w:r>
      <w:r w:rsidRPr="00D35C76">
        <w:t xml:space="preserve"> ühetaolisus nii kujunduslikus kui kvalitatiivses mõttes</w:t>
      </w:r>
      <w:r w:rsidR="0075312B">
        <w:t>.</w:t>
      </w:r>
    </w:p>
    <w:p w14:paraId="32CFDF56" w14:textId="77777777" w:rsidR="000A5C66" w:rsidRDefault="000A5C66">
      <w:pPr>
        <w:suppressAutoHyphens w:val="0"/>
        <w:spacing w:after="160" w:line="259" w:lineRule="auto"/>
        <w:rPr>
          <w:b/>
          <w:bCs/>
        </w:rPr>
      </w:pPr>
      <w:r>
        <w:rPr>
          <w:b/>
          <w:bCs/>
        </w:rPr>
        <w:br w:type="page"/>
      </w:r>
    </w:p>
    <w:p w14:paraId="54BB371E" w14:textId="6DE63017" w:rsidR="00CD411B" w:rsidRPr="00850E97" w:rsidRDefault="00CD411B" w:rsidP="009806FD">
      <w:pPr>
        <w:pStyle w:val="Loendilik"/>
        <w:numPr>
          <w:ilvl w:val="0"/>
          <w:numId w:val="1"/>
        </w:numPr>
      </w:pPr>
      <w:r w:rsidRPr="00850E97">
        <w:rPr>
          <w:b/>
          <w:bCs/>
        </w:rPr>
        <w:lastRenderedPageBreak/>
        <w:t>PAKKUMUSE ESITAMISE ETTEPANEK</w:t>
      </w:r>
    </w:p>
    <w:p w14:paraId="0DEE524D" w14:textId="6514819E" w:rsidR="00850E97" w:rsidRDefault="00CD411B" w:rsidP="00C60C12">
      <w:pPr>
        <w:pStyle w:val="Loendilik"/>
        <w:numPr>
          <w:ilvl w:val="1"/>
          <w:numId w:val="1"/>
        </w:numPr>
      </w:pPr>
      <w:r>
        <w:t>Hankija teeb ettepaneku osaleda riigihankes „</w:t>
      </w:r>
      <w:r w:rsidR="00C60C12">
        <w:t>Liiklusmärkide ja tähiste ost, viitenumber: 279537</w:t>
      </w:r>
      <w:r>
        <w:t>“ ning esitada pakkumus vastavalt hanketeates (edaspidi HT) ja hanke alusdokumentides (edaspidi HD) sisalduvatele tingimustele.</w:t>
      </w:r>
    </w:p>
    <w:p w14:paraId="427DDE33" w14:textId="77777777" w:rsidR="00B52CDE" w:rsidRPr="00B52CDE" w:rsidRDefault="00CD411B" w:rsidP="00B52CDE">
      <w:pPr>
        <w:pStyle w:val="Loendilik"/>
        <w:numPr>
          <w:ilvl w:val="0"/>
          <w:numId w:val="1"/>
        </w:numPr>
      </w:pPr>
      <w:r w:rsidRPr="00850E97">
        <w:rPr>
          <w:b/>
          <w:bCs/>
        </w:rPr>
        <w:t>HANKELEPINGU ESE, TINGIMUSED JA TÄHTAEG</w:t>
      </w:r>
    </w:p>
    <w:p w14:paraId="0C1B5313" w14:textId="4C24F705" w:rsidR="00B52CDE" w:rsidRDefault="00CD411B" w:rsidP="00B52CDE">
      <w:pPr>
        <w:pStyle w:val="Loendilik"/>
        <w:numPr>
          <w:ilvl w:val="1"/>
          <w:numId w:val="1"/>
        </w:numPr>
      </w:pPr>
      <w:r w:rsidRPr="00037581">
        <w:t xml:space="preserve"> Hanke esemeks</w:t>
      </w:r>
      <w:r>
        <w:t xml:space="preserve"> on</w:t>
      </w:r>
      <w:r w:rsidR="00437970" w:rsidRPr="00437970">
        <w:t xml:space="preserve"> teisaldatavaid ajutisi liiklusmärke ja kaitstavate loodusobjektide tähistamiseks mõeldud tähiseid ja tähiste paigaldamiseks vajalikke lisatarviku</w:t>
      </w:r>
      <w:r w:rsidR="00AB34C8">
        <w:t>te</w:t>
      </w:r>
      <w:r w:rsidR="00437970" w:rsidRPr="00437970">
        <w:t xml:space="preserve"> (jalus, post, </w:t>
      </w:r>
      <w:r w:rsidR="00437970" w:rsidRPr="00B2420E">
        <w:t>kinnitusklambrid, fiksaatorid)</w:t>
      </w:r>
      <w:r w:rsidR="00AB34C8" w:rsidRPr="00B2420E">
        <w:t xml:space="preserve"> ost. </w:t>
      </w:r>
      <w:r w:rsidRPr="00B2420E">
        <w:t xml:space="preserve">Hankija sõlmib edukaks tunnistatud pakkumuse esitanud pakkujaga hankelepingu, mille tingimused on esitatud hanke alusdokumentide osana </w:t>
      </w:r>
      <w:proofErr w:type="spellStart"/>
      <w:r w:rsidRPr="00B2420E">
        <w:t>eRHR-is</w:t>
      </w:r>
      <w:proofErr w:type="spellEnd"/>
      <w:r w:rsidRPr="00B2420E">
        <w:t xml:space="preserve">, Lisa </w:t>
      </w:r>
      <w:r w:rsidR="00752E1C">
        <w:t>2</w:t>
      </w:r>
      <w:r w:rsidR="00B2420E" w:rsidRPr="00B2420E">
        <w:t xml:space="preserve"> </w:t>
      </w:r>
      <w:r w:rsidR="009E3FBD" w:rsidRPr="00B2420E">
        <w:t xml:space="preserve">Hankelepingu </w:t>
      </w:r>
      <w:r w:rsidRPr="00B2420E">
        <w:t>projekt</w:t>
      </w:r>
    </w:p>
    <w:p w14:paraId="4A31E628" w14:textId="77777777" w:rsidR="00B52CDE" w:rsidRDefault="009E3FBD" w:rsidP="00B52CDE">
      <w:pPr>
        <w:pStyle w:val="Loendilik"/>
        <w:numPr>
          <w:ilvl w:val="1"/>
          <w:numId w:val="1"/>
        </w:numPr>
      </w:pPr>
      <w:r>
        <w:t>Lepingulised t</w:t>
      </w:r>
      <w:r w:rsidR="00CD411B">
        <w:t>ähtajad:</w:t>
      </w:r>
    </w:p>
    <w:p w14:paraId="283DD47B" w14:textId="391F64D6" w:rsidR="00B52CDE" w:rsidRDefault="009E3FBD" w:rsidP="00B52CDE">
      <w:pPr>
        <w:pStyle w:val="Loendilik"/>
        <w:numPr>
          <w:ilvl w:val="2"/>
          <w:numId w:val="1"/>
        </w:numPr>
      </w:pPr>
      <w:r w:rsidRPr="009E3FBD">
        <w:t>Leping kehtib kuni 3</w:t>
      </w:r>
      <w:r w:rsidR="00AB34C8">
        <w:t>0</w:t>
      </w:r>
      <w:r w:rsidRPr="009E3FBD">
        <w:t>.november 2024 aasta.</w:t>
      </w:r>
    </w:p>
    <w:p w14:paraId="19FC4702" w14:textId="77777777" w:rsidR="00B52CDE" w:rsidRDefault="009E3FBD" w:rsidP="00B52CDE">
      <w:pPr>
        <w:pStyle w:val="Loendilik"/>
        <w:numPr>
          <w:ilvl w:val="2"/>
          <w:numId w:val="1"/>
        </w:numPr>
      </w:pPr>
      <w:r w:rsidRPr="009E3FBD">
        <w:t xml:space="preserve">Tellimuse täitmise tähtaeg, see tähendab ostetav kaup peab olema müüja laos hiljemalt </w:t>
      </w:r>
      <w:r w:rsidRPr="00B52CDE">
        <w:rPr>
          <w:b/>
        </w:rPr>
        <w:t>6 (kuus) nädalat lepingu sõlmimisest</w:t>
      </w:r>
      <w:r w:rsidRPr="009E3FBD">
        <w:t>:</w:t>
      </w:r>
    </w:p>
    <w:p w14:paraId="7FED8999" w14:textId="77777777" w:rsidR="00B52CDE" w:rsidRPr="00B52CDE" w:rsidRDefault="009E3FBD" w:rsidP="00B52CDE">
      <w:pPr>
        <w:pStyle w:val="Loendilik"/>
        <w:numPr>
          <w:ilvl w:val="2"/>
          <w:numId w:val="1"/>
        </w:numPr>
      </w:pPr>
      <w:proofErr w:type="spellStart"/>
      <w:proofErr w:type="gramStart"/>
      <w:r w:rsidRPr="00B52CDE">
        <w:rPr>
          <w:lang w:val="en-US"/>
        </w:rPr>
        <w:t>Müüja</w:t>
      </w:r>
      <w:proofErr w:type="spellEnd"/>
      <w:r w:rsidRPr="00B52CDE">
        <w:rPr>
          <w:lang w:val="en-US"/>
        </w:rPr>
        <w:t xml:space="preserve">  </w:t>
      </w:r>
      <w:proofErr w:type="spellStart"/>
      <w:r w:rsidRPr="00B52CDE">
        <w:rPr>
          <w:lang w:val="en-US"/>
        </w:rPr>
        <w:t>võimaldab</w:t>
      </w:r>
      <w:proofErr w:type="spellEnd"/>
      <w:proofErr w:type="gramEnd"/>
      <w:r w:rsidRPr="00B52CDE">
        <w:rPr>
          <w:lang w:val="en-US"/>
        </w:rPr>
        <w:t xml:space="preserve"> </w:t>
      </w:r>
      <w:proofErr w:type="spellStart"/>
      <w:r w:rsidRPr="00B52CDE">
        <w:rPr>
          <w:lang w:val="en-US"/>
        </w:rPr>
        <w:t>tellitud</w:t>
      </w:r>
      <w:proofErr w:type="spellEnd"/>
      <w:r w:rsidRPr="00B52CDE">
        <w:rPr>
          <w:lang w:val="en-US"/>
        </w:rPr>
        <w:t xml:space="preserve"> </w:t>
      </w:r>
      <w:proofErr w:type="spellStart"/>
      <w:r w:rsidRPr="00B52CDE">
        <w:rPr>
          <w:lang w:val="en-US"/>
        </w:rPr>
        <w:t>toodete</w:t>
      </w:r>
      <w:proofErr w:type="spellEnd"/>
      <w:r w:rsidRPr="00B52CDE">
        <w:rPr>
          <w:lang w:val="en-US"/>
        </w:rPr>
        <w:t xml:space="preserve"> </w:t>
      </w:r>
      <w:proofErr w:type="spellStart"/>
      <w:r w:rsidRPr="00B52CDE">
        <w:rPr>
          <w:lang w:val="en-US"/>
        </w:rPr>
        <w:t>ladustamist</w:t>
      </w:r>
      <w:proofErr w:type="spellEnd"/>
      <w:r w:rsidRPr="00B52CDE">
        <w:rPr>
          <w:lang w:val="en-US"/>
        </w:rPr>
        <w:t xml:space="preserve"> </w:t>
      </w:r>
      <w:proofErr w:type="spellStart"/>
      <w:r w:rsidRPr="00B52CDE">
        <w:rPr>
          <w:lang w:val="en-US"/>
        </w:rPr>
        <w:t>oma</w:t>
      </w:r>
      <w:proofErr w:type="spellEnd"/>
      <w:r w:rsidRPr="00B52CDE">
        <w:rPr>
          <w:lang w:val="en-US"/>
        </w:rPr>
        <w:t xml:space="preserve"> </w:t>
      </w:r>
      <w:proofErr w:type="spellStart"/>
      <w:r w:rsidRPr="00B52CDE">
        <w:rPr>
          <w:lang w:val="en-US"/>
        </w:rPr>
        <w:t>laos</w:t>
      </w:r>
      <w:proofErr w:type="spellEnd"/>
      <w:r w:rsidRPr="00B52CDE">
        <w:rPr>
          <w:lang w:val="en-US"/>
        </w:rPr>
        <w:t xml:space="preserve"> </w:t>
      </w:r>
      <w:proofErr w:type="spellStart"/>
      <w:r w:rsidRPr="00B52CDE">
        <w:rPr>
          <w:lang w:val="en-US"/>
        </w:rPr>
        <w:t>kuni</w:t>
      </w:r>
      <w:proofErr w:type="spellEnd"/>
      <w:r w:rsidRPr="00B52CDE">
        <w:rPr>
          <w:lang w:val="en-US"/>
        </w:rPr>
        <w:t xml:space="preserve"> 31. </w:t>
      </w:r>
      <w:proofErr w:type="spellStart"/>
      <w:r w:rsidRPr="00B52CDE">
        <w:rPr>
          <w:lang w:val="en-US"/>
        </w:rPr>
        <w:t>oktoobrini</w:t>
      </w:r>
      <w:proofErr w:type="spellEnd"/>
      <w:r w:rsidRPr="00B52CDE">
        <w:rPr>
          <w:lang w:val="en-US"/>
        </w:rPr>
        <w:t xml:space="preserve"> 2024 </w:t>
      </w:r>
      <w:proofErr w:type="spellStart"/>
      <w:r w:rsidRPr="00B52CDE">
        <w:rPr>
          <w:lang w:val="en-US"/>
        </w:rPr>
        <w:t>aasta</w:t>
      </w:r>
      <w:proofErr w:type="spellEnd"/>
    </w:p>
    <w:p w14:paraId="4933D091" w14:textId="77777777" w:rsidR="00B52CDE" w:rsidRDefault="00CD411B" w:rsidP="00B52CDE">
      <w:pPr>
        <w:pStyle w:val="Loendilik"/>
        <w:numPr>
          <w:ilvl w:val="1"/>
          <w:numId w:val="1"/>
        </w:numPr>
      </w:pPr>
      <w:r>
        <w:t>Hankelepingu täitmisel peavad hankija ja pakkuja juhinduma Eesti Vabariigis kehtivatest õigusaktidest, mis hankelepingu eset puudutavad või sellele kohalduvad.</w:t>
      </w:r>
    </w:p>
    <w:p w14:paraId="2B68064D" w14:textId="77777777" w:rsidR="00B52CDE" w:rsidRPr="001847C9" w:rsidRDefault="00CD411B" w:rsidP="00B52CDE">
      <w:pPr>
        <w:pStyle w:val="Loendilik"/>
        <w:numPr>
          <w:ilvl w:val="0"/>
          <w:numId w:val="1"/>
        </w:numPr>
      </w:pPr>
      <w:r w:rsidRPr="001847C9">
        <w:rPr>
          <w:b/>
          <w:bCs/>
        </w:rPr>
        <w:t xml:space="preserve">ÜHISPAKKUMUSED </w:t>
      </w:r>
    </w:p>
    <w:p w14:paraId="3116032D" w14:textId="77777777" w:rsidR="00B52CDE" w:rsidRDefault="00CD411B" w:rsidP="00FF5522">
      <w:pPr>
        <w:pStyle w:val="Loendilik"/>
        <w:numPr>
          <w:ilvl w:val="1"/>
          <w:numId w:val="1"/>
        </w:numPr>
        <w:tabs>
          <w:tab w:val="center" w:pos="426"/>
          <w:tab w:val="right" w:pos="8306"/>
        </w:tabs>
        <w:contextualSpacing w:val="0"/>
        <w:jc w:val="both"/>
      </w:pPr>
      <w:r w:rsidRPr="00DC4A40">
        <w:t xml:space="preserve">Ühispakkujate ühise pakkumuse esitamisel loetakse, et hankelepingu täitmise eest vastutavad ühispakkujad solidaarselt. Ühispakkujad peavad lisama pakkumusele vabas vormis ühispakkujate avalduse ja volikirja. </w:t>
      </w:r>
    </w:p>
    <w:p w14:paraId="60FBBD5F" w14:textId="07D92967" w:rsidR="00CD411B" w:rsidRDefault="00CD411B" w:rsidP="00FF5522">
      <w:pPr>
        <w:pStyle w:val="Loendilik"/>
        <w:numPr>
          <w:ilvl w:val="1"/>
          <w:numId w:val="1"/>
        </w:numPr>
        <w:tabs>
          <w:tab w:val="center" w:pos="426"/>
          <w:tab w:val="right" w:pos="8306"/>
        </w:tabs>
        <w:contextualSpacing w:val="0"/>
        <w:jc w:val="both"/>
      </w:pPr>
      <w:r w:rsidRPr="00DC4A40">
        <w:t xml:space="preserve">Koos pakkumusega tuleb esitada iga ühispakkuja kohta ühispakkuja vastavaid kinnitusi sisaldav hankepass. </w:t>
      </w:r>
    </w:p>
    <w:p w14:paraId="71BDDBD8" w14:textId="77777777" w:rsidR="0058062F" w:rsidRPr="001847C9" w:rsidRDefault="00923667" w:rsidP="0058062F">
      <w:pPr>
        <w:pStyle w:val="Loendilik"/>
        <w:numPr>
          <w:ilvl w:val="0"/>
          <w:numId w:val="1"/>
        </w:numPr>
        <w:jc w:val="both"/>
        <w:rPr>
          <w:b/>
          <w:bCs/>
        </w:rPr>
      </w:pPr>
      <w:r w:rsidRPr="001847C9">
        <w:rPr>
          <w:b/>
          <w:bCs/>
        </w:rPr>
        <w:t>LÄBIRÄÄKIMISTE PIDAMINE</w:t>
      </w:r>
    </w:p>
    <w:p w14:paraId="2854F6E5" w14:textId="429AB665" w:rsidR="00923667" w:rsidRPr="00FF5522" w:rsidRDefault="00923667" w:rsidP="00FF5522">
      <w:pPr>
        <w:pStyle w:val="Loendilik"/>
        <w:numPr>
          <w:ilvl w:val="1"/>
          <w:numId w:val="1"/>
        </w:numPr>
        <w:tabs>
          <w:tab w:val="center" w:pos="426"/>
          <w:tab w:val="right" w:pos="8306"/>
        </w:tabs>
        <w:contextualSpacing w:val="0"/>
        <w:jc w:val="both"/>
      </w:pPr>
      <w:r>
        <w:t xml:space="preserve"> Hankijal on õigus pidada hanketingimustele vastava pakkumuse esitanud </w:t>
      </w:r>
      <w:r w:rsidR="00320180">
        <w:t>p</w:t>
      </w:r>
      <w:r>
        <w:t>akkujatega</w:t>
      </w:r>
    </w:p>
    <w:p w14:paraId="5FF9AE51" w14:textId="6EF5A780" w:rsidR="0058062F" w:rsidRDefault="00320180" w:rsidP="00FF5522">
      <w:pPr>
        <w:pStyle w:val="Loendilik"/>
        <w:tabs>
          <w:tab w:val="center" w:pos="426"/>
          <w:tab w:val="right" w:pos="8306"/>
        </w:tabs>
        <w:ind w:left="0"/>
        <w:contextualSpacing w:val="0"/>
        <w:jc w:val="both"/>
      </w:pPr>
      <w:r>
        <w:t>L</w:t>
      </w:r>
      <w:r w:rsidR="00923667">
        <w:t>äbirääkimisi</w:t>
      </w:r>
      <w:r>
        <w:t xml:space="preserve">. </w:t>
      </w:r>
    </w:p>
    <w:p w14:paraId="69D1AA7B" w14:textId="1BCE2CE7" w:rsidR="00923667" w:rsidRDefault="00923667" w:rsidP="00FF5522">
      <w:pPr>
        <w:pStyle w:val="Loendilik"/>
        <w:numPr>
          <w:ilvl w:val="1"/>
          <w:numId w:val="1"/>
        </w:numPr>
        <w:tabs>
          <w:tab w:val="center" w:pos="426"/>
          <w:tab w:val="right" w:pos="8306"/>
        </w:tabs>
        <w:contextualSpacing w:val="0"/>
        <w:jc w:val="both"/>
      </w:pPr>
      <w:r>
        <w:t xml:space="preserve">Vastavalt vajadusele teatab </w:t>
      </w:r>
      <w:r w:rsidR="00320180">
        <w:t>h</w:t>
      </w:r>
      <w:r>
        <w:t xml:space="preserve">ankija </w:t>
      </w:r>
      <w:r w:rsidR="00320180">
        <w:t>p</w:t>
      </w:r>
      <w:r>
        <w:t>akkujale läbirääkimiste aja ja läbiviimise korra.</w:t>
      </w:r>
    </w:p>
    <w:p w14:paraId="2B8626EC" w14:textId="77777777" w:rsidR="00923667" w:rsidRDefault="00923667" w:rsidP="00FF5522">
      <w:pPr>
        <w:pStyle w:val="Loendilik"/>
        <w:numPr>
          <w:ilvl w:val="1"/>
          <w:numId w:val="1"/>
        </w:numPr>
        <w:tabs>
          <w:tab w:val="center" w:pos="426"/>
          <w:tab w:val="right" w:pos="8306"/>
        </w:tabs>
        <w:contextualSpacing w:val="0"/>
        <w:jc w:val="both"/>
      </w:pPr>
      <w:r>
        <w:t>Läbirääkimised toimuvad pärast pakkumuste esitamist ja võivad olla nii suulised kui kirjalikud.</w:t>
      </w:r>
    </w:p>
    <w:p w14:paraId="257FFF61" w14:textId="77777777" w:rsidR="00B52CDE" w:rsidRDefault="00923667" w:rsidP="00FF5522">
      <w:pPr>
        <w:pStyle w:val="Loendilik"/>
        <w:numPr>
          <w:ilvl w:val="1"/>
          <w:numId w:val="1"/>
        </w:numPr>
        <w:tabs>
          <w:tab w:val="center" w:pos="426"/>
          <w:tab w:val="right" w:pos="8306"/>
        </w:tabs>
        <w:contextualSpacing w:val="0"/>
        <w:jc w:val="both"/>
      </w:pPr>
      <w:r>
        <w:t>Suuliselt peetud läbirääkimised protokollitakse.</w:t>
      </w:r>
    </w:p>
    <w:p w14:paraId="7C9408D0" w14:textId="54653EC5" w:rsidR="0058062F" w:rsidRDefault="00923667" w:rsidP="00FF5522">
      <w:pPr>
        <w:pStyle w:val="Loendilik"/>
        <w:numPr>
          <w:ilvl w:val="1"/>
          <w:numId w:val="1"/>
        </w:numPr>
        <w:tabs>
          <w:tab w:val="center" w:pos="426"/>
          <w:tab w:val="right" w:pos="8306"/>
        </w:tabs>
        <w:contextualSpacing w:val="0"/>
        <w:jc w:val="both"/>
      </w:pPr>
      <w:r>
        <w:t xml:space="preserve">Läbirääkimised on konfidentsiaalsed. Hankija ei avalda läbirääkimiste käigus saadud pakkumusi puudutavat teavet diskrimineerival viisil, mis võiks anda ühele </w:t>
      </w:r>
      <w:r w:rsidR="00355E24">
        <w:t>p</w:t>
      </w:r>
      <w:r>
        <w:t>akkujale eelise teiste ees.</w:t>
      </w:r>
    </w:p>
    <w:p w14:paraId="3E70DD11" w14:textId="07CD307A" w:rsidR="00923667" w:rsidRDefault="00923667" w:rsidP="00FF5522">
      <w:pPr>
        <w:pStyle w:val="Loendilik"/>
        <w:numPr>
          <w:ilvl w:val="1"/>
          <w:numId w:val="1"/>
        </w:numPr>
        <w:tabs>
          <w:tab w:val="center" w:pos="426"/>
          <w:tab w:val="right" w:pos="8306"/>
        </w:tabs>
        <w:contextualSpacing w:val="0"/>
        <w:jc w:val="both"/>
      </w:pPr>
      <w:r>
        <w:t>Hankija tagab läbirääkimiste ajal kõigi Pakkujate võrdse kohtlemise.</w:t>
      </w:r>
    </w:p>
    <w:p w14:paraId="0ADDA8F3" w14:textId="674C4859" w:rsidR="00923667" w:rsidRDefault="00923667" w:rsidP="00FF5522">
      <w:pPr>
        <w:pStyle w:val="Loendilik"/>
        <w:numPr>
          <w:ilvl w:val="1"/>
          <w:numId w:val="1"/>
        </w:numPr>
        <w:tabs>
          <w:tab w:val="center" w:pos="426"/>
          <w:tab w:val="right" w:pos="8306"/>
        </w:tabs>
        <w:contextualSpacing w:val="0"/>
        <w:jc w:val="both"/>
      </w:pPr>
      <w: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74A72899" w14:textId="61A8B002" w:rsidR="00923667" w:rsidRDefault="00923667" w:rsidP="00FF5522">
      <w:pPr>
        <w:pStyle w:val="Loendilik"/>
        <w:numPr>
          <w:ilvl w:val="1"/>
          <w:numId w:val="1"/>
        </w:numPr>
        <w:tabs>
          <w:tab w:val="center" w:pos="426"/>
          <w:tab w:val="right" w:pos="8306"/>
        </w:tabs>
        <w:contextualSpacing w:val="0"/>
        <w:jc w:val="both"/>
      </w:pPr>
      <w:r>
        <w:t>Pärast läbirääkimiste toimumist esitab Pakkuja vajadusel uue kohandatud pakkumuse, mis</w:t>
      </w:r>
    </w:p>
    <w:p w14:paraId="60293B4A" w14:textId="77777777" w:rsidR="00AF3454" w:rsidRDefault="00923667" w:rsidP="00AF3454">
      <w:pPr>
        <w:pStyle w:val="Loendilik"/>
        <w:tabs>
          <w:tab w:val="center" w:pos="426"/>
          <w:tab w:val="right" w:pos="8306"/>
        </w:tabs>
        <w:ind w:left="0"/>
        <w:contextualSpacing w:val="0"/>
        <w:jc w:val="both"/>
      </w:pPr>
      <w:r>
        <w:t>esitatakse RHR-i kaudu läbirääkimistel kokku lepitud tähtajaks.</w:t>
      </w:r>
    </w:p>
    <w:p w14:paraId="349CD874" w14:textId="21DD248A" w:rsidR="00CD411B" w:rsidRPr="001847C9" w:rsidRDefault="00CD411B" w:rsidP="00AF3454">
      <w:pPr>
        <w:pStyle w:val="Loendilik"/>
        <w:numPr>
          <w:ilvl w:val="0"/>
          <w:numId w:val="1"/>
        </w:numPr>
        <w:jc w:val="both"/>
        <w:rPr>
          <w:b/>
          <w:bCs/>
        </w:rPr>
      </w:pPr>
      <w:r w:rsidRPr="001847C9">
        <w:rPr>
          <w:b/>
          <w:bCs/>
        </w:rPr>
        <w:t xml:space="preserve">KÕRVALDAMISE ALUSTE JA KVALIFIKATSIOONI KONTROLLIMINE </w:t>
      </w:r>
    </w:p>
    <w:p w14:paraId="0028A60C" w14:textId="02E29FD5" w:rsidR="00CD411B" w:rsidRDefault="00CD411B" w:rsidP="00AF3454">
      <w:pPr>
        <w:pStyle w:val="Loendilik"/>
        <w:numPr>
          <w:ilvl w:val="1"/>
          <w:numId w:val="1"/>
        </w:numPr>
        <w:tabs>
          <w:tab w:val="center" w:pos="426"/>
          <w:tab w:val="right" w:pos="8306"/>
        </w:tabs>
        <w:contextualSpacing w:val="0"/>
        <w:jc w:val="both"/>
      </w:pPr>
      <w:r w:rsidRPr="00DC4A40">
        <w:t xml:space="preserve">Kõrvaldamise alused, kvalifitseerimise tingimused ja tõendamiseks esitatavate dokumentide loetelu on toodud riigihanke alusdokumendis „Hankepass täiendavate selgitustega“ ja HT-s. </w:t>
      </w:r>
    </w:p>
    <w:p w14:paraId="3276CDE9" w14:textId="090CCD22" w:rsidR="00CD411B" w:rsidRPr="00DC4A40" w:rsidRDefault="00CD411B" w:rsidP="00AF3454">
      <w:pPr>
        <w:pStyle w:val="Loendilik"/>
        <w:numPr>
          <w:ilvl w:val="1"/>
          <w:numId w:val="1"/>
        </w:numPr>
        <w:tabs>
          <w:tab w:val="center" w:pos="426"/>
          <w:tab w:val="right" w:pos="8306"/>
        </w:tabs>
        <w:contextualSpacing w:val="0"/>
        <w:jc w:val="both"/>
      </w:pPr>
      <w:r w:rsidRPr="00DC4A40">
        <w:t xml:space="preserve">Hankija nõuab pakkuja ajakohastatud kinnitusi sisaldava hankepassi esitamist esialgse tõendina pakkuja suhtes kõrvaldamise aluste puudumise ja tema kvalifitseerimise tingimustele vastamise kohta. </w:t>
      </w:r>
    </w:p>
    <w:p w14:paraId="12C63C4A" w14:textId="3362E871" w:rsidR="00CD411B" w:rsidRPr="00AF3454" w:rsidRDefault="00CD411B" w:rsidP="00AF3454">
      <w:pPr>
        <w:pStyle w:val="Loendilik"/>
        <w:numPr>
          <w:ilvl w:val="1"/>
          <w:numId w:val="1"/>
        </w:numPr>
        <w:tabs>
          <w:tab w:val="center" w:pos="426"/>
          <w:tab w:val="right" w:pos="8306"/>
        </w:tabs>
        <w:contextualSpacing w:val="0"/>
        <w:jc w:val="both"/>
      </w:pPr>
      <w:r w:rsidRPr="00AF3454">
        <w:t xml:space="preserve"> Hankija kontrollib pakkumuse esitanud pakkujal kõrvaldamise aluste puudumist ning kvalifikatsiooni ja teeb sellekohased otsused vastavalt riigihangete seaduse §-le 104. </w:t>
      </w:r>
    </w:p>
    <w:p w14:paraId="5A03A02C" w14:textId="747C1190" w:rsidR="00CD411B" w:rsidRDefault="00CD411B" w:rsidP="00AF3454">
      <w:pPr>
        <w:pStyle w:val="Loendilik"/>
        <w:numPr>
          <w:ilvl w:val="1"/>
          <w:numId w:val="1"/>
        </w:numPr>
        <w:tabs>
          <w:tab w:val="center" w:pos="426"/>
          <w:tab w:val="right" w:pos="8306"/>
        </w:tabs>
        <w:contextualSpacing w:val="0"/>
        <w:jc w:val="both"/>
      </w:pPr>
      <w:r w:rsidRPr="00AF3454">
        <w:t xml:space="preserve">Pakkuja kellel esineb vähemalt üks riigihangete seaduse  95 lõike 1 punktides 1–3 ja lõike 4 punktides 2–11 nimetatud alustest, võib pakkumuses esitada tõendid selle kohta, et ta on </w:t>
      </w:r>
      <w:r w:rsidRPr="00AF3454">
        <w:lastRenderedPageBreak/>
        <w:t>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824A827" w14:textId="77777777" w:rsidR="00CD411B" w:rsidRPr="00476FC3" w:rsidRDefault="00CD411B" w:rsidP="00CD411B">
      <w:pPr>
        <w:jc w:val="both"/>
        <w:rPr>
          <w:b/>
          <w:bCs/>
        </w:rPr>
      </w:pPr>
      <w:r w:rsidRPr="00476FC3">
        <w:rPr>
          <w:b/>
          <w:bCs/>
        </w:rPr>
        <w:t xml:space="preserve">5. NÕUDED PAKKUMUSELE </w:t>
      </w:r>
    </w:p>
    <w:p w14:paraId="1153B6CA" w14:textId="77777777" w:rsidR="00CD411B" w:rsidRPr="00DC4A40" w:rsidRDefault="00CD411B" w:rsidP="00CD411B">
      <w:pPr>
        <w:jc w:val="both"/>
      </w:pPr>
      <w:r>
        <w:t>5</w:t>
      </w:r>
      <w:r w:rsidRPr="00DC4A40">
        <w:t>.1</w:t>
      </w:r>
      <w:r>
        <w:t>.</w:t>
      </w:r>
      <w:r w:rsidRPr="00DC4A40">
        <w:t xml:space="preserve"> Pakkumuse struktuur, sisunõuded ja nõutud dokumentide loetelu on toodud riigihanke alusdokumendis „Vastavustingimused“. </w:t>
      </w:r>
    </w:p>
    <w:p w14:paraId="539815F5" w14:textId="77777777" w:rsidR="00CD411B" w:rsidRPr="00DC4A40" w:rsidRDefault="00CD411B" w:rsidP="00CD411B">
      <w:pPr>
        <w:jc w:val="both"/>
      </w:pPr>
      <w:r>
        <w:t>5</w:t>
      </w:r>
      <w:r w:rsidRPr="00DC4A40">
        <w:t>.2</w:t>
      </w:r>
      <w:r>
        <w:t>.</w:t>
      </w:r>
      <w:r w:rsidRPr="00DC4A40">
        <w:t xml:space="preserve"> Tingimuslike, osaliste või alternatiivsete pakkumuste esitamine ei ole lubatud. </w:t>
      </w:r>
    </w:p>
    <w:p w14:paraId="0C8F4926" w14:textId="77777777" w:rsidR="00CD411B" w:rsidRPr="00DC4A40" w:rsidRDefault="00CD411B" w:rsidP="00CD411B">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49C1CB77" w14:textId="1542EA65" w:rsidR="00CD411B" w:rsidRDefault="00CD411B" w:rsidP="00CD411B">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5DB57169" w14:textId="30355CD2" w:rsidR="006B5087" w:rsidRDefault="00F54180" w:rsidP="00CD411B">
      <w:pPr>
        <w:jc w:val="both"/>
      </w:pPr>
      <w:r>
        <w:t xml:space="preserve">5.5. </w:t>
      </w:r>
      <w:r w:rsidRPr="00F54180">
        <w:t xml:space="preserve">Ühegi </w:t>
      </w:r>
      <w:r>
        <w:t>toote</w:t>
      </w:r>
      <w:r w:rsidRPr="00F54180">
        <w:t xml:space="preserve"> maksumust, mis on hinnapakkumuse vormil eraldi reana kirjeldatud, ei või esitada otseselt või kaudselt mõne teise sama </w:t>
      </w:r>
      <w:r>
        <w:t xml:space="preserve">toote </w:t>
      </w:r>
      <w:r w:rsidRPr="00F54180">
        <w:t>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2AA763E2" w14:textId="1CFFD6AC" w:rsidR="00CD411B" w:rsidRPr="00100D69" w:rsidRDefault="00CD411B" w:rsidP="00CD411B">
      <w:pPr>
        <w:jc w:val="both"/>
      </w:pPr>
      <w:r>
        <w:t>5</w:t>
      </w:r>
      <w:r w:rsidRPr="00DC4A40">
        <w:t>.</w:t>
      </w:r>
      <w:r w:rsidR="006811EE">
        <w:t>6</w:t>
      </w:r>
      <w:r>
        <w:t>.</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2AF8BCC" w14:textId="01E13D4C" w:rsidR="00CD411B" w:rsidRPr="00100D69" w:rsidRDefault="00CD411B" w:rsidP="00CD411B">
      <w:pPr>
        <w:jc w:val="both"/>
      </w:pPr>
      <w:r>
        <w:t>5.</w:t>
      </w:r>
      <w:r w:rsidR="006811EE">
        <w:t>7</w:t>
      </w:r>
      <w:r>
        <w:t xml:space="preserve">.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539301E0" w14:textId="4C13E990" w:rsidR="00CD411B" w:rsidRDefault="00CD411B" w:rsidP="00CD411B">
      <w:pPr>
        <w:jc w:val="both"/>
      </w:pPr>
      <w:r>
        <w:t>5.</w:t>
      </w:r>
      <w:r w:rsidR="006811EE">
        <w:t>8</w:t>
      </w:r>
      <w:r>
        <w:t xml:space="preserve">.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49BBD673" w14:textId="5B4451AC" w:rsidR="00CD411B" w:rsidRPr="00100D69" w:rsidRDefault="00CD411B" w:rsidP="00CD411B">
      <w:pPr>
        <w:jc w:val="both"/>
      </w:pPr>
      <w:r>
        <w:t>5.</w:t>
      </w:r>
      <w:r w:rsidR="006811EE">
        <w:t>9</w:t>
      </w:r>
      <w:r>
        <w:t xml:space="preserve">.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461EDF15" w14:textId="4B176277" w:rsidR="00CD411B" w:rsidRDefault="00CD411B" w:rsidP="00CD411B">
      <w:pPr>
        <w:jc w:val="both"/>
      </w:pPr>
      <w:r>
        <w:t>5.</w:t>
      </w:r>
      <w:r w:rsidR="006811EE">
        <w:t>10</w:t>
      </w:r>
      <w:r>
        <w:t xml:space="preserve">.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2960F249" w14:textId="5B047C47" w:rsidR="00CD411B" w:rsidRDefault="00CD411B" w:rsidP="00CD411B">
      <w:pPr>
        <w:jc w:val="both"/>
      </w:pPr>
      <w:r>
        <w:t>5.1</w:t>
      </w:r>
      <w:r w:rsidR="006811EE">
        <w:t>1</w:t>
      </w:r>
      <w:r>
        <w:t>. Hankija aktsepteerib esitatavate pakkumuse dokumentide osas kõiki üldlevinud dokumendi 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073BA334" w14:textId="77777777" w:rsidR="00CD411B" w:rsidRPr="000A5C66" w:rsidRDefault="00CD411B" w:rsidP="00CD411B">
      <w:pPr>
        <w:jc w:val="both"/>
        <w:rPr>
          <w:b/>
          <w:bCs/>
        </w:rPr>
      </w:pPr>
      <w:r w:rsidRPr="000A5C66">
        <w:rPr>
          <w:b/>
          <w:bCs/>
        </w:rPr>
        <w:t>6. PAKKUMUSTE ESITAMINE JA AVAMINE</w:t>
      </w:r>
    </w:p>
    <w:p w14:paraId="15F0BCB6" w14:textId="77777777" w:rsidR="00CD411B" w:rsidRDefault="00CD411B" w:rsidP="00CD411B">
      <w:pPr>
        <w:jc w:val="both"/>
      </w:pPr>
      <w:r>
        <w:t xml:space="preserve">6.1. Pakkumuste esitamise ja avamise tähtpäev on toodud HT-s ning pakkumused tuleb esitada HT-s toodud ajaks elektrooniliselt </w:t>
      </w:r>
      <w:proofErr w:type="spellStart"/>
      <w:r>
        <w:t>eRHR</w:t>
      </w:r>
      <w:proofErr w:type="spellEnd"/>
      <w:r>
        <w:t xml:space="preserve"> https://riigihanked.riik.ee </w:t>
      </w:r>
    </w:p>
    <w:p w14:paraId="4F845C25" w14:textId="77777777" w:rsidR="00CD411B" w:rsidRDefault="00CD411B" w:rsidP="00CD411B">
      <w:pPr>
        <w:jc w:val="both"/>
      </w:pPr>
      <w:r>
        <w:lastRenderedPageBreak/>
        <w:t xml:space="preserve">6.2. Pakkumuse nõuetekohase esitamise eest vastutab pakkuja. Pakkumust, mis ei laeku läbi </w:t>
      </w:r>
      <w:proofErr w:type="spellStart"/>
      <w:r>
        <w:t>eRHR</w:t>
      </w:r>
      <w:proofErr w:type="spellEnd"/>
      <w:r>
        <w:t>-i, arvesse ei võeta.</w:t>
      </w:r>
    </w:p>
    <w:p w14:paraId="23CFE2F7" w14:textId="77777777" w:rsidR="00CD411B" w:rsidRDefault="00CD411B" w:rsidP="00CD411B">
      <w:pPr>
        <w:jc w:val="both"/>
      </w:pPr>
      <w:r>
        <w:t>6.3. Pakkuja kannab kõik pakkumuse koostamise ning esitamisega seotud kulud.</w:t>
      </w:r>
    </w:p>
    <w:p w14:paraId="7942EA4E" w14:textId="77777777" w:rsidR="00CD411B" w:rsidRDefault="00CD411B" w:rsidP="00CD411B">
      <w:pPr>
        <w:jc w:val="both"/>
      </w:pPr>
      <w:r>
        <w:t>6.4. Pakkuja võib esitatud pakkumuse enne pakkumuste esitamise tähtaega iseseisvalt tagasi võtta e-riigihangete keskkonnas. Pakkuja võib esitada pakkumuse esitamise tähtaja jooksul uue pakkumuse.</w:t>
      </w:r>
    </w:p>
    <w:p w14:paraId="1723A49B" w14:textId="77777777" w:rsidR="00CD411B" w:rsidRDefault="00CD411B" w:rsidP="00CD411B">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4D6E81EF" w14:textId="77777777" w:rsidR="00CD411B" w:rsidRDefault="00CD411B" w:rsidP="00CD411B">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237B8D6F" w14:textId="77777777" w:rsidR="00CD411B" w:rsidRDefault="00CD411B" w:rsidP="00CD411B">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55EDAC78" w14:textId="77777777" w:rsidR="00CD411B" w:rsidRPr="00FE6311" w:rsidRDefault="00CD411B" w:rsidP="00CD411B">
      <w:pPr>
        <w:jc w:val="both"/>
      </w:pPr>
      <w:r w:rsidRPr="000A5C66">
        <w:rPr>
          <w:b/>
          <w:bCs/>
        </w:rPr>
        <w:t>7.PAKKUMUSTE VASTAVUSE KONTROLLIMINE JA VASTAVAKS</w:t>
      </w:r>
      <w:r w:rsidRPr="000A5C66">
        <w:t xml:space="preserve"> </w:t>
      </w:r>
      <w:r w:rsidRPr="000A5C66">
        <w:rPr>
          <w:b/>
          <w:bCs/>
        </w:rPr>
        <w:t>TUNNISTAMINE</w:t>
      </w:r>
      <w:r w:rsidRPr="00FE6311">
        <w:rPr>
          <w:b/>
          <w:bCs/>
        </w:rPr>
        <w:t xml:space="preserve"> </w:t>
      </w:r>
      <w:r>
        <w:t>7</w:t>
      </w:r>
      <w:r w:rsidRPr="00FE6311">
        <w:t>.1</w:t>
      </w:r>
      <w:r>
        <w:t>.</w:t>
      </w:r>
      <w:r w:rsidRPr="00FE6311">
        <w:t xml:space="preserve"> Hankija kontrollib pakkujate poolt esitatud pakkumuste vastavust riigihanke alusdokumentides esitatud tingimustele. </w:t>
      </w:r>
    </w:p>
    <w:p w14:paraId="19FE6CEF" w14:textId="77777777" w:rsidR="00CD411B" w:rsidRDefault="00CD411B" w:rsidP="00CD411B">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r>
        <w:t>.</w:t>
      </w:r>
    </w:p>
    <w:p w14:paraId="50A5D188" w14:textId="77777777" w:rsidR="00CD411B" w:rsidRPr="000A5C66" w:rsidRDefault="00CD411B" w:rsidP="00CD411B">
      <w:pPr>
        <w:jc w:val="both"/>
        <w:rPr>
          <w:b/>
          <w:bCs/>
        </w:rPr>
      </w:pPr>
      <w:r w:rsidRPr="000A5C66">
        <w:rPr>
          <w:b/>
          <w:bCs/>
        </w:rPr>
        <w:t xml:space="preserve">8. PAKKUMUSTE HINDAMINE JA EDUKAKS TUNNISTAMINE </w:t>
      </w:r>
    </w:p>
    <w:p w14:paraId="04643DE7" w14:textId="77777777" w:rsidR="00CD411B" w:rsidRDefault="00CD411B" w:rsidP="00CD411B">
      <w:pPr>
        <w:jc w:val="both"/>
      </w:pPr>
      <w:r>
        <w:t>8</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14A78530" w14:textId="77777777" w:rsidR="00CD411B" w:rsidRPr="00FE6311" w:rsidRDefault="00CD411B" w:rsidP="00CD411B">
      <w:pPr>
        <w:jc w:val="both"/>
      </w:pPr>
      <w: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79AD33BD" w14:textId="77777777" w:rsidR="00CD411B" w:rsidRPr="000A5C66" w:rsidRDefault="00CD411B" w:rsidP="00CD411B">
      <w:pPr>
        <w:jc w:val="both"/>
        <w:rPr>
          <w:b/>
          <w:bCs/>
        </w:rPr>
      </w:pPr>
      <w:r w:rsidRPr="000A5C66">
        <w:rPr>
          <w:b/>
          <w:bCs/>
        </w:rPr>
        <w:t xml:space="preserve">9. HANKELEPINGU SÕLMIMINE </w:t>
      </w:r>
    </w:p>
    <w:p w14:paraId="04A6C76F" w14:textId="52FC225F" w:rsidR="00CD411B" w:rsidRPr="00BD062E" w:rsidRDefault="00CD411B" w:rsidP="00CD411B">
      <w:pPr>
        <w:jc w:val="both"/>
      </w:pPr>
      <w:r>
        <w:t>9</w:t>
      </w:r>
      <w:r w:rsidRPr="00BD062E">
        <w:t>.1 Hankeleping</w:t>
      </w:r>
      <w:r>
        <w:t>)</w:t>
      </w:r>
      <w:r w:rsidRPr="00BD062E">
        <w:t xml:space="preserve"> sõlmitakse ühe (1) edukaks tunnistatud </w:t>
      </w:r>
      <w:r w:rsidRPr="00B163B6">
        <w:t xml:space="preserve">Pakkujaga Lisas </w:t>
      </w:r>
      <w:r w:rsidR="00752E1C">
        <w:t>2</w:t>
      </w:r>
      <w:r w:rsidRPr="00B163B6">
        <w:t xml:space="preserve"> sätestatud</w:t>
      </w:r>
      <w:r w:rsidRPr="00BD062E">
        <w:t xml:space="preserve"> hankelepingu</w:t>
      </w:r>
      <w:r>
        <w:t xml:space="preserve"> </w:t>
      </w:r>
      <w:r w:rsidRPr="00BD062E">
        <w:t>vormis kindlaksmääratud tingimustel.</w:t>
      </w:r>
    </w:p>
    <w:p w14:paraId="0D3DA4D9" w14:textId="77777777" w:rsidR="00CD411B" w:rsidRPr="00BD062E" w:rsidRDefault="00CD411B" w:rsidP="00CD411B">
      <w:pPr>
        <w:jc w:val="both"/>
      </w:pPr>
      <w:r>
        <w:t>9</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10E9E32A" w14:textId="77777777" w:rsidR="00CD411B" w:rsidRDefault="00CD411B" w:rsidP="00CD411B">
      <w:pPr>
        <w:jc w:val="both"/>
      </w:pPr>
      <w:r>
        <w:t>9</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 xml:space="preserve">möödumisel selle postitamisest arvates. Edukaks tunnistatud pakkumuse </w:t>
      </w:r>
      <w:r w:rsidRPr="00BD062E">
        <w:lastRenderedPageBreak/>
        <w:t>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77BC7CEC" w14:textId="77777777" w:rsidR="00CD411B" w:rsidRPr="000A5C66" w:rsidRDefault="00CD411B" w:rsidP="00CD411B">
      <w:pPr>
        <w:jc w:val="both"/>
        <w:rPr>
          <w:b/>
          <w:bCs/>
        </w:rPr>
      </w:pPr>
      <w:r w:rsidRPr="000A5C66">
        <w:rPr>
          <w:b/>
          <w:bCs/>
        </w:rPr>
        <w:t>10. KÕIKIDE PAKKUMUSTE TAGASILÜKKAMINE</w:t>
      </w:r>
    </w:p>
    <w:p w14:paraId="1511728E" w14:textId="77777777" w:rsidR="00CD411B" w:rsidRPr="003E296E" w:rsidRDefault="00CD411B" w:rsidP="00CD411B">
      <w:pPr>
        <w:jc w:val="both"/>
      </w:pPr>
      <w:r>
        <w:t xml:space="preserve">Hankijal on õigus lükata tagasi kõik pakkumused juhul kui: </w:t>
      </w:r>
    </w:p>
    <w:p w14:paraId="59647F23" w14:textId="77777777" w:rsidR="00CD411B" w:rsidRPr="003E296E" w:rsidRDefault="00CD411B" w:rsidP="00CD411B">
      <w:pPr>
        <w:jc w:val="both"/>
      </w:pPr>
      <w:r w:rsidRPr="003E296E">
        <w:t>1</w:t>
      </w:r>
      <w:r>
        <w:t>0</w:t>
      </w:r>
      <w:r w:rsidRPr="003E296E">
        <w:t>.1</w:t>
      </w:r>
      <w:r>
        <w:t>.</w:t>
      </w:r>
      <w:r w:rsidRPr="003E296E">
        <w:t xml:space="preserve"> kõigi esitatud pakkumuste maksumused ületavad hankelepingu eeldatava maksumuse; </w:t>
      </w:r>
    </w:p>
    <w:p w14:paraId="7F6E3B7A" w14:textId="77777777" w:rsidR="00CD411B" w:rsidRPr="003E296E" w:rsidRDefault="00CD411B" w:rsidP="00CD411B">
      <w:pPr>
        <w:jc w:val="both"/>
      </w:pPr>
      <w:r w:rsidRPr="003E296E">
        <w:t>1</w:t>
      </w:r>
      <w:r>
        <w:t>0</w:t>
      </w:r>
      <w:r w:rsidRPr="003E296E">
        <w:t>.2</w:t>
      </w:r>
      <w:r>
        <w:t>.</w:t>
      </w:r>
      <w:r w:rsidRPr="003E296E">
        <w:t xml:space="preserve"> kõikide vastavaks tunnistatud pakkumuste maksumused ületavad hankelepingu eeldatava maksumuse; </w:t>
      </w:r>
    </w:p>
    <w:p w14:paraId="42ECA863" w14:textId="77777777" w:rsidR="00CD411B" w:rsidRPr="003E296E" w:rsidRDefault="00CD411B" w:rsidP="00CD411B">
      <w:pPr>
        <w:jc w:val="both"/>
      </w:pPr>
      <w:r w:rsidRPr="003E296E">
        <w:t>1</w:t>
      </w:r>
      <w:r>
        <w:t>0</w:t>
      </w:r>
      <w:r w:rsidRPr="003E296E">
        <w:t>.3</w:t>
      </w:r>
      <w:r>
        <w:t>.</w:t>
      </w:r>
      <w:r w:rsidRPr="003E296E">
        <w:t xml:space="preserve"> hankemenetluse käigus muutuvad hanke väljakuulutamise eeldused, mis muudavad hanke realiseerimise võimatuk</w:t>
      </w:r>
      <w:r>
        <w:t>s</w:t>
      </w:r>
      <w:r w:rsidRPr="003E296E">
        <w:t xml:space="preserve"> </w:t>
      </w:r>
    </w:p>
    <w:p w14:paraId="0C04BB8E" w14:textId="3589151E" w:rsidR="00CD411B" w:rsidRPr="003E296E" w:rsidRDefault="00CD411B" w:rsidP="00CD411B">
      <w:pPr>
        <w:jc w:val="both"/>
      </w:pPr>
      <w:r w:rsidRPr="003E296E">
        <w:t>1</w:t>
      </w:r>
      <w:r>
        <w:t>0</w:t>
      </w:r>
      <w:r w:rsidRPr="003E296E">
        <w:t>.4</w:t>
      </w:r>
      <w:r>
        <w:t>.</w:t>
      </w:r>
      <w:r w:rsidRPr="003E296E">
        <w:t xml:space="preserve"> hankijal tekib vajadus hanke</w:t>
      </w:r>
      <w:r w:rsidR="00463AEE">
        <w:t>eset</w:t>
      </w:r>
      <w:r w:rsidRPr="003E296E">
        <w:t xml:space="preserve"> olulisel määral muuta; </w:t>
      </w:r>
    </w:p>
    <w:p w14:paraId="2C9BE50B" w14:textId="77777777" w:rsidR="00CD411B" w:rsidRPr="003E296E" w:rsidRDefault="00CD411B" w:rsidP="00CD411B">
      <w:pPr>
        <w:jc w:val="both"/>
      </w:pPr>
      <w:r w:rsidRPr="003E296E">
        <w:t>1</w:t>
      </w:r>
      <w:r>
        <w:t>0</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73AEA225" w14:textId="77777777" w:rsidR="00CD411B" w:rsidRPr="000A5C66" w:rsidRDefault="00CD411B" w:rsidP="00CD411B">
      <w:pPr>
        <w:jc w:val="both"/>
        <w:rPr>
          <w:b/>
          <w:bCs/>
        </w:rPr>
      </w:pPr>
      <w:r w:rsidRPr="000A5C66">
        <w:rPr>
          <w:b/>
          <w:bCs/>
        </w:rPr>
        <w:t xml:space="preserve">11. HANKEMENETLUSE KEHTETUKS TUNNISTAMINE </w:t>
      </w:r>
    </w:p>
    <w:p w14:paraId="0D8F6CC4" w14:textId="77777777" w:rsidR="00CD411B" w:rsidRPr="00FE6311" w:rsidRDefault="00CD411B" w:rsidP="00CD411B">
      <w:pPr>
        <w:jc w:val="both"/>
      </w:pPr>
      <w:r w:rsidRPr="00FE6311">
        <w:t>1</w:t>
      </w:r>
      <w:r>
        <w:t>1</w:t>
      </w:r>
      <w:r w:rsidRPr="00FE6311">
        <w:t>.</w:t>
      </w:r>
      <w:r>
        <w:t>1.</w:t>
      </w:r>
      <w:r w:rsidRPr="00FE6311">
        <w:t xml:space="preserve"> Hankijal on õigus põhjendatud vajadusel tunnistada igal hetkel hankemenetluse jooksul enne hankelepingu sõlmimist menetlus kehtetuks. </w:t>
      </w:r>
    </w:p>
    <w:p w14:paraId="524C507A" w14:textId="77777777" w:rsidR="00CD411B" w:rsidRDefault="00CD411B" w:rsidP="00CD411B">
      <w:pPr>
        <w:jc w:val="both"/>
      </w:pPr>
      <w:r w:rsidRPr="00FE6311">
        <w:t>1</w:t>
      </w:r>
      <w:r>
        <w:t>1</w:t>
      </w:r>
      <w:r w:rsidRPr="00FE6311">
        <w:t>.2</w:t>
      </w:r>
      <w:r>
        <w:t>.</w:t>
      </w:r>
      <w:r w:rsidRPr="00FE6311">
        <w:t xml:space="preserve"> Põhjendatud vajadus võib seisneda muuhulgas näiteks järgmistes asjaoludes: </w:t>
      </w:r>
    </w:p>
    <w:p w14:paraId="54B837C7" w14:textId="77777777" w:rsidR="00CD411B" w:rsidRPr="00FE6311" w:rsidRDefault="00CD411B" w:rsidP="00CD411B">
      <w:pPr>
        <w:jc w:val="both"/>
      </w:pPr>
      <w:r w:rsidRPr="00FE6311">
        <w:t>1</w:t>
      </w:r>
      <w:r>
        <w:t>1</w:t>
      </w:r>
      <w:r w:rsidRPr="00FE6311">
        <w:t>.2.</w:t>
      </w:r>
      <w:r>
        <w:t>1.</w:t>
      </w:r>
      <w:r w:rsidRPr="00FE6311">
        <w:t xml:space="preserve"> hanke objekti hankimise vajaduse või võimalikkuse äralangemine või hanke objekti olulise muutmise vajaduse tekkimine; </w:t>
      </w:r>
    </w:p>
    <w:p w14:paraId="3A40B6DE" w14:textId="77777777" w:rsidR="00CD411B" w:rsidRPr="00FE6311" w:rsidRDefault="00CD411B" w:rsidP="00CD411B">
      <w:pPr>
        <w:jc w:val="both"/>
      </w:pPr>
      <w:r w:rsidRPr="00FE6311">
        <w:t>1</w:t>
      </w:r>
      <w:r>
        <w:t>1</w:t>
      </w:r>
      <w:r w:rsidRPr="00FE6311">
        <w:t>.2.</w:t>
      </w:r>
      <w:r>
        <w:t>2.</w:t>
      </w:r>
      <w:r w:rsidRPr="00FE6311">
        <w:t xml:space="preserve"> esinevad asjaolud, mis muudavad hanke eesmärgi saavutamise võimatuks käesoleva riigihanke menetluse käigus; </w:t>
      </w:r>
    </w:p>
    <w:p w14:paraId="5FB439DD" w14:textId="77777777" w:rsidR="00CD411B" w:rsidRPr="00FE6311" w:rsidRDefault="00CD411B" w:rsidP="00CD411B">
      <w:pPr>
        <w:jc w:val="both"/>
      </w:pPr>
      <w:r w:rsidRPr="00FE6311">
        <w:t>1</w:t>
      </w:r>
      <w:r>
        <w:t>1</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201CBD9C" w14:textId="77777777" w:rsidR="00CD411B" w:rsidRPr="00FE6311" w:rsidRDefault="00CD411B" w:rsidP="00CD411B">
      <w:pPr>
        <w:jc w:val="both"/>
      </w:pPr>
      <w:r w:rsidRPr="00FE6311">
        <w:t>1</w:t>
      </w:r>
      <w:r>
        <w:t>1</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09A2D9D9" w14:textId="77777777" w:rsidR="00CD411B" w:rsidRDefault="00CD411B" w:rsidP="00CD411B"/>
    <w:p w14:paraId="478C1AF2" w14:textId="77777777" w:rsidR="00CD411B" w:rsidRPr="00D16568" w:rsidRDefault="00CD411B" w:rsidP="00CD411B">
      <w:r>
        <w:t>LISAD</w:t>
      </w:r>
    </w:p>
    <w:p w14:paraId="64F289D5" w14:textId="77777777" w:rsidR="00CD411B" w:rsidRDefault="00CD411B" w:rsidP="00CD411B">
      <w:pPr>
        <w:suppressAutoHyphens w:val="0"/>
        <w:jc w:val="both"/>
      </w:pPr>
      <w:r w:rsidRPr="00D16568">
        <w:t>Lisa 1 – Tehniline kirjeldus</w:t>
      </w:r>
    </w:p>
    <w:p w14:paraId="0A284C89" w14:textId="075C7642" w:rsidR="00E27B52" w:rsidRPr="00D16568" w:rsidRDefault="00E27B52" w:rsidP="00CD411B">
      <w:pPr>
        <w:suppressAutoHyphens w:val="0"/>
        <w:jc w:val="both"/>
      </w:pPr>
      <w:r>
        <w:t xml:space="preserve">Lisa 2 </w:t>
      </w:r>
      <w:r w:rsidR="0059753E">
        <w:t>– Lepingu projekt</w:t>
      </w:r>
    </w:p>
    <w:p w14:paraId="3982658A" w14:textId="50933400" w:rsidR="004A28DA" w:rsidRDefault="004A28DA" w:rsidP="00CD411B">
      <w:pPr>
        <w:pStyle w:val="Loendilik"/>
        <w:suppressAutoHyphens w:val="0"/>
        <w:ind w:left="0"/>
        <w:contextualSpacing w:val="0"/>
        <w:jc w:val="both"/>
      </w:pPr>
      <w:r>
        <w:t>Lisa 3</w:t>
      </w:r>
      <w:r w:rsidR="00B163B6">
        <w:t>- Tähiste nimekiri</w:t>
      </w:r>
    </w:p>
    <w:p w14:paraId="521C2112" w14:textId="77777777" w:rsidR="00CD411B" w:rsidRDefault="00CD411B" w:rsidP="00CD411B"/>
    <w:p w14:paraId="1EC376EC" w14:textId="77777777" w:rsidR="00E73659" w:rsidRDefault="00E73659"/>
    <w:sectPr w:rsidR="00E73659" w:rsidSect="00C319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12406"/>
    <w:multiLevelType w:val="hybridMultilevel"/>
    <w:tmpl w:val="4F5041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1"/>
  </w:num>
  <w:num w:numId="2" w16cid:durableId="176046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1B"/>
    <w:rsid w:val="000A5C66"/>
    <w:rsid w:val="001847C9"/>
    <w:rsid w:val="00320180"/>
    <w:rsid w:val="00355E24"/>
    <w:rsid w:val="00437970"/>
    <w:rsid w:val="00463AEE"/>
    <w:rsid w:val="00476FC3"/>
    <w:rsid w:val="004A28DA"/>
    <w:rsid w:val="00565545"/>
    <w:rsid w:val="0058062F"/>
    <w:rsid w:val="0059753E"/>
    <w:rsid w:val="006811EE"/>
    <w:rsid w:val="006B5087"/>
    <w:rsid w:val="006F7A8D"/>
    <w:rsid w:val="00752E1C"/>
    <w:rsid w:val="0075312B"/>
    <w:rsid w:val="00850E97"/>
    <w:rsid w:val="008743DB"/>
    <w:rsid w:val="00923667"/>
    <w:rsid w:val="009806FD"/>
    <w:rsid w:val="009E3FBD"/>
    <w:rsid w:val="00AB34C8"/>
    <w:rsid w:val="00AF3454"/>
    <w:rsid w:val="00B163B6"/>
    <w:rsid w:val="00B23857"/>
    <w:rsid w:val="00B2420E"/>
    <w:rsid w:val="00B52CDE"/>
    <w:rsid w:val="00C319C5"/>
    <w:rsid w:val="00C60C12"/>
    <w:rsid w:val="00CD411B"/>
    <w:rsid w:val="00D35C76"/>
    <w:rsid w:val="00E27B52"/>
    <w:rsid w:val="00E73659"/>
    <w:rsid w:val="00F54180"/>
    <w:rsid w:val="00FE3234"/>
    <w:rsid w:val="00FF55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C06BE"/>
  <w15:chartTrackingRefBased/>
  <w15:docId w15:val="{B0D5ACBF-8EBF-4FA3-A714-5D01356E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411B"/>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D411B"/>
    <w:pPr>
      <w:ind w:left="720"/>
      <w:contextualSpacing/>
    </w:pPr>
  </w:style>
  <w:style w:type="character" w:customStyle="1" w:styleId="LoendilikMrk">
    <w:name w:val="Loendi lõik Märk"/>
    <w:aliases w:val="Mummuga loetelu Märk,Loendi l›ik Märk"/>
    <w:link w:val="Loendilik"/>
    <w:uiPriority w:val="34"/>
    <w:locked/>
    <w:rsid w:val="00CD411B"/>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2336</Words>
  <Characters>13552</Characters>
  <Application>Microsoft Office Word</Application>
  <DocSecurity>0</DocSecurity>
  <Lines>112</Lines>
  <Paragraphs>31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30</cp:revision>
  <dcterms:created xsi:type="dcterms:W3CDTF">2024-05-06T11:34:00Z</dcterms:created>
  <dcterms:modified xsi:type="dcterms:W3CDTF">2024-05-15T05:52:00Z</dcterms:modified>
</cp:coreProperties>
</file>