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26DD" w14:textId="77777777" w:rsidR="00593A09" w:rsidRPr="006D2B05" w:rsidRDefault="00593A09">
      <w:pPr>
        <w:rPr>
          <w:rFonts w:asciiTheme="minorBidi" w:hAnsiTheme="minorBidi"/>
        </w:rPr>
      </w:pPr>
    </w:p>
    <w:p w14:paraId="7BF0639B" w14:textId="77777777" w:rsidR="00FD7119" w:rsidRDefault="00FD7119" w:rsidP="00FD7119">
      <w:pPr>
        <w:spacing w:after="0" w:line="240" w:lineRule="auto"/>
        <w:jc w:val="both"/>
        <w:rPr>
          <w:rFonts w:asciiTheme="minorBidi" w:hAnsiTheme="minorBidi"/>
          <w:b/>
          <w:bCs/>
        </w:rPr>
      </w:pPr>
      <w:r w:rsidRPr="00FD7119">
        <w:rPr>
          <w:rFonts w:asciiTheme="minorBidi" w:hAnsiTheme="minorBidi"/>
          <w:b/>
          <w:bCs/>
        </w:rPr>
        <w:t xml:space="preserve">Alkoholi-, tubaka-, kütuse- ja elektriaktsiisi seaduse ning </w:t>
      </w:r>
    </w:p>
    <w:p w14:paraId="4DB23D23" w14:textId="022C6376" w:rsidR="00263EA8" w:rsidRPr="006D2B05" w:rsidRDefault="00FD7119" w:rsidP="00FD7119">
      <w:pPr>
        <w:spacing w:after="0" w:line="240" w:lineRule="auto"/>
        <w:jc w:val="both"/>
        <w:rPr>
          <w:rFonts w:asciiTheme="minorBidi" w:hAnsiTheme="minorBidi"/>
        </w:rPr>
      </w:pPr>
      <w:r w:rsidRPr="00FD7119">
        <w:rPr>
          <w:rFonts w:asciiTheme="minorBidi" w:hAnsiTheme="minorBidi"/>
          <w:b/>
          <w:bCs/>
        </w:rPr>
        <w:t>teiste seaduste muutmise seaduse eelnõu</w:t>
      </w:r>
    </w:p>
    <w:p w14:paraId="7BD76CFD" w14:textId="77777777" w:rsidR="00FD7119" w:rsidRDefault="00FD7119" w:rsidP="006D2B05">
      <w:pPr>
        <w:rPr>
          <w:rFonts w:asciiTheme="minorBidi" w:hAnsiTheme="minorBidi"/>
        </w:rPr>
      </w:pPr>
    </w:p>
    <w:p w14:paraId="5EE1EFFB" w14:textId="77777777" w:rsidR="00FD7119" w:rsidRDefault="00FD7119" w:rsidP="006D2B05">
      <w:pPr>
        <w:rPr>
          <w:rFonts w:asciiTheme="minorBidi" w:hAnsiTheme="minorBidi"/>
        </w:rPr>
      </w:pPr>
    </w:p>
    <w:p w14:paraId="22FD54F3" w14:textId="7A047C2F" w:rsidR="00243782" w:rsidRPr="006D2B05" w:rsidRDefault="006D2B05" w:rsidP="006D2B05">
      <w:pPr>
        <w:rPr>
          <w:rFonts w:asciiTheme="minorBidi" w:hAnsiTheme="minorBidi"/>
        </w:rPr>
      </w:pPr>
      <w:r w:rsidRPr="006D2B05">
        <w:rPr>
          <w:rFonts w:asciiTheme="minorBidi" w:hAnsiTheme="minorBidi"/>
        </w:rPr>
        <w:t xml:space="preserve">Lugupeetud </w:t>
      </w:r>
      <w:r w:rsidR="00FD7119">
        <w:rPr>
          <w:rFonts w:asciiTheme="minorBidi" w:hAnsiTheme="minorBidi"/>
        </w:rPr>
        <w:t>rahandusminister</w:t>
      </w:r>
      <w:r w:rsidR="00237BEB">
        <w:rPr>
          <w:rFonts w:asciiTheme="minorBidi" w:hAnsiTheme="minorBidi"/>
        </w:rPr>
        <w:t xml:space="preserve"> Jürgen Ligi</w:t>
      </w:r>
      <w:r w:rsidRPr="006D2B05">
        <w:rPr>
          <w:rFonts w:asciiTheme="minorBidi" w:hAnsiTheme="minorBidi"/>
        </w:rPr>
        <w:t>,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CA250D">
        <w:rPr>
          <w:rFonts w:asciiTheme="minorBidi" w:hAnsiTheme="minorBidi"/>
        </w:rPr>
        <w:tab/>
      </w:r>
      <w:r w:rsidR="004D7D48">
        <w:rPr>
          <w:rFonts w:asciiTheme="minorBidi" w:hAnsiTheme="minorBidi"/>
        </w:rPr>
        <w:tab/>
      </w:r>
      <w:r w:rsidR="000E154E">
        <w:rPr>
          <w:rFonts w:asciiTheme="minorBidi" w:hAnsiTheme="minorBidi"/>
        </w:rPr>
        <w:t>17</w:t>
      </w:r>
      <w:r w:rsidR="00D12A89" w:rsidRPr="006D2B05">
        <w:rPr>
          <w:rFonts w:asciiTheme="minorBidi" w:hAnsiTheme="minorBidi"/>
        </w:rPr>
        <w:t>.0</w:t>
      </w:r>
      <w:r w:rsidR="00FD7119">
        <w:rPr>
          <w:rFonts w:asciiTheme="minorBidi" w:hAnsiTheme="minorBidi"/>
        </w:rPr>
        <w:t>9</w:t>
      </w:r>
      <w:r w:rsidR="00D12A89" w:rsidRPr="006D2B05">
        <w:rPr>
          <w:rFonts w:asciiTheme="minorBidi" w:hAnsiTheme="minorBidi"/>
        </w:rPr>
        <w:t>.202</w:t>
      </w:r>
      <w:r>
        <w:rPr>
          <w:rFonts w:asciiTheme="minorBidi" w:hAnsiTheme="minorBidi"/>
        </w:rPr>
        <w:t>4</w:t>
      </w:r>
    </w:p>
    <w:p w14:paraId="050874EB" w14:textId="77777777" w:rsidR="00CF11D6" w:rsidRPr="006D2B05" w:rsidRDefault="00CF11D6" w:rsidP="00CF11D6">
      <w:pPr>
        <w:rPr>
          <w:rFonts w:asciiTheme="minorBidi" w:hAnsiTheme="minorBidi"/>
        </w:rPr>
      </w:pPr>
    </w:p>
    <w:p w14:paraId="6D1B49E6" w14:textId="2E5147F1" w:rsidR="00FD7119" w:rsidRDefault="00FD7119" w:rsidP="00FD7119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Täname võimaluse eest arvamust avaldada kavandatavale a</w:t>
      </w:r>
      <w:r w:rsidRPr="00FD7119">
        <w:rPr>
          <w:rFonts w:asciiTheme="minorBidi" w:hAnsiTheme="minorBidi"/>
        </w:rPr>
        <w:t>lkoholi-, tubaka-, kütuse- ja elektriaktsiisi seaduse muutmis</w:t>
      </w:r>
      <w:r>
        <w:rPr>
          <w:rFonts w:asciiTheme="minorBidi" w:hAnsiTheme="minorBidi"/>
        </w:rPr>
        <w:t xml:space="preserve">ele. </w:t>
      </w:r>
      <w:r w:rsidR="00E112A9">
        <w:rPr>
          <w:rFonts w:asciiTheme="minorBidi" w:hAnsiTheme="minorBidi"/>
        </w:rPr>
        <w:t>E</w:t>
      </w:r>
      <w:r>
        <w:rPr>
          <w:rFonts w:asciiTheme="minorBidi" w:hAnsiTheme="minorBidi"/>
        </w:rPr>
        <w:t xml:space="preserve">sitame arvamuse alkoholiaktsiisi määrade planeeritavale muudatusele. </w:t>
      </w:r>
    </w:p>
    <w:p w14:paraId="10532F3E" w14:textId="77777777" w:rsidR="008F1A4F" w:rsidRPr="00094043" w:rsidRDefault="00FD7119" w:rsidP="00253A90">
      <w:pPr>
        <w:jc w:val="both"/>
        <w:rPr>
          <w:rFonts w:asciiTheme="minorBidi" w:hAnsiTheme="minorBidi"/>
        </w:rPr>
      </w:pPr>
      <w:r w:rsidRPr="00094043">
        <w:rPr>
          <w:rFonts w:asciiTheme="minorBidi" w:hAnsiTheme="minorBidi"/>
        </w:rPr>
        <w:t xml:space="preserve">Kehtiva koalitsioonileppe kohaselt on </w:t>
      </w:r>
      <w:r w:rsidRPr="00094043">
        <w:rPr>
          <w:rFonts w:asciiTheme="minorBidi" w:hAnsiTheme="minorBidi"/>
          <w:b/>
          <w:bCs/>
        </w:rPr>
        <w:t>aktsiiside tõstmise eesmärgiks eelarvepositsiooni parandamine</w:t>
      </w:r>
      <w:r w:rsidRPr="00094043">
        <w:rPr>
          <w:rFonts w:asciiTheme="minorBidi" w:hAnsiTheme="minorBidi"/>
        </w:rPr>
        <w:t xml:space="preserve"> („</w:t>
      </w:r>
      <w:r w:rsidRPr="00094043">
        <w:rPr>
          <w:rFonts w:asciiTheme="minorBidi" w:hAnsiTheme="minorBidi"/>
          <w:i/>
          <w:iCs/>
          <w:u w:val="single"/>
        </w:rPr>
        <w:t>Eelarveolukorra parandamiseks</w:t>
      </w:r>
      <w:r w:rsidRPr="00094043">
        <w:rPr>
          <w:rFonts w:asciiTheme="minorBidi" w:hAnsiTheme="minorBidi"/>
          <w:i/>
          <w:iCs/>
        </w:rPr>
        <w:t xml:space="preserve"> tõstame alkoholi-, tubaka- ja bensiiniaktsiisi täiendavalt 5% aastas. Järgime piirikaubanduse mõjusid ning vajaduse korral korrigeerime aktsiiside kasvuplaane.“)</w:t>
      </w:r>
      <w:r w:rsidR="00DB49C3" w:rsidRPr="00094043">
        <w:rPr>
          <w:rFonts w:asciiTheme="minorBidi" w:hAnsiTheme="minorBidi"/>
          <w:i/>
          <w:iCs/>
        </w:rPr>
        <w:t xml:space="preserve">. </w:t>
      </w:r>
      <w:r w:rsidR="00DB49C3" w:rsidRPr="00094043">
        <w:rPr>
          <w:rFonts w:asciiTheme="minorBidi" w:hAnsiTheme="minorBidi"/>
        </w:rPr>
        <w:t xml:space="preserve">Kuis oleme ka varasemalt osundanud usume, et nii alkoholitootjate kui ka valitsuse ühine huvi on riigirahanduslikult </w:t>
      </w:r>
      <w:r w:rsidR="00253A90" w:rsidRPr="00094043">
        <w:rPr>
          <w:rFonts w:asciiTheme="minorBidi" w:hAnsiTheme="minorBidi"/>
        </w:rPr>
        <w:t>läbimõeldud</w:t>
      </w:r>
      <w:r w:rsidR="00DB49C3" w:rsidRPr="00094043">
        <w:rPr>
          <w:rFonts w:asciiTheme="minorBidi" w:hAnsiTheme="minorBidi"/>
        </w:rPr>
        <w:t xml:space="preserve"> aktsiisipoliitika ning aktsiisipoliitika kavandamine viisil, et riik piirikaubanduse tõttu tulusid ei kaotaks ja salaalkoholi kasvu ei hoogustaks. </w:t>
      </w:r>
    </w:p>
    <w:p w14:paraId="790A62CC" w14:textId="74C6063A" w:rsidR="00094043" w:rsidRPr="00094043" w:rsidRDefault="00094043" w:rsidP="00253A90">
      <w:pPr>
        <w:jc w:val="both"/>
        <w:rPr>
          <w:rFonts w:asciiTheme="minorBidi" w:hAnsiTheme="minorBidi"/>
          <w:b/>
          <w:bCs/>
        </w:rPr>
      </w:pPr>
      <w:r w:rsidRPr="00094043">
        <w:rPr>
          <w:rFonts w:asciiTheme="minorBidi" w:hAnsiTheme="minorBidi"/>
          <w:b/>
          <w:bCs/>
        </w:rPr>
        <w:t>Piirikaubandus vähendab eelarvetulu</w:t>
      </w:r>
    </w:p>
    <w:p w14:paraId="51BC6F5A" w14:textId="055BA3D8" w:rsidR="00352B22" w:rsidRPr="00094043" w:rsidRDefault="00B9727E" w:rsidP="0097748D">
      <w:pPr>
        <w:jc w:val="both"/>
        <w:rPr>
          <w:rFonts w:asciiTheme="minorBidi" w:hAnsiTheme="minorBidi"/>
        </w:rPr>
      </w:pPr>
      <w:r w:rsidRPr="00094043">
        <w:rPr>
          <w:rFonts w:asciiTheme="minorBidi" w:hAnsiTheme="minorBidi"/>
        </w:rPr>
        <w:t>E</w:t>
      </w:r>
      <w:r w:rsidR="0097748D" w:rsidRPr="00094043">
        <w:rPr>
          <w:rFonts w:asciiTheme="minorBidi" w:hAnsiTheme="minorBidi"/>
        </w:rPr>
        <w:t>elnõu kohaselt suureneksid aktsiisimäärad väga lühikese perioodi - kolme aasta jooksul – pea kolmandiku võrra ning Eestis kehtiv alkoholiaktsiis ületaks märgatavalt Lätis kehtivaid tasemeid. See loob äärmiselt soodsa pinnase piirikaubanduse hüppeliseks kasvuks, mille mõjud arvestades aktsiisitõusu ja käibemaksu</w:t>
      </w:r>
      <w:r w:rsidR="00884E9E" w:rsidRPr="00094043">
        <w:rPr>
          <w:rFonts w:asciiTheme="minorBidi" w:hAnsiTheme="minorBidi"/>
        </w:rPr>
        <w:t xml:space="preserve"> kasvu</w:t>
      </w:r>
      <w:r w:rsidR="0097748D" w:rsidRPr="00094043">
        <w:rPr>
          <w:rFonts w:asciiTheme="minorBidi" w:hAnsiTheme="minorBidi"/>
        </w:rPr>
        <w:t xml:space="preserve"> ning muude maksumuudatuste mõju hinnale, võivad olla alahinnatud. </w:t>
      </w:r>
    </w:p>
    <w:p w14:paraId="56CF600D" w14:textId="77777777" w:rsidR="00B9727E" w:rsidRDefault="0097748D" w:rsidP="00B9727E">
      <w:pPr>
        <w:jc w:val="both"/>
        <w:rPr>
          <w:rFonts w:asciiTheme="minorBidi" w:hAnsiTheme="minorBidi"/>
        </w:rPr>
      </w:pPr>
      <w:r w:rsidRPr="00094043">
        <w:rPr>
          <w:rFonts w:asciiTheme="minorBidi" w:hAnsiTheme="minorBidi"/>
        </w:rPr>
        <w:t>Aktsiisimäära kavandatav tõus kasvatab hinnaerinevust Lätiga tundlikus hinnasegmendis märgatavalt, juba aastal 2026 on aktsiisimäärast</w:t>
      </w:r>
      <w:r w:rsidRPr="006141EA">
        <w:rPr>
          <w:rFonts w:asciiTheme="minorBidi" w:hAnsiTheme="minorBidi"/>
        </w:rPr>
        <w:t xml:space="preserve"> ja käibemaksumäärast tulenev hinna</w:t>
      </w:r>
      <w:r>
        <w:rPr>
          <w:rFonts w:asciiTheme="minorBidi" w:hAnsiTheme="minorBidi"/>
        </w:rPr>
        <w:t>erinevus</w:t>
      </w:r>
      <w:r w:rsidRPr="006141EA">
        <w:rPr>
          <w:rFonts w:asciiTheme="minorBidi" w:hAnsiTheme="minorBidi"/>
        </w:rPr>
        <w:t xml:space="preserve">, võrreldes käesoleva aastaga soodsama hinnaklassi viinal </w:t>
      </w:r>
      <w:r>
        <w:rPr>
          <w:rFonts w:asciiTheme="minorBidi" w:hAnsiTheme="minorBidi"/>
        </w:rPr>
        <w:t>kasvanud</w:t>
      </w:r>
      <w:r w:rsidRPr="006141EA">
        <w:rPr>
          <w:rFonts w:asciiTheme="minorBidi" w:hAnsiTheme="minorBidi"/>
        </w:rPr>
        <w:t xml:space="preserve"> </w:t>
      </w:r>
      <w:r w:rsidRPr="00BB54BD">
        <w:rPr>
          <w:rFonts w:asciiTheme="minorBidi" w:hAnsiTheme="minorBidi"/>
          <w:b/>
          <w:bCs/>
        </w:rPr>
        <w:t>4%lt 13%le</w:t>
      </w:r>
      <w:r w:rsidRPr="006141EA">
        <w:rPr>
          <w:rFonts w:asciiTheme="minorBidi" w:hAnsiTheme="minorBidi"/>
        </w:rPr>
        <w:t>.</w:t>
      </w:r>
      <w:r w:rsidRPr="006141EA">
        <w:rPr>
          <w:rFonts w:asciiTheme="minorBidi" w:hAnsiTheme="minorBidi"/>
          <w:b/>
          <w:bCs/>
        </w:rPr>
        <w:t xml:space="preserve"> </w:t>
      </w:r>
      <w:r w:rsidRPr="00464C30">
        <w:rPr>
          <w:rFonts w:asciiTheme="minorBidi" w:hAnsiTheme="minorBidi"/>
        </w:rPr>
        <w:t xml:space="preserve">Täna tuleb arvestada, et </w:t>
      </w:r>
      <w:r w:rsidRPr="00094043">
        <w:rPr>
          <w:rFonts w:asciiTheme="minorBidi" w:hAnsiTheme="minorBidi"/>
        </w:rPr>
        <w:t>piirikaubanduseks infrastruktuur on olemas ja</w:t>
      </w:r>
      <w:r w:rsidRPr="00464C30">
        <w:rPr>
          <w:rFonts w:asciiTheme="minorBidi" w:hAnsiTheme="minorBidi"/>
        </w:rPr>
        <w:t xml:space="preserve"> lähiminevikust teada harjumuspärane skeem liigub kiiresti käima</w:t>
      </w:r>
      <w:r w:rsidR="002C0459">
        <w:rPr>
          <w:rFonts w:asciiTheme="minorBidi" w:hAnsiTheme="minorBidi"/>
        </w:rPr>
        <w:t xml:space="preserve">, mis vähendab eelarvetulusid. </w:t>
      </w:r>
    </w:p>
    <w:p w14:paraId="05021F5F" w14:textId="1265C4D3" w:rsidR="00094043" w:rsidRPr="00094043" w:rsidRDefault="00094043" w:rsidP="00B9727E">
      <w:pPr>
        <w:jc w:val="both"/>
        <w:rPr>
          <w:rFonts w:asciiTheme="minorBidi" w:hAnsiTheme="minorBidi"/>
          <w:b/>
          <w:bCs/>
        </w:rPr>
      </w:pPr>
      <w:r w:rsidRPr="00094043">
        <w:rPr>
          <w:rFonts w:asciiTheme="minorBidi" w:hAnsiTheme="minorBidi"/>
          <w:b/>
          <w:bCs/>
        </w:rPr>
        <w:t>Aktsiisitõusust oodatud tulu ei ole laekunud</w:t>
      </w:r>
    </w:p>
    <w:p w14:paraId="4A751267" w14:textId="66CF74C6" w:rsidR="00352B22" w:rsidRPr="00094043" w:rsidRDefault="00094043" w:rsidP="00B9727E">
      <w:pPr>
        <w:jc w:val="both"/>
        <w:rPr>
          <w:rFonts w:asciiTheme="minorBidi" w:hAnsiTheme="minorBidi"/>
        </w:rPr>
      </w:pPr>
      <w:r w:rsidRPr="00094043">
        <w:rPr>
          <w:rFonts w:asciiTheme="minorBidi" w:hAnsiTheme="minorBidi"/>
        </w:rPr>
        <w:t>A</w:t>
      </w:r>
      <w:r w:rsidR="00352B22" w:rsidRPr="00094043">
        <w:rPr>
          <w:rFonts w:asciiTheme="minorBidi" w:hAnsiTheme="minorBidi"/>
        </w:rPr>
        <w:t>asta tagasi, 2023. aastal seadustatud aktsiisitõusu prognoositavad mõjud</w:t>
      </w:r>
      <w:r>
        <w:rPr>
          <w:rFonts w:asciiTheme="minorBidi" w:hAnsiTheme="minorBidi"/>
        </w:rPr>
        <w:t xml:space="preserve"> </w:t>
      </w:r>
      <w:r w:rsidR="00352B22" w:rsidRPr="00094043">
        <w:rPr>
          <w:rFonts w:asciiTheme="minorBidi" w:hAnsiTheme="minorBidi"/>
        </w:rPr>
        <w:t>ei ole realiseerunud</w:t>
      </w:r>
      <w:r w:rsidR="0050272E">
        <w:rPr>
          <w:rFonts w:asciiTheme="minorBidi" w:hAnsiTheme="minorBidi"/>
        </w:rPr>
        <w:t>: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3020"/>
        <w:gridCol w:w="1280"/>
        <w:gridCol w:w="980"/>
        <w:gridCol w:w="980"/>
        <w:gridCol w:w="980"/>
      </w:tblGrid>
      <w:tr w:rsidR="00C4136B" w:rsidRPr="00BD0F5D" w14:paraId="5048BD7A" w14:textId="77777777" w:rsidTr="00C4136B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FDCA0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BD0F5D">
              <w:rPr>
                <w:rFonts w:ascii="Arial Narrow" w:hAnsi="Arial Narrow"/>
                <w:b/>
                <w:bCs/>
              </w:rPr>
              <w:t xml:space="preserve"> (mln </w:t>
            </w:r>
            <w:proofErr w:type="spellStart"/>
            <w:r w:rsidRPr="00BD0F5D">
              <w:rPr>
                <w:rFonts w:ascii="Arial Narrow" w:hAnsi="Arial Narrow"/>
                <w:b/>
                <w:bCs/>
              </w:rPr>
              <w:t>eur</w:t>
            </w:r>
            <w:proofErr w:type="spellEnd"/>
            <w:r w:rsidRPr="00BD0F5D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FAC7B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BD0F5D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18DA08" w14:textId="77777777" w:rsidR="00C4136B" w:rsidRPr="00BD0F5D" w:rsidRDefault="00C4136B" w:rsidP="0087343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BD0F5D">
              <w:rPr>
                <w:rFonts w:ascii="Arial Narrow" w:hAnsi="Arial Narrow"/>
                <w:b/>
                <w:bCs/>
                <w:lang w:val="en-US"/>
              </w:rPr>
              <w:t>2023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711563" w14:textId="77777777" w:rsidR="00C4136B" w:rsidRPr="00BD0F5D" w:rsidRDefault="00C4136B" w:rsidP="0087343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BD0F5D">
              <w:rPr>
                <w:rFonts w:ascii="Arial Narrow" w:hAnsi="Arial Narrow"/>
                <w:b/>
                <w:bCs/>
                <w:lang w:val="en-US"/>
              </w:rPr>
              <w:t>2024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4E3E71" w14:textId="77777777" w:rsidR="00C4136B" w:rsidRPr="00BD0F5D" w:rsidRDefault="00C4136B" w:rsidP="0087343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BD0F5D">
              <w:rPr>
                <w:rFonts w:ascii="Arial Narrow" w:hAnsi="Arial Narrow"/>
                <w:b/>
                <w:bCs/>
                <w:lang w:val="en-US"/>
              </w:rPr>
              <w:t>2025</w:t>
            </w:r>
          </w:p>
        </w:tc>
      </w:tr>
      <w:tr w:rsidR="00C4136B" w:rsidRPr="00BD0F5D" w14:paraId="486515B6" w14:textId="77777777" w:rsidTr="00C4136B">
        <w:trPr>
          <w:trHeight w:val="59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99DDD2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 xml:space="preserve">RM </w:t>
            </w:r>
            <w:proofErr w:type="spellStart"/>
            <w:r w:rsidRPr="00BD0F5D">
              <w:rPr>
                <w:rFonts w:ascii="Arial Narrow" w:hAnsi="Arial Narrow"/>
                <w:lang w:val="en-US"/>
              </w:rPr>
              <w:t>suveprognoos</w:t>
            </w:r>
            <w:proofErr w:type="spellEnd"/>
            <w:r w:rsidRPr="00BD0F5D">
              <w:rPr>
                <w:rFonts w:ascii="Arial Narrow" w:hAnsi="Arial Narrow"/>
                <w:lang w:val="en-US"/>
              </w:rPr>
              <w:t xml:space="preserve"> 2024 (</w:t>
            </w:r>
            <w:proofErr w:type="spellStart"/>
            <w:r w:rsidRPr="00BD0F5D">
              <w:rPr>
                <w:rFonts w:ascii="Arial Narrow" w:hAnsi="Arial Narrow"/>
                <w:lang w:val="en-US"/>
              </w:rPr>
              <w:t>lk</w:t>
            </w:r>
            <w:proofErr w:type="spellEnd"/>
            <w:r w:rsidRPr="00BD0F5D">
              <w:rPr>
                <w:rFonts w:ascii="Arial Narrow" w:hAnsi="Arial Narrow"/>
                <w:lang w:val="en-US"/>
              </w:rPr>
              <w:t xml:space="preserve"> 52)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DF755D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01.01.2024; 01.01.2025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653D7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EB3DE3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-6,3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B2250D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13,2</w:t>
            </w:r>
          </w:p>
        </w:tc>
      </w:tr>
      <w:tr w:rsidR="00C4136B" w:rsidRPr="00BD0F5D" w14:paraId="15184E81" w14:textId="77777777" w:rsidTr="00C4136B">
        <w:trPr>
          <w:trHeight w:val="59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FEB09F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 xml:space="preserve">RM </w:t>
            </w:r>
            <w:proofErr w:type="spellStart"/>
            <w:r w:rsidRPr="00BD0F5D">
              <w:rPr>
                <w:rFonts w:ascii="Arial Narrow" w:hAnsi="Arial Narrow"/>
                <w:lang w:val="en-US"/>
              </w:rPr>
              <w:t>kevadprognoos</w:t>
            </w:r>
            <w:proofErr w:type="spellEnd"/>
            <w:r w:rsidRPr="00BD0F5D">
              <w:rPr>
                <w:rFonts w:ascii="Arial Narrow" w:hAnsi="Arial Narrow"/>
                <w:lang w:val="en-US"/>
              </w:rPr>
              <w:t xml:space="preserve"> 2024 (</w:t>
            </w:r>
            <w:proofErr w:type="spellStart"/>
            <w:r w:rsidRPr="00BD0F5D">
              <w:rPr>
                <w:rFonts w:ascii="Arial Narrow" w:hAnsi="Arial Narrow"/>
                <w:lang w:val="en-US"/>
              </w:rPr>
              <w:t>lk</w:t>
            </w:r>
            <w:proofErr w:type="spellEnd"/>
            <w:r w:rsidRPr="00BD0F5D">
              <w:rPr>
                <w:rFonts w:ascii="Arial Narrow" w:hAnsi="Arial Narrow"/>
                <w:lang w:val="en-US"/>
              </w:rPr>
              <w:t xml:space="preserve"> 70)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CAA4DF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01.01.2024; 01.01.2025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23C213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D91C2F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1B0347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24,1</w:t>
            </w:r>
          </w:p>
        </w:tc>
      </w:tr>
      <w:tr w:rsidR="00C4136B" w:rsidRPr="00BD0F5D" w14:paraId="06AB286A" w14:textId="77777777" w:rsidTr="00C4136B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885B44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 xml:space="preserve">RM </w:t>
            </w:r>
            <w:proofErr w:type="spellStart"/>
            <w:r w:rsidRPr="00BD0F5D">
              <w:rPr>
                <w:rFonts w:ascii="Arial Narrow" w:hAnsi="Arial Narrow"/>
                <w:lang w:val="en-US"/>
              </w:rPr>
              <w:t>suveprognoos</w:t>
            </w:r>
            <w:proofErr w:type="spellEnd"/>
            <w:r w:rsidRPr="00BD0F5D">
              <w:rPr>
                <w:rFonts w:ascii="Arial Narrow" w:hAnsi="Arial Narrow"/>
                <w:lang w:val="en-US"/>
              </w:rPr>
              <w:t xml:space="preserve"> 2023 (</w:t>
            </w:r>
            <w:proofErr w:type="spellStart"/>
            <w:r w:rsidRPr="00BD0F5D">
              <w:rPr>
                <w:rFonts w:ascii="Arial Narrow" w:hAnsi="Arial Narrow"/>
                <w:lang w:val="en-US"/>
              </w:rPr>
              <w:t>lk</w:t>
            </w:r>
            <w:proofErr w:type="spellEnd"/>
            <w:r w:rsidRPr="00BD0F5D">
              <w:rPr>
                <w:rFonts w:ascii="Arial Narrow" w:hAnsi="Arial Narrow"/>
                <w:lang w:val="en-US"/>
              </w:rPr>
              <w:t xml:space="preserve"> 59)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222694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01.01.2024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2EE4AA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17,5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0732FD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BD698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 </w:t>
            </w:r>
          </w:p>
        </w:tc>
      </w:tr>
      <w:tr w:rsidR="00C4136B" w:rsidRPr="00BD0F5D" w14:paraId="58BF4B43" w14:textId="77777777" w:rsidTr="00C4136B">
        <w:trPr>
          <w:trHeight w:val="77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3A11B1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fi-FI"/>
              </w:rPr>
            </w:pPr>
            <w:proofErr w:type="spellStart"/>
            <w:r w:rsidRPr="00BD0F5D">
              <w:rPr>
                <w:rFonts w:ascii="Arial Narrow" w:hAnsi="Arial Narrow"/>
                <w:lang w:val="fi-FI"/>
              </w:rPr>
              <w:t>Aktsiisitõusu</w:t>
            </w:r>
            <w:proofErr w:type="spellEnd"/>
            <w:r w:rsidRPr="00BD0F5D">
              <w:rPr>
                <w:rFonts w:ascii="Arial Narrow" w:hAnsi="Arial Narrow"/>
                <w:lang w:val="fi-FI"/>
              </w:rPr>
              <w:t xml:space="preserve"> </w:t>
            </w:r>
            <w:proofErr w:type="spellStart"/>
            <w:r w:rsidRPr="00BD0F5D">
              <w:rPr>
                <w:rFonts w:ascii="Arial Narrow" w:hAnsi="Arial Narrow"/>
                <w:lang w:val="fi-FI"/>
              </w:rPr>
              <w:t>eelnõu</w:t>
            </w:r>
            <w:proofErr w:type="spellEnd"/>
            <w:r w:rsidRPr="00BD0F5D">
              <w:rPr>
                <w:rFonts w:ascii="Arial Narrow" w:hAnsi="Arial Narrow"/>
                <w:lang w:val="fi-FI"/>
              </w:rPr>
              <w:t xml:space="preserve"> (</w:t>
            </w:r>
            <w:proofErr w:type="spellStart"/>
            <w:r w:rsidRPr="00BD0F5D">
              <w:rPr>
                <w:rFonts w:ascii="Arial Narrow" w:hAnsi="Arial Narrow"/>
                <w:lang w:val="fi-FI"/>
              </w:rPr>
              <w:t>juuni</w:t>
            </w:r>
            <w:proofErr w:type="spellEnd"/>
            <w:r w:rsidRPr="00BD0F5D">
              <w:rPr>
                <w:rFonts w:ascii="Arial Narrow" w:hAnsi="Arial Narrow"/>
                <w:lang w:val="fi-FI"/>
              </w:rPr>
              <w:t xml:space="preserve"> 2023, </w:t>
            </w:r>
            <w:proofErr w:type="spellStart"/>
            <w:r w:rsidRPr="00BD0F5D">
              <w:rPr>
                <w:rFonts w:ascii="Arial Narrow" w:hAnsi="Arial Narrow"/>
                <w:lang w:val="fi-FI"/>
              </w:rPr>
              <w:t>seletuskiri</w:t>
            </w:r>
            <w:proofErr w:type="spellEnd"/>
            <w:r w:rsidRPr="00BD0F5D">
              <w:rPr>
                <w:rFonts w:ascii="Arial Narrow" w:hAnsi="Arial Narrow"/>
                <w:lang w:val="fi-FI"/>
              </w:rPr>
              <w:t xml:space="preserve"> </w:t>
            </w:r>
            <w:proofErr w:type="spellStart"/>
            <w:r w:rsidRPr="00BD0F5D">
              <w:rPr>
                <w:rFonts w:ascii="Arial Narrow" w:hAnsi="Arial Narrow"/>
                <w:lang w:val="fi-FI"/>
              </w:rPr>
              <w:t>lk</w:t>
            </w:r>
            <w:proofErr w:type="spellEnd"/>
            <w:r w:rsidRPr="00BD0F5D">
              <w:rPr>
                <w:rFonts w:ascii="Arial Narrow" w:hAnsi="Arial Narrow"/>
                <w:lang w:val="fi-FI"/>
              </w:rPr>
              <w:t xml:space="preserve"> 17)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C5B36E" w14:textId="77777777" w:rsidR="00C4136B" w:rsidRPr="00BD0F5D" w:rsidRDefault="00C4136B" w:rsidP="0087343D">
            <w:pPr>
              <w:jc w:val="both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01.01.2024; 01.01.2025; 01.01.2026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14DD1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14,4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31002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A08B3" w14:textId="77777777" w:rsidR="00C4136B" w:rsidRPr="00BD0F5D" w:rsidRDefault="00C4136B" w:rsidP="0087343D">
            <w:pPr>
              <w:jc w:val="right"/>
              <w:rPr>
                <w:rFonts w:ascii="Arial Narrow" w:hAnsi="Arial Narrow"/>
                <w:lang w:val="en-US"/>
              </w:rPr>
            </w:pPr>
            <w:r w:rsidRPr="00BD0F5D">
              <w:rPr>
                <w:rFonts w:ascii="Arial Narrow" w:hAnsi="Arial Narrow"/>
                <w:lang w:val="en-US"/>
              </w:rPr>
              <w:t>23,2</w:t>
            </w:r>
          </w:p>
        </w:tc>
      </w:tr>
    </w:tbl>
    <w:p w14:paraId="3DB72581" w14:textId="77777777" w:rsidR="00352B22" w:rsidRPr="00BD0F5D" w:rsidRDefault="00352B22" w:rsidP="00352B22">
      <w:pPr>
        <w:jc w:val="both"/>
        <w:rPr>
          <w:rFonts w:ascii="Arial Narrow" w:hAnsi="Arial Narrow"/>
          <w:b/>
          <w:bCs/>
        </w:rPr>
      </w:pPr>
      <w:r w:rsidRPr="00BD0F5D">
        <w:rPr>
          <w:rFonts w:ascii="Arial Narrow" w:hAnsi="Arial Narrow"/>
        </w:rPr>
        <w:t>Allikas: Rahandusministeerium, fin.ee (majandusprognoosid)</w:t>
      </w:r>
    </w:p>
    <w:p w14:paraId="69EB0189" w14:textId="77777777" w:rsidR="00094043" w:rsidRDefault="00094043" w:rsidP="00094043">
      <w:pPr>
        <w:jc w:val="both"/>
        <w:rPr>
          <w:rFonts w:asciiTheme="minorBidi" w:hAnsiTheme="minorBidi"/>
        </w:rPr>
      </w:pPr>
    </w:p>
    <w:p w14:paraId="585799E1" w14:textId="77777777" w:rsidR="00094043" w:rsidRDefault="00094043" w:rsidP="00094043">
      <w:pPr>
        <w:jc w:val="both"/>
        <w:rPr>
          <w:rFonts w:asciiTheme="minorBidi" w:hAnsiTheme="minorBidi"/>
        </w:rPr>
      </w:pPr>
    </w:p>
    <w:p w14:paraId="14EB0675" w14:textId="04A07209" w:rsidR="00094043" w:rsidRPr="00094043" w:rsidRDefault="0050272E" w:rsidP="00094043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Eelarvelised mõjud ebaselged</w:t>
      </w:r>
      <w:r w:rsidR="00DC24A2">
        <w:rPr>
          <w:rFonts w:asciiTheme="minorBidi" w:hAnsiTheme="minorBidi"/>
          <w:b/>
          <w:bCs/>
        </w:rPr>
        <w:t>, ettepanek seletuskirja täiendada</w:t>
      </w:r>
    </w:p>
    <w:p w14:paraId="791EDDEE" w14:textId="285A0505" w:rsidR="00094043" w:rsidRDefault="00094043" w:rsidP="00094043">
      <w:pPr>
        <w:jc w:val="both"/>
        <w:rPr>
          <w:rFonts w:asciiTheme="minorBidi" w:hAnsiTheme="minorBidi"/>
        </w:rPr>
      </w:pPr>
      <w:r w:rsidRPr="0005785E">
        <w:rPr>
          <w:rFonts w:asciiTheme="minorBidi" w:hAnsiTheme="minorBidi"/>
        </w:rPr>
        <w:t xml:space="preserve">Tunnustame seletuskirja põhjalikku ettevalmistust, sealhulgas võimalike riskide ning eelnõu jõustumisel piirikaubanduse ja salaalkoholi levikule põhjustatavat mõju hindamist, kuid ebaselgeks jäävad aga eelarvelised mõjud. </w:t>
      </w:r>
    </w:p>
    <w:p w14:paraId="65DAB5DD" w14:textId="77777777" w:rsidR="00DC24A2" w:rsidRDefault="00DC24A2" w:rsidP="00DC24A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Eelnõu seletuskirja kohaselt (Tabel 22, lk 24) on aktsiisitõusust l</w:t>
      </w:r>
      <w:r w:rsidRPr="00396D75">
        <w:rPr>
          <w:rFonts w:asciiTheme="minorBidi" w:hAnsiTheme="minorBidi"/>
        </w:rPr>
        <w:t>isanduv laekumi</w:t>
      </w:r>
      <w:r>
        <w:rPr>
          <w:rFonts w:asciiTheme="minorBidi" w:hAnsiTheme="minorBidi"/>
        </w:rPr>
        <w:t>ne</w:t>
      </w:r>
      <w:r w:rsidRPr="00396D7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riigieelarvesse</w:t>
      </w:r>
      <w:r w:rsidRPr="00396D7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kokku </w:t>
      </w:r>
      <w:r w:rsidRPr="00396D75">
        <w:rPr>
          <w:rFonts w:asciiTheme="minorBidi" w:hAnsiTheme="minorBidi"/>
        </w:rPr>
        <w:t>ca 20 mln eurot aastatel 202</w:t>
      </w:r>
      <w:r>
        <w:rPr>
          <w:rFonts w:asciiTheme="minorBidi" w:hAnsiTheme="minorBidi"/>
        </w:rPr>
        <w:t>4</w:t>
      </w:r>
      <w:r w:rsidRPr="00396D75">
        <w:rPr>
          <w:rFonts w:asciiTheme="minorBidi" w:hAnsiTheme="minorBidi"/>
        </w:rPr>
        <w:sym w:font="Symbol" w:char="F02D"/>
      </w:r>
      <w:r w:rsidRPr="00396D75">
        <w:rPr>
          <w:rFonts w:asciiTheme="minorBidi" w:hAnsiTheme="minorBidi"/>
        </w:rPr>
        <w:t>2028</w:t>
      </w:r>
      <w:r>
        <w:rPr>
          <w:rFonts w:asciiTheme="minorBidi" w:hAnsiTheme="minorBidi"/>
        </w:rPr>
        <w:t xml:space="preserve"> ehk keskmiselt 4 mln eurot aastas.  E</w:t>
      </w:r>
      <w:r w:rsidRPr="00572E7A">
        <w:rPr>
          <w:rFonts w:asciiTheme="minorBidi" w:hAnsiTheme="minorBidi"/>
        </w:rPr>
        <w:t xml:space="preserve">elnõu </w:t>
      </w:r>
      <w:r>
        <w:rPr>
          <w:rFonts w:asciiTheme="minorBidi" w:hAnsiTheme="minorBidi"/>
        </w:rPr>
        <w:t>jõustumisel</w:t>
      </w:r>
      <w:r w:rsidRPr="00572E7A">
        <w:rPr>
          <w:rFonts w:asciiTheme="minorBidi" w:hAnsiTheme="minorBidi"/>
        </w:rPr>
        <w:t xml:space="preserve"> peamine positiivne eel</w:t>
      </w:r>
      <w:r>
        <w:rPr>
          <w:rFonts w:asciiTheme="minorBidi" w:hAnsiTheme="minorBidi"/>
        </w:rPr>
        <w:t>arveline</w:t>
      </w:r>
      <w:r w:rsidRPr="00572E7A">
        <w:rPr>
          <w:rFonts w:asciiTheme="minorBidi" w:hAnsiTheme="minorBidi"/>
        </w:rPr>
        <w:t xml:space="preserve"> mõju (+2</w:t>
      </w:r>
      <w:r>
        <w:rPr>
          <w:rFonts w:asciiTheme="minorBidi" w:hAnsiTheme="minorBidi"/>
        </w:rPr>
        <w:t>2</w:t>
      </w:r>
      <w:r w:rsidRPr="00572E7A">
        <w:rPr>
          <w:rFonts w:asciiTheme="minorBidi" w:hAnsiTheme="minorBidi"/>
        </w:rPr>
        <w:t xml:space="preserve"> mln eurot) </w:t>
      </w:r>
      <w:r>
        <w:rPr>
          <w:rFonts w:asciiTheme="minorBidi" w:hAnsiTheme="minorBidi"/>
        </w:rPr>
        <w:t xml:space="preserve">on </w:t>
      </w:r>
      <w:r w:rsidRPr="00572E7A">
        <w:rPr>
          <w:rFonts w:asciiTheme="minorBidi" w:hAnsiTheme="minorBidi"/>
        </w:rPr>
        <w:t xml:space="preserve">hinnatud aastasse 2026. </w:t>
      </w:r>
    </w:p>
    <w:p w14:paraId="127FCB2F" w14:textId="77777777" w:rsidR="00DC24A2" w:rsidRPr="007239D2" w:rsidRDefault="00DC24A2" w:rsidP="00DC24A2">
      <w:pPr>
        <w:jc w:val="both"/>
        <w:rPr>
          <w:rFonts w:asciiTheme="minorBidi" w:hAnsiTheme="minorBidi"/>
          <w:i/>
          <w:iCs/>
        </w:rPr>
      </w:pPr>
      <w:r w:rsidRPr="00572E7A">
        <w:rPr>
          <w:rFonts w:asciiTheme="minorBidi" w:hAnsiTheme="minorBidi"/>
        </w:rPr>
        <w:t>Eelnõu</w:t>
      </w:r>
      <w:r w:rsidRPr="001B2B43">
        <w:rPr>
          <w:rFonts w:asciiTheme="minorBidi" w:hAnsiTheme="minorBidi"/>
        </w:rPr>
        <w:t xml:space="preserve"> seletuskiri 2026</w:t>
      </w:r>
      <w:r>
        <w:rPr>
          <w:rFonts w:asciiTheme="minorBidi" w:hAnsiTheme="minorBidi"/>
        </w:rPr>
        <w:t>.</w:t>
      </w:r>
      <w:r w:rsidRPr="001B2B43">
        <w:rPr>
          <w:rFonts w:asciiTheme="minorBidi" w:hAnsiTheme="minorBidi"/>
        </w:rPr>
        <w:t xml:space="preserve"> aastaks kavandatud täiendava 22 mln </w:t>
      </w:r>
      <w:r>
        <w:rPr>
          <w:rFonts w:asciiTheme="minorBidi" w:hAnsiTheme="minorBidi"/>
        </w:rPr>
        <w:t>laekumise</w:t>
      </w:r>
      <w:r w:rsidRPr="001B2B43">
        <w:rPr>
          <w:rFonts w:asciiTheme="minorBidi" w:hAnsiTheme="minorBidi"/>
        </w:rPr>
        <w:t xml:space="preserve"> aluseid</w:t>
      </w:r>
      <w:r>
        <w:rPr>
          <w:rFonts w:asciiTheme="minorBidi" w:hAnsiTheme="minorBidi"/>
        </w:rPr>
        <w:t xml:space="preserve"> konkreetselt</w:t>
      </w:r>
      <w:r w:rsidRPr="001B2B43">
        <w:rPr>
          <w:rFonts w:asciiTheme="minorBidi" w:hAnsiTheme="minorBidi"/>
        </w:rPr>
        <w:t xml:space="preserve"> ei ava. </w:t>
      </w:r>
      <w:r>
        <w:rPr>
          <w:rFonts w:asciiTheme="minorBidi" w:hAnsiTheme="minorBidi"/>
        </w:rPr>
        <w:t>Seletuskirjas laused: „</w:t>
      </w:r>
      <w:r w:rsidRPr="007239D2">
        <w:rPr>
          <w:rFonts w:asciiTheme="minorBidi" w:hAnsiTheme="minorBidi"/>
          <w:i/>
          <w:iCs/>
        </w:rPr>
        <w:t>2026. aasta algusesse planeeritav 10% aktsiisimäära tõus toob taas kaasa alkoholi varumise 2025. aasta lõpus, mis hinnanguliselt on keskmiselt ühe kuu jagu. Peamine varumine jääb teise kvartalisse.</w:t>
      </w:r>
      <w:r>
        <w:rPr>
          <w:rFonts w:asciiTheme="minorBidi" w:hAnsiTheme="minorBidi"/>
          <w:i/>
          <w:iCs/>
        </w:rPr>
        <w:t xml:space="preserve">“ (lahja alkoholi mõjude selgitus) </w:t>
      </w:r>
      <w:r w:rsidRPr="00884E9E">
        <w:rPr>
          <w:rFonts w:asciiTheme="minorBidi" w:hAnsiTheme="minorBidi"/>
        </w:rPr>
        <w:t>ning</w:t>
      </w:r>
      <w:r>
        <w:rPr>
          <w:rFonts w:asciiTheme="minorBidi" w:hAnsiTheme="minorBidi"/>
          <w:i/>
          <w:iCs/>
        </w:rPr>
        <w:t xml:space="preserve"> „</w:t>
      </w:r>
      <w:r w:rsidRPr="007239D2">
        <w:rPr>
          <w:rFonts w:asciiTheme="minorBidi" w:hAnsiTheme="minorBidi"/>
          <w:i/>
          <w:iCs/>
        </w:rPr>
        <w:t>Kahel järgmisel aastal, need on 2027 ja 2028, kui aktsiis tõuseb 5% aastas, on oodata samuti varumist, kuid hinnangutes on lähtutud poole väiksematest kogustest võrreldes varasemate aastatega.</w:t>
      </w:r>
      <w:r>
        <w:rPr>
          <w:rFonts w:asciiTheme="minorBidi" w:hAnsiTheme="minorBidi"/>
          <w:i/>
          <w:iCs/>
        </w:rPr>
        <w:t>“</w:t>
      </w:r>
    </w:p>
    <w:p w14:paraId="4BA29321" w14:textId="77777777" w:rsidR="00DC24A2" w:rsidRDefault="00DC24A2" w:rsidP="00DC24A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Kooskõlastamisele esitatud eelnõuga suurendatakse 2026. aastaks kavandatud aktsiisitõusu 5% võrra ja kavandatakse 5%ne aktsiisitõus aastatele 2027 ja 2028. </w:t>
      </w:r>
      <w:r w:rsidRPr="00240D64">
        <w:rPr>
          <w:rFonts w:asciiTheme="minorBidi" w:hAnsiTheme="minorBidi"/>
        </w:rPr>
        <w:t>Positiivne mõju</w:t>
      </w:r>
      <w:r>
        <w:rPr>
          <w:rFonts w:asciiTheme="minorBidi" w:hAnsiTheme="minorBidi"/>
        </w:rPr>
        <w:t xml:space="preserve"> täiendavast 5%lisest aktsiisitõusust</w:t>
      </w:r>
      <w:r w:rsidRPr="00240D64">
        <w:rPr>
          <w:rFonts w:asciiTheme="minorBidi" w:hAnsiTheme="minorBidi"/>
        </w:rPr>
        <w:t xml:space="preserve"> summas 22 mln suurusjärgus 250 mln euro suuruse aktsiisitulu korral </w:t>
      </w:r>
      <w:r>
        <w:rPr>
          <w:rFonts w:asciiTheme="minorBidi" w:hAnsiTheme="minorBidi"/>
        </w:rPr>
        <w:t>(allolev loetelu seletuskirjas lk 22 kirjeldatud eeldused)</w:t>
      </w:r>
      <w:r w:rsidRPr="00240D6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on </w:t>
      </w:r>
    </w:p>
    <w:p w14:paraId="36F336A6" w14:textId="77777777" w:rsidR="00DC24A2" w:rsidRPr="00514E8D" w:rsidRDefault="00DC24A2" w:rsidP="00DC24A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</w:rPr>
      </w:pPr>
      <w:r w:rsidRPr="00514E8D">
        <w:rPr>
          <w:rFonts w:asciiTheme="minorBidi" w:hAnsiTheme="minorBidi"/>
        </w:rPr>
        <w:t xml:space="preserve">tarbimise 5% languse </w:t>
      </w:r>
      <w:r>
        <w:rPr>
          <w:rFonts w:asciiTheme="minorBidi" w:hAnsiTheme="minorBidi"/>
        </w:rPr>
        <w:t>(</w:t>
      </w:r>
      <w:r w:rsidRPr="00884E9E">
        <w:rPr>
          <w:rFonts w:asciiTheme="minorBidi" w:hAnsiTheme="minorBidi"/>
        </w:rPr>
        <w:t>väheneb nii kange alkoholi kui õlle tarbimine keskmiselt 5% aastas</w:t>
      </w:r>
      <w:r>
        <w:rPr>
          <w:rFonts w:asciiTheme="minorBidi" w:hAnsiTheme="minorBidi"/>
        </w:rPr>
        <w:t xml:space="preserve"> 2025 ja 2026) </w:t>
      </w:r>
      <w:r w:rsidRPr="00514E8D">
        <w:rPr>
          <w:rFonts w:asciiTheme="minorBidi" w:hAnsiTheme="minorBidi"/>
        </w:rPr>
        <w:t>ja</w:t>
      </w:r>
    </w:p>
    <w:p w14:paraId="2B845A18" w14:textId="77777777" w:rsidR="00DC24A2" w:rsidRDefault="00DC24A2" w:rsidP="00DC24A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</w:rPr>
      </w:pPr>
      <w:r w:rsidRPr="00240D64">
        <w:rPr>
          <w:rFonts w:asciiTheme="minorBidi" w:hAnsiTheme="minorBidi"/>
        </w:rPr>
        <w:t>piirikaubanduse mahu märgatava kasvu (hinnanguliselt 22% ja õlle puhul 38%</w:t>
      </w:r>
      <w:r>
        <w:rPr>
          <w:rFonts w:asciiTheme="minorBidi" w:hAnsiTheme="minorBidi"/>
        </w:rPr>
        <w:t>,</w:t>
      </w:r>
      <w:r w:rsidRPr="00240D64">
        <w:rPr>
          <w:rFonts w:asciiTheme="minorBidi" w:hAnsiTheme="minorBidi"/>
        </w:rPr>
        <w:t xml:space="preserve"> võrreldes </w:t>
      </w:r>
      <w:r>
        <w:rPr>
          <w:rFonts w:asciiTheme="minorBidi" w:hAnsiTheme="minorBidi"/>
        </w:rPr>
        <w:t>2024.</w:t>
      </w:r>
      <w:r w:rsidRPr="00240D64">
        <w:rPr>
          <w:rFonts w:asciiTheme="minorBidi" w:hAnsiTheme="minorBidi"/>
        </w:rPr>
        <w:t xml:space="preserve"> aasta mahtudega</w:t>
      </w:r>
      <w:r>
        <w:rPr>
          <w:rFonts w:asciiTheme="minorBidi" w:hAnsiTheme="minorBidi"/>
        </w:rPr>
        <w:t>) ning</w:t>
      </w:r>
    </w:p>
    <w:p w14:paraId="0F8111C1" w14:textId="77777777" w:rsidR="00DC24A2" w:rsidRDefault="00DC24A2" w:rsidP="00DC24A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Pr="00240D64">
        <w:rPr>
          <w:rFonts w:asciiTheme="minorBidi" w:hAnsiTheme="minorBidi"/>
        </w:rPr>
        <w:t>uristide ostud</w:t>
      </w:r>
      <w:r>
        <w:rPr>
          <w:rFonts w:asciiTheme="minorBidi" w:hAnsiTheme="minorBidi"/>
        </w:rPr>
        <w:t>e</w:t>
      </w:r>
      <w:r w:rsidRPr="00240D64">
        <w:rPr>
          <w:rFonts w:asciiTheme="minorBidi" w:hAnsiTheme="minorBidi"/>
        </w:rPr>
        <w:t xml:space="preserve"> vähene</w:t>
      </w:r>
      <w:r>
        <w:rPr>
          <w:rFonts w:asciiTheme="minorBidi" w:hAnsiTheme="minorBidi"/>
        </w:rPr>
        <w:t>mise</w:t>
      </w:r>
      <w:r w:rsidRPr="00240D6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240D64">
        <w:rPr>
          <w:rFonts w:asciiTheme="minorBidi" w:hAnsiTheme="minorBidi"/>
        </w:rPr>
        <w:t>kangel alkoholi ca 14% ja õllel ca 24%</w:t>
      </w:r>
      <w:r>
        <w:rPr>
          <w:rFonts w:asciiTheme="minorBidi" w:hAnsiTheme="minorBidi"/>
        </w:rPr>
        <w:t>) korral,</w:t>
      </w:r>
    </w:p>
    <w:p w14:paraId="4CDF0198" w14:textId="4B75D400" w:rsidR="00DC24A2" w:rsidRPr="00BD0F5D" w:rsidRDefault="008C1B33" w:rsidP="008C1B33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näib põgusal analüüsil</w:t>
      </w:r>
      <w:r w:rsidR="00DC24A2">
        <w:rPr>
          <w:rFonts w:asciiTheme="minorBidi" w:hAnsiTheme="minorBidi"/>
        </w:rPr>
        <w:t xml:space="preserve"> ebarealistlik</w:t>
      </w:r>
      <w:r>
        <w:rPr>
          <w:rFonts w:asciiTheme="minorBidi" w:hAnsiTheme="minorBidi"/>
        </w:rPr>
        <w:t xml:space="preserve">. </w:t>
      </w:r>
      <w:r w:rsidR="00DC24A2">
        <w:rPr>
          <w:rFonts w:asciiTheme="minorBidi" w:hAnsiTheme="minorBidi"/>
        </w:rPr>
        <w:t xml:space="preserve">See tähendaks, et aktsiisitulu kasvab eelnõu kohaselt 2026. aastal </w:t>
      </w:r>
      <w:r w:rsidR="00DC24A2" w:rsidRPr="00BD0F5D">
        <w:rPr>
          <w:rFonts w:asciiTheme="minorBidi" w:hAnsiTheme="minorBidi"/>
        </w:rPr>
        <w:t xml:space="preserve">hüppeliselt (32 mln euro võrra) ning stabiliseerub seejärel. </w:t>
      </w:r>
    </w:p>
    <w:tbl>
      <w:tblPr>
        <w:tblW w:w="97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60"/>
        <w:gridCol w:w="960"/>
        <w:gridCol w:w="960"/>
        <w:gridCol w:w="960"/>
        <w:gridCol w:w="960"/>
        <w:gridCol w:w="960"/>
        <w:gridCol w:w="960"/>
        <w:gridCol w:w="960"/>
      </w:tblGrid>
      <w:tr w:rsidR="00DC24A2" w:rsidRPr="00BD0F5D" w14:paraId="1164D53C" w14:textId="77777777" w:rsidTr="0087343D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4D0780" w14:textId="77777777" w:rsidR="00DC24A2" w:rsidRPr="00BD0F5D" w:rsidRDefault="00DC24A2" w:rsidP="0087343D">
            <w:pPr>
              <w:spacing w:after="0" w:line="240" w:lineRule="auto"/>
              <w:jc w:val="both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</w:rPr>
              <w:t> </w:t>
            </w: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fi-FI"/>
              </w:rPr>
              <w:t>(</w:t>
            </w:r>
            <w:proofErr w:type="spellStart"/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fi-FI"/>
              </w:rPr>
              <w:t>mln</w:t>
            </w:r>
            <w:proofErr w:type="spellEnd"/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fi-FI"/>
              </w:rPr>
              <w:t xml:space="preserve"> eur)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2586D5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B237E0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166371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F1D0D4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E50246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95062E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AE8E1" w14:textId="77777777" w:rsidR="00DC24A2" w:rsidRPr="00BD0F5D" w:rsidRDefault="00DC24A2" w:rsidP="0087343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b/>
                <w:bCs/>
                <w:color w:val="000000"/>
                <w:lang w:val="en-US"/>
              </w:rPr>
              <w:t>2028</w:t>
            </w:r>
          </w:p>
        </w:tc>
      </w:tr>
      <w:tr w:rsidR="00DC24A2" w:rsidRPr="00BD0F5D" w14:paraId="70BCF5BC" w14:textId="77777777" w:rsidTr="0087343D">
        <w:trPr>
          <w:trHeight w:val="5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551BF0" w14:textId="77777777" w:rsidR="00DC24A2" w:rsidRPr="00BD0F5D" w:rsidRDefault="00DC24A2" w:rsidP="0087343D">
            <w:pPr>
              <w:spacing w:after="0" w:line="240" w:lineRule="auto"/>
              <w:jc w:val="both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RM </w:t>
            </w:r>
            <w:proofErr w:type="spellStart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suvine</w:t>
            </w:r>
            <w:proofErr w:type="spellEnd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 </w:t>
            </w:r>
            <w:proofErr w:type="spellStart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majandusprognoos</w:t>
            </w:r>
            <w:proofErr w:type="spellEnd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 2024 (</w:t>
            </w:r>
            <w:proofErr w:type="spellStart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lk</w:t>
            </w:r>
            <w:proofErr w:type="spellEnd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 51)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DA86B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D2EFBA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43B120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EEEA86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A7DE9C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13EEE5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C0BA6F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286</w:t>
            </w:r>
          </w:p>
        </w:tc>
      </w:tr>
      <w:tr w:rsidR="00DC24A2" w:rsidRPr="00BD0F5D" w14:paraId="663ECC33" w14:textId="77777777" w:rsidTr="0087343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2C1D18" w14:textId="77777777" w:rsidR="00DC24A2" w:rsidRPr="00BD0F5D" w:rsidRDefault="00DC24A2" w:rsidP="0087343D">
            <w:pPr>
              <w:spacing w:after="0" w:line="240" w:lineRule="auto"/>
              <w:jc w:val="both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proofErr w:type="spellStart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Eelnõu</w:t>
            </w:r>
            <w:proofErr w:type="spellEnd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 </w:t>
            </w:r>
            <w:proofErr w:type="spellStart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seletuskiri</w:t>
            </w:r>
            <w:proofErr w:type="spellEnd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 (Tabel 22, </w:t>
            </w:r>
            <w:proofErr w:type="spellStart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lk</w:t>
            </w:r>
            <w:proofErr w:type="spellEnd"/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 xml:space="preserve"> 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64D57E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5F3052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CD82B2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1BB664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0D7FE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DB17EC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317ABF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-8</w:t>
            </w:r>
          </w:p>
        </w:tc>
      </w:tr>
      <w:tr w:rsidR="00DC24A2" w:rsidRPr="000169C4" w14:paraId="4699622D" w14:textId="77777777" w:rsidTr="0087343D">
        <w:trPr>
          <w:trHeight w:val="75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2CA010" w14:textId="77777777" w:rsidR="00DC24A2" w:rsidRPr="00BD0F5D" w:rsidRDefault="00DC24A2" w:rsidP="0087343D">
            <w:pPr>
              <w:spacing w:after="0" w:line="240" w:lineRule="auto"/>
              <w:jc w:val="both"/>
              <w:rPr>
                <w:rFonts w:ascii="Aptos Narrow" w:eastAsia="Times New Roman" w:hAnsi="Aptos Narrow" w:cs="Calibri"/>
                <w:color w:val="000000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</w:rPr>
              <w:t>2025 eelarve eelnõu (prognoos + aktsiisitõusu eelnõu)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054FFE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DA965E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C77ED9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5A177C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43C2EB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99872A" w14:textId="77777777" w:rsidR="00DC24A2" w:rsidRPr="00BD0F5D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E32F46" w14:textId="77777777" w:rsidR="00DC24A2" w:rsidRPr="000169C4" w:rsidRDefault="00DC24A2" w:rsidP="0087343D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val="en-US"/>
              </w:rPr>
            </w:pPr>
            <w:r w:rsidRPr="00BD0F5D">
              <w:rPr>
                <w:rFonts w:ascii="Aptos Narrow" w:eastAsia="Times New Roman" w:hAnsi="Aptos Narrow" w:cs="Calibri"/>
                <w:color w:val="000000"/>
                <w:lang w:val="en-US"/>
              </w:rPr>
              <w:t>278</w:t>
            </w:r>
          </w:p>
        </w:tc>
      </w:tr>
    </w:tbl>
    <w:p w14:paraId="27203AA4" w14:textId="77777777" w:rsidR="008C1B33" w:rsidRDefault="008C1B33" w:rsidP="00DC24A2">
      <w:pPr>
        <w:jc w:val="both"/>
        <w:rPr>
          <w:rFonts w:asciiTheme="minorBidi" w:hAnsiTheme="minorBidi"/>
        </w:rPr>
      </w:pPr>
    </w:p>
    <w:p w14:paraId="055838B6" w14:textId="425E930E" w:rsidR="00DC24A2" w:rsidRPr="00793474" w:rsidRDefault="008C1B33" w:rsidP="00DC24A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Soovitame lisada seletuskirja selgitused </w:t>
      </w:r>
      <w:r w:rsidRPr="008C1B33">
        <w:rPr>
          <w:rFonts w:asciiTheme="minorBidi" w:hAnsiTheme="minorBidi"/>
          <w:b/>
          <w:bCs/>
        </w:rPr>
        <w:t>miks 2025. aasta</w:t>
      </w:r>
      <w:r>
        <w:rPr>
          <w:rFonts w:asciiTheme="minorBidi" w:hAnsiTheme="minorBidi"/>
          <w:b/>
          <w:bCs/>
        </w:rPr>
        <w:t>l</w:t>
      </w:r>
      <w:r>
        <w:rPr>
          <w:rFonts w:asciiTheme="minorBidi" w:hAnsiTheme="minorBidi"/>
        </w:rPr>
        <w:t xml:space="preserve"> (5% + 5% tõusu korral) </w:t>
      </w:r>
      <w:r w:rsidRPr="002B0FA3">
        <w:rPr>
          <w:rFonts w:asciiTheme="minorBidi" w:hAnsiTheme="minorBidi"/>
          <w:b/>
          <w:bCs/>
        </w:rPr>
        <w:t xml:space="preserve">laekumised võrreldes eelneva aastaga </w:t>
      </w:r>
      <w:r w:rsidR="00C4136B">
        <w:rPr>
          <w:rFonts w:asciiTheme="minorBidi" w:hAnsiTheme="minorBidi"/>
          <w:b/>
          <w:bCs/>
        </w:rPr>
        <w:t>vähenevad</w:t>
      </w:r>
      <w:r w:rsidRPr="002B0FA3">
        <w:rPr>
          <w:rFonts w:asciiTheme="minorBidi" w:hAnsiTheme="minorBidi"/>
          <w:b/>
          <w:bCs/>
        </w:rPr>
        <w:t>, aga 2026. aastal</w:t>
      </w:r>
      <w:r>
        <w:rPr>
          <w:rFonts w:asciiTheme="minorBidi" w:hAnsiTheme="minorBidi"/>
        </w:rPr>
        <w:t xml:space="preserve"> (+10% korral) </w:t>
      </w:r>
      <w:r w:rsidRPr="002B0FA3">
        <w:rPr>
          <w:rFonts w:asciiTheme="minorBidi" w:hAnsiTheme="minorBidi"/>
          <w:b/>
          <w:bCs/>
        </w:rPr>
        <w:t>suureneb eelarvetulu</w:t>
      </w:r>
      <w:r>
        <w:rPr>
          <w:rFonts w:asciiTheme="minorBidi" w:hAnsiTheme="minorBidi"/>
        </w:rPr>
        <w:t xml:space="preserve"> </w:t>
      </w:r>
      <w:r w:rsidRPr="002B0FA3">
        <w:rPr>
          <w:rFonts w:asciiTheme="minorBidi" w:hAnsiTheme="minorBidi"/>
          <w:b/>
          <w:bCs/>
        </w:rPr>
        <w:t>32 mln võrra</w:t>
      </w:r>
      <w:r>
        <w:rPr>
          <w:rFonts w:asciiTheme="minorBidi" w:hAnsiTheme="minorBidi"/>
        </w:rPr>
        <w:t xml:space="preserve"> (kusjuures varumine 2025. aasta lõpus on eeldatud suuremaks kui 2026. aasta lõpus).</w:t>
      </w:r>
    </w:p>
    <w:p w14:paraId="4AE713DA" w14:textId="6D6C616B" w:rsidR="00522020" w:rsidRPr="00023A76" w:rsidRDefault="00522020" w:rsidP="00522020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Leiame, et </w:t>
      </w:r>
      <w:r w:rsidRPr="00D96F54">
        <w:rPr>
          <w:rFonts w:asciiTheme="minorBidi" w:hAnsiTheme="minorBidi"/>
        </w:rPr>
        <w:t>kavandatavast alkoholiaktsiisi tõusust on väga vähe võimalik eelarvepositsiooni parenduseks potentsiaalselt ka optimistlike prognooside korral võita, tõenäosus kõrge aga piirikaubanduse tõttu ohtralt kaotada.</w:t>
      </w:r>
      <w:r w:rsidRPr="00DB49C3">
        <w:rPr>
          <w:rFonts w:asciiTheme="minorBidi" w:hAnsiTheme="minorBidi"/>
        </w:rPr>
        <w:t xml:space="preserve"> </w:t>
      </w:r>
      <w:r w:rsidRPr="00023A76">
        <w:rPr>
          <w:rFonts w:asciiTheme="minorBidi" w:hAnsiTheme="minorBidi"/>
          <w:b/>
          <w:bCs/>
        </w:rPr>
        <w:t>Eelarvele positiivsete mõjude puudumise</w:t>
      </w:r>
      <w:r w:rsidR="000B0D47">
        <w:rPr>
          <w:rFonts w:asciiTheme="minorBidi" w:hAnsiTheme="minorBidi"/>
          <w:b/>
          <w:bCs/>
        </w:rPr>
        <w:t xml:space="preserve"> tõttu</w:t>
      </w:r>
      <w:r w:rsidRPr="00023A76">
        <w:rPr>
          <w:rFonts w:asciiTheme="minorBidi" w:hAnsiTheme="minorBidi"/>
          <w:b/>
          <w:bCs/>
        </w:rPr>
        <w:t xml:space="preserve"> teeme ettepaneku kavandatud aktsiisitõusust loobuda.</w:t>
      </w:r>
    </w:p>
    <w:p w14:paraId="4B90853F" w14:textId="77777777" w:rsidR="008C1B33" w:rsidRDefault="008C1B33" w:rsidP="00522020">
      <w:pPr>
        <w:jc w:val="both"/>
        <w:rPr>
          <w:rFonts w:asciiTheme="minorBidi" w:hAnsiTheme="minorBidi"/>
        </w:rPr>
      </w:pPr>
    </w:p>
    <w:p w14:paraId="1DF1631F" w14:textId="1A76686B" w:rsidR="00522020" w:rsidRPr="00023A76" w:rsidRDefault="00522020" w:rsidP="00522020">
      <w:pPr>
        <w:jc w:val="both"/>
        <w:rPr>
          <w:rFonts w:asciiTheme="minorBidi" w:hAnsiTheme="minorBidi"/>
        </w:rPr>
      </w:pPr>
      <w:r w:rsidRPr="00023A76">
        <w:rPr>
          <w:rFonts w:asciiTheme="minorBidi" w:hAnsiTheme="minorBidi"/>
        </w:rPr>
        <w:t xml:space="preserve">Lugupidamisega </w:t>
      </w:r>
    </w:p>
    <w:p w14:paraId="50745655" w14:textId="77777777" w:rsidR="00522020" w:rsidRDefault="00522020" w:rsidP="00522020">
      <w:pPr>
        <w:jc w:val="both"/>
        <w:rPr>
          <w:rFonts w:asciiTheme="minorBidi" w:hAnsiTheme="minorBidi"/>
        </w:rPr>
      </w:pPr>
    </w:p>
    <w:p w14:paraId="1A20CBF4" w14:textId="77777777" w:rsidR="00522020" w:rsidRPr="00023A76" w:rsidRDefault="00522020" w:rsidP="00522020">
      <w:pPr>
        <w:jc w:val="both"/>
        <w:rPr>
          <w:rFonts w:asciiTheme="minorBidi" w:hAnsiTheme="minorBidi"/>
        </w:rPr>
      </w:pPr>
      <w:r w:rsidRPr="00023A76">
        <w:rPr>
          <w:rFonts w:asciiTheme="minorBidi" w:hAnsiTheme="minorBidi"/>
        </w:rPr>
        <w:t>Janek Kalvi</w:t>
      </w:r>
    </w:p>
    <w:p w14:paraId="773D17A5" w14:textId="77777777" w:rsidR="00522020" w:rsidRPr="00023A76" w:rsidRDefault="00522020" w:rsidP="00522020">
      <w:pPr>
        <w:jc w:val="both"/>
        <w:rPr>
          <w:rFonts w:asciiTheme="minorBidi" w:hAnsiTheme="minorBidi"/>
        </w:rPr>
      </w:pPr>
      <w:r w:rsidRPr="00023A76">
        <w:rPr>
          <w:rFonts w:asciiTheme="minorBidi" w:hAnsiTheme="minorBidi"/>
        </w:rPr>
        <w:t>Alkoholitootjate ja Maaletoojate Liit</w:t>
      </w:r>
    </w:p>
    <w:p w14:paraId="7DC10422" w14:textId="77777777" w:rsidR="00522020" w:rsidRPr="00023A76" w:rsidRDefault="00522020" w:rsidP="00522020">
      <w:pPr>
        <w:jc w:val="both"/>
        <w:rPr>
          <w:rFonts w:asciiTheme="minorBidi" w:hAnsiTheme="minorBidi"/>
        </w:rPr>
      </w:pPr>
      <w:r w:rsidRPr="00023A76">
        <w:rPr>
          <w:rFonts w:asciiTheme="minorBidi" w:hAnsiTheme="minorBidi"/>
        </w:rPr>
        <w:t>Juhatuse esimees</w:t>
      </w:r>
    </w:p>
    <w:sectPr w:rsidR="00522020" w:rsidRPr="00023A76" w:rsidSect="00094043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6FBFD" w14:textId="77777777" w:rsidR="009B7F18" w:rsidRDefault="009B7F18" w:rsidP="00593A09">
      <w:pPr>
        <w:spacing w:after="0" w:line="240" w:lineRule="auto"/>
      </w:pPr>
      <w:r>
        <w:separator/>
      </w:r>
    </w:p>
  </w:endnote>
  <w:endnote w:type="continuationSeparator" w:id="0">
    <w:p w14:paraId="4612A6F8" w14:textId="77777777" w:rsidR="009B7F18" w:rsidRDefault="009B7F18" w:rsidP="0059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9D35" w14:textId="77777777" w:rsidR="00B15ECA" w:rsidRPr="008E37DD" w:rsidRDefault="008E37DD" w:rsidP="00B15ECA">
    <w:pPr>
      <w:pStyle w:val="Footer"/>
      <w:rPr>
        <w:rFonts w:ascii="Arial" w:hAnsi="Arial" w:cs="Arial"/>
        <w:sz w:val="20"/>
        <w:szCs w:val="20"/>
      </w:rPr>
    </w:pPr>
    <w:r w:rsidRPr="008E37DD">
      <w:rPr>
        <w:rFonts w:ascii="Arial" w:hAnsi="Arial" w:cs="Arial"/>
        <w:sz w:val="20"/>
        <w:szCs w:val="20"/>
      </w:rPr>
      <w:t>Masina 11                                 Telefon + 372 550 3904</w:t>
    </w:r>
    <w:r w:rsidRPr="008E37DD">
      <w:rPr>
        <w:rFonts w:ascii="Arial" w:hAnsi="Arial" w:cs="Arial"/>
        <w:sz w:val="20"/>
        <w:szCs w:val="20"/>
      </w:rPr>
      <w:tab/>
    </w:r>
    <w:r w:rsidR="00B15ECA" w:rsidRPr="008E37DD">
      <w:rPr>
        <w:rFonts w:ascii="Arial" w:hAnsi="Arial" w:cs="Arial"/>
        <w:sz w:val="20"/>
        <w:szCs w:val="20"/>
      </w:rPr>
      <w:t>Swedbank kood 767</w:t>
    </w:r>
  </w:p>
  <w:p w14:paraId="5347C841" w14:textId="77777777" w:rsidR="00B15ECA" w:rsidRPr="008E37DD" w:rsidRDefault="00B15ECA" w:rsidP="00B15ECA">
    <w:pPr>
      <w:pStyle w:val="Footer"/>
      <w:rPr>
        <w:rFonts w:ascii="Arial" w:hAnsi="Arial" w:cs="Arial"/>
        <w:sz w:val="20"/>
        <w:szCs w:val="20"/>
      </w:rPr>
    </w:pPr>
    <w:r w:rsidRPr="008E37DD">
      <w:rPr>
        <w:rFonts w:ascii="Arial" w:hAnsi="Arial" w:cs="Arial"/>
        <w:sz w:val="20"/>
        <w:szCs w:val="20"/>
      </w:rPr>
      <w:t>10144 Tallinn                            info@atml.ee                                       IBAN: EE072200221016907219</w:t>
    </w:r>
  </w:p>
  <w:p w14:paraId="538F9A8C" w14:textId="77777777" w:rsidR="00B15ECA" w:rsidRPr="008E37DD" w:rsidRDefault="00B15ECA" w:rsidP="00B15ECA">
    <w:pPr>
      <w:pStyle w:val="Footer"/>
      <w:rPr>
        <w:rFonts w:ascii="Arial" w:hAnsi="Arial" w:cs="Arial"/>
        <w:sz w:val="20"/>
        <w:szCs w:val="20"/>
      </w:rPr>
    </w:pPr>
    <w:r w:rsidRPr="008E37DD">
      <w:rPr>
        <w:rFonts w:ascii="Arial" w:hAnsi="Arial" w:cs="Arial"/>
        <w:sz w:val="20"/>
        <w:szCs w:val="20"/>
      </w:rPr>
      <w:t>Registrikood 80080251</w:t>
    </w:r>
  </w:p>
  <w:p w14:paraId="4728D7EF" w14:textId="77777777" w:rsidR="00B15ECA" w:rsidRDefault="00B15ECA" w:rsidP="00B15ECA">
    <w:pPr>
      <w:pStyle w:val="Footer"/>
    </w:pPr>
  </w:p>
  <w:p w14:paraId="1BB84A43" w14:textId="03DA59D5" w:rsidR="008E37DD" w:rsidRPr="008E37DD" w:rsidRDefault="008E37DD" w:rsidP="00B15ECA">
    <w:pPr>
      <w:pStyle w:val="Footer"/>
      <w:rPr>
        <w:rFonts w:ascii="Arial" w:hAnsi="Arial" w:cs="Arial"/>
        <w:sz w:val="20"/>
        <w:szCs w:val="20"/>
      </w:rPr>
    </w:pPr>
    <w:r w:rsidRPr="008E37DD">
      <w:rPr>
        <w:rFonts w:ascii="Arial" w:hAnsi="Arial" w:cs="Arial"/>
        <w:sz w:val="20"/>
        <w:szCs w:val="20"/>
      </w:rPr>
      <w:tab/>
    </w:r>
    <w:r w:rsidR="00B15ECA">
      <w:rPr>
        <w:rFonts w:ascii="Arial" w:hAnsi="Arial" w:cs="Arial"/>
        <w:sz w:val="20"/>
        <w:szCs w:val="20"/>
      </w:rPr>
      <w:tab/>
    </w:r>
    <w:r w:rsidRPr="008E37DD">
      <w:rPr>
        <w:rFonts w:ascii="Arial" w:hAnsi="Arial" w:cs="Arial"/>
        <w:sz w:val="20"/>
        <w:szCs w:val="20"/>
      </w:rPr>
      <w:t xml:space="preserve">        </w:t>
    </w:r>
  </w:p>
  <w:p w14:paraId="6AB4E94A" w14:textId="77777777" w:rsidR="00B15ECA" w:rsidRDefault="00B15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D102" w14:textId="77777777" w:rsidR="009B7F18" w:rsidRDefault="009B7F18" w:rsidP="00593A09">
      <w:pPr>
        <w:spacing w:after="0" w:line="240" w:lineRule="auto"/>
      </w:pPr>
      <w:r>
        <w:separator/>
      </w:r>
    </w:p>
  </w:footnote>
  <w:footnote w:type="continuationSeparator" w:id="0">
    <w:p w14:paraId="2994B699" w14:textId="77777777" w:rsidR="009B7F18" w:rsidRDefault="009B7F18" w:rsidP="0059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D240" w14:textId="161793A1" w:rsidR="00C53C8C" w:rsidRDefault="00873D6F">
    <w:pPr>
      <w:pStyle w:val="Header"/>
    </w:pPr>
    <w:r>
      <w:rPr>
        <w:noProof/>
      </w:rPr>
      <w:drawing>
        <wp:inline distT="0" distB="0" distL="0" distR="0" wp14:anchorId="2187350C" wp14:editId="2A2E4A11">
          <wp:extent cx="2695575" cy="904875"/>
          <wp:effectExtent l="0" t="0" r="9525" b="9525"/>
          <wp:docPr id="552762060" name="Picture 552762060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580FD" w14:textId="77777777" w:rsidR="00873D6F" w:rsidRDefault="00873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497"/>
    <w:multiLevelType w:val="hybridMultilevel"/>
    <w:tmpl w:val="A5820F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6A8"/>
    <w:multiLevelType w:val="hybridMultilevel"/>
    <w:tmpl w:val="EF24CA88"/>
    <w:lvl w:ilvl="0" w:tplc="A81E2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1B89"/>
    <w:multiLevelType w:val="hybridMultilevel"/>
    <w:tmpl w:val="FA5403B8"/>
    <w:lvl w:ilvl="0" w:tplc="A81E2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45BB"/>
    <w:multiLevelType w:val="hybridMultilevel"/>
    <w:tmpl w:val="938040A6"/>
    <w:lvl w:ilvl="0" w:tplc="4320B0D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00D1E"/>
    <w:multiLevelType w:val="hybridMultilevel"/>
    <w:tmpl w:val="DDE4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6409"/>
    <w:multiLevelType w:val="hybridMultilevel"/>
    <w:tmpl w:val="4FC00B80"/>
    <w:lvl w:ilvl="0" w:tplc="771AA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3100"/>
    <w:multiLevelType w:val="hybridMultilevel"/>
    <w:tmpl w:val="E9700556"/>
    <w:lvl w:ilvl="0" w:tplc="2892EEC6">
      <w:start w:val="20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57ABF"/>
    <w:multiLevelType w:val="hybridMultilevel"/>
    <w:tmpl w:val="1C80CC46"/>
    <w:lvl w:ilvl="0" w:tplc="1AC432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561E3"/>
    <w:multiLevelType w:val="hybridMultilevel"/>
    <w:tmpl w:val="148ED9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239EC"/>
    <w:multiLevelType w:val="hybridMultilevel"/>
    <w:tmpl w:val="691E3C6E"/>
    <w:lvl w:ilvl="0" w:tplc="D22EED90">
      <w:start w:val="20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45944"/>
    <w:multiLevelType w:val="hybridMultilevel"/>
    <w:tmpl w:val="A72CC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66677">
    <w:abstractNumId w:val="8"/>
  </w:num>
  <w:num w:numId="2" w16cid:durableId="630743862">
    <w:abstractNumId w:val="0"/>
  </w:num>
  <w:num w:numId="3" w16cid:durableId="41176330">
    <w:abstractNumId w:val="5"/>
  </w:num>
  <w:num w:numId="4" w16cid:durableId="1038705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067382">
    <w:abstractNumId w:val="4"/>
  </w:num>
  <w:num w:numId="6" w16cid:durableId="390731998">
    <w:abstractNumId w:val="3"/>
  </w:num>
  <w:num w:numId="7" w16cid:durableId="1206335684">
    <w:abstractNumId w:val="9"/>
  </w:num>
  <w:num w:numId="8" w16cid:durableId="1866166196">
    <w:abstractNumId w:val="6"/>
  </w:num>
  <w:num w:numId="9" w16cid:durableId="935018406">
    <w:abstractNumId w:val="3"/>
  </w:num>
  <w:num w:numId="10" w16cid:durableId="1349287437">
    <w:abstractNumId w:val="2"/>
  </w:num>
  <w:num w:numId="11" w16cid:durableId="1933391521">
    <w:abstractNumId w:val="1"/>
  </w:num>
  <w:num w:numId="12" w16cid:durableId="467478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37"/>
    <w:rsid w:val="00012431"/>
    <w:rsid w:val="000125EA"/>
    <w:rsid w:val="000168FC"/>
    <w:rsid w:val="000169C4"/>
    <w:rsid w:val="00023A76"/>
    <w:rsid w:val="00036A50"/>
    <w:rsid w:val="00053330"/>
    <w:rsid w:val="00053F09"/>
    <w:rsid w:val="0005717F"/>
    <w:rsid w:val="0005785E"/>
    <w:rsid w:val="00091291"/>
    <w:rsid w:val="00094043"/>
    <w:rsid w:val="00097329"/>
    <w:rsid w:val="000A156B"/>
    <w:rsid w:val="000B0D47"/>
    <w:rsid w:val="000C2EFB"/>
    <w:rsid w:val="000C4B43"/>
    <w:rsid w:val="000C65ED"/>
    <w:rsid w:val="000D351E"/>
    <w:rsid w:val="000D3B2E"/>
    <w:rsid w:val="000E154E"/>
    <w:rsid w:val="000E5438"/>
    <w:rsid w:val="000E58E9"/>
    <w:rsid w:val="000F6A83"/>
    <w:rsid w:val="00135260"/>
    <w:rsid w:val="00145913"/>
    <w:rsid w:val="00145BAD"/>
    <w:rsid w:val="00170392"/>
    <w:rsid w:val="0017632F"/>
    <w:rsid w:val="00187111"/>
    <w:rsid w:val="0019269C"/>
    <w:rsid w:val="001B2B43"/>
    <w:rsid w:val="001B5485"/>
    <w:rsid w:val="001C0D73"/>
    <w:rsid w:val="001D1DDE"/>
    <w:rsid w:val="001D4D51"/>
    <w:rsid w:val="001D5DEC"/>
    <w:rsid w:val="001F7206"/>
    <w:rsid w:val="00200124"/>
    <w:rsid w:val="0021233A"/>
    <w:rsid w:val="00222C39"/>
    <w:rsid w:val="00224709"/>
    <w:rsid w:val="00237BEB"/>
    <w:rsid w:val="00240D64"/>
    <w:rsid w:val="00243782"/>
    <w:rsid w:val="00247863"/>
    <w:rsid w:val="00253A90"/>
    <w:rsid w:val="002549AA"/>
    <w:rsid w:val="00254D62"/>
    <w:rsid w:val="00263EA8"/>
    <w:rsid w:val="0027366C"/>
    <w:rsid w:val="00285C66"/>
    <w:rsid w:val="00290606"/>
    <w:rsid w:val="002916FC"/>
    <w:rsid w:val="002A3C1C"/>
    <w:rsid w:val="002B0FA3"/>
    <w:rsid w:val="002B3D05"/>
    <w:rsid w:val="002B72F3"/>
    <w:rsid w:val="002C0459"/>
    <w:rsid w:val="002D7735"/>
    <w:rsid w:val="00310307"/>
    <w:rsid w:val="003116DD"/>
    <w:rsid w:val="00311C89"/>
    <w:rsid w:val="0031215B"/>
    <w:rsid w:val="003138FF"/>
    <w:rsid w:val="0033549C"/>
    <w:rsid w:val="0034139A"/>
    <w:rsid w:val="00342E97"/>
    <w:rsid w:val="00347891"/>
    <w:rsid w:val="00352B22"/>
    <w:rsid w:val="0036295D"/>
    <w:rsid w:val="00371023"/>
    <w:rsid w:val="00372C68"/>
    <w:rsid w:val="003735B6"/>
    <w:rsid w:val="00376ACE"/>
    <w:rsid w:val="0037702A"/>
    <w:rsid w:val="00382E9F"/>
    <w:rsid w:val="00390841"/>
    <w:rsid w:val="00395B5F"/>
    <w:rsid w:val="00396D75"/>
    <w:rsid w:val="003A2902"/>
    <w:rsid w:val="003B3582"/>
    <w:rsid w:val="003C3658"/>
    <w:rsid w:val="003D10C8"/>
    <w:rsid w:val="003D5C24"/>
    <w:rsid w:val="003D6E3C"/>
    <w:rsid w:val="004001E3"/>
    <w:rsid w:val="0040770A"/>
    <w:rsid w:val="004269F2"/>
    <w:rsid w:val="00431959"/>
    <w:rsid w:val="00432B54"/>
    <w:rsid w:val="00432D16"/>
    <w:rsid w:val="00434C99"/>
    <w:rsid w:val="00440C14"/>
    <w:rsid w:val="0044110D"/>
    <w:rsid w:val="0045007A"/>
    <w:rsid w:val="00464C30"/>
    <w:rsid w:val="0047271B"/>
    <w:rsid w:val="00475988"/>
    <w:rsid w:val="0049263A"/>
    <w:rsid w:val="004931B4"/>
    <w:rsid w:val="00496F4A"/>
    <w:rsid w:val="004A504E"/>
    <w:rsid w:val="004B55DA"/>
    <w:rsid w:val="004C0AEA"/>
    <w:rsid w:val="004C4092"/>
    <w:rsid w:val="004D7D48"/>
    <w:rsid w:val="004E0737"/>
    <w:rsid w:val="004F65CD"/>
    <w:rsid w:val="004F6A11"/>
    <w:rsid w:val="004F6F2F"/>
    <w:rsid w:val="0050272E"/>
    <w:rsid w:val="0051095D"/>
    <w:rsid w:val="00514E8D"/>
    <w:rsid w:val="00522020"/>
    <w:rsid w:val="00551EA8"/>
    <w:rsid w:val="0056144A"/>
    <w:rsid w:val="00572E7A"/>
    <w:rsid w:val="005757A1"/>
    <w:rsid w:val="00593A09"/>
    <w:rsid w:val="005B1AA0"/>
    <w:rsid w:val="005C6233"/>
    <w:rsid w:val="005D4239"/>
    <w:rsid w:val="005D7E99"/>
    <w:rsid w:val="005E20FD"/>
    <w:rsid w:val="00606FAA"/>
    <w:rsid w:val="006141EA"/>
    <w:rsid w:val="006327D3"/>
    <w:rsid w:val="00642C1F"/>
    <w:rsid w:val="00647886"/>
    <w:rsid w:val="00647B29"/>
    <w:rsid w:val="00660D29"/>
    <w:rsid w:val="006630D0"/>
    <w:rsid w:val="0066522A"/>
    <w:rsid w:val="00667F12"/>
    <w:rsid w:val="00671313"/>
    <w:rsid w:val="00681659"/>
    <w:rsid w:val="00682406"/>
    <w:rsid w:val="006A123B"/>
    <w:rsid w:val="006C7B2D"/>
    <w:rsid w:val="006D2B05"/>
    <w:rsid w:val="006D61AE"/>
    <w:rsid w:val="006F290C"/>
    <w:rsid w:val="00721260"/>
    <w:rsid w:val="00722BBB"/>
    <w:rsid w:val="007239D2"/>
    <w:rsid w:val="00745D05"/>
    <w:rsid w:val="007465BA"/>
    <w:rsid w:val="007624E9"/>
    <w:rsid w:val="007633A8"/>
    <w:rsid w:val="00764A44"/>
    <w:rsid w:val="00765E27"/>
    <w:rsid w:val="00766827"/>
    <w:rsid w:val="00780D1F"/>
    <w:rsid w:val="007821CD"/>
    <w:rsid w:val="00793469"/>
    <w:rsid w:val="00793474"/>
    <w:rsid w:val="007A2D9C"/>
    <w:rsid w:val="007A479E"/>
    <w:rsid w:val="007B2865"/>
    <w:rsid w:val="007B6C78"/>
    <w:rsid w:val="007B72C9"/>
    <w:rsid w:val="007C195D"/>
    <w:rsid w:val="007C32A5"/>
    <w:rsid w:val="007D2F9D"/>
    <w:rsid w:val="007D42AE"/>
    <w:rsid w:val="007E7C5E"/>
    <w:rsid w:val="00806652"/>
    <w:rsid w:val="00816DC4"/>
    <w:rsid w:val="00830E7D"/>
    <w:rsid w:val="00837E2D"/>
    <w:rsid w:val="00842D09"/>
    <w:rsid w:val="0085375F"/>
    <w:rsid w:val="00853EAD"/>
    <w:rsid w:val="00855E23"/>
    <w:rsid w:val="00856447"/>
    <w:rsid w:val="00860C37"/>
    <w:rsid w:val="00865AD3"/>
    <w:rsid w:val="00873D6F"/>
    <w:rsid w:val="00882EE3"/>
    <w:rsid w:val="00884E9E"/>
    <w:rsid w:val="0088591D"/>
    <w:rsid w:val="008925AB"/>
    <w:rsid w:val="00897AAB"/>
    <w:rsid w:val="008C1B33"/>
    <w:rsid w:val="008C61B4"/>
    <w:rsid w:val="008D20B9"/>
    <w:rsid w:val="008E37DD"/>
    <w:rsid w:val="008F1A4F"/>
    <w:rsid w:val="008F3523"/>
    <w:rsid w:val="009008A8"/>
    <w:rsid w:val="009069D0"/>
    <w:rsid w:val="00913939"/>
    <w:rsid w:val="0092583C"/>
    <w:rsid w:val="00955DA1"/>
    <w:rsid w:val="00957771"/>
    <w:rsid w:val="00962CD2"/>
    <w:rsid w:val="00967442"/>
    <w:rsid w:val="009710B5"/>
    <w:rsid w:val="00974BA1"/>
    <w:rsid w:val="0097748D"/>
    <w:rsid w:val="0098048B"/>
    <w:rsid w:val="00990CD4"/>
    <w:rsid w:val="00996D5C"/>
    <w:rsid w:val="009A2220"/>
    <w:rsid w:val="009B0452"/>
    <w:rsid w:val="009B454C"/>
    <w:rsid w:val="009B4952"/>
    <w:rsid w:val="009B7F18"/>
    <w:rsid w:val="009D2534"/>
    <w:rsid w:val="009D4945"/>
    <w:rsid w:val="009E0F79"/>
    <w:rsid w:val="009E77F2"/>
    <w:rsid w:val="009E7875"/>
    <w:rsid w:val="009E7E1E"/>
    <w:rsid w:val="009F3688"/>
    <w:rsid w:val="009F665C"/>
    <w:rsid w:val="00A12250"/>
    <w:rsid w:val="00A129ED"/>
    <w:rsid w:val="00A14832"/>
    <w:rsid w:val="00A16505"/>
    <w:rsid w:val="00A308FB"/>
    <w:rsid w:val="00A33893"/>
    <w:rsid w:val="00A33D10"/>
    <w:rsid w:val="00A40C02"/>
    <w:rsid w:val="00A4546F"/>
    <w:rsid w:val="00A54B92"/>
    <w:rsid w:val="00A61C61"/>
    <w:rsid w:val="00A70E30"/>
    <w:rsid w:val="00A72A7A"/>
    <w:rsid w:val="00A7376E"/>
    <w:rsid w:val="00A8629C"/>
    <w:rsid w:val="00A929D3"/>
    <w:rsid w:val="00AA0EE6"/>
    <w:rsid w:val="00AA198B"/>
    <w:rsid w:val="00AB1B5B"/>
    <w:rsid w:val="00AC486E"/>
    <w:rsid w:val="00AC5C8F"/>
    <w:rsid w:val="00AF50D3"/>
    <w:rsid w:val="00B00845"/>
    <w:rsid w:val="00B1528E"/>
    <w:rsid w:val="00B15ECA"/>
    <w:rsid w:val="00B1757F"/>
    <w:rsid w:val="00B24061"/>
    <w:rsid w:val="00B33A10"/>
    <w:rsid w:val="00B3537D"/>
    <w:rsid w:val="00B442E1"/>
    <w:rsid w:val="00B47E88"/>
    <w:rsid w:val="00B56650"/>
    <w:rsid w:val="00B64FA7"/>
    <w:rsid w:val="00B8197E"/>
    <w:rsid w:val="00B82107"/>
    <w:rsid w:val="00B82867"/>
    <w:rsid w:val="00B9727E"/>
    <w:rsid w:val="00BA7536"/>
    <w:rsid w:val="00BB54BD"/>
    <w:rsid w:val="00BB75E8"/>
    <w:rsid w:val="00BD0F5D"/>
    <w:rsid w:val="00BD1528"/>
    <w:rsid w:val="00BE04FA"/>
    <w:rsid w:val="00BE72C8"/>
    <w:rsid w:val="00BF0845"/>
    <w:rsid w:val="00BF2B10"/>
    <w:rsid w:val="00C048F7"/>
    <w:rsid w:val="00C06D19"/>
    <w:rsid w:val="00C14AB1"/>
    <w:rsid w:val="00C16663"/>
    <w:rsid w:val="00C17CE1"/>
    <w:rsid w:val="00C21291"/>
    <w:rsid w:val="00C21DDF"/>
    <w:rsid w:val="00C3182E"/>
    <w:rsid w:val="00C40916"/>
    <w:rsid w:val="00C4136B"/>
    <w:rsid w:val="00C423D5"/>
    <w:rsid w:val="00C43D3D"/>
    <w:rsid w:val="00C47C27"/>
    <w:rsid w:val="00C53C8C"/>
    <w:rsid w:val="00C60F10"/>
    <w:rsid w:val="00C6675D"/>
    <w:rsid w:val="00C668FB"/>
    <w:rsid w:val="00C716B6"/>
    <w:rsid w:val="00C85979"/>
    <w:rsid w:val="00C955B0"/>
    <w:rsid w:val="00C966A5"/>
    <w:rsid w:val="00CA092A"/>
    <w:rsid w:val="00CA0DB6"/>
    <w:rsid w:val="00CA250D"/>
    <w:rsid w:val="00CB676C"/>
    <w:rsid w:val="00CC1388"/>
    <w:rsid w:val="00CC60B7"/>
    <w:rsid w:val="00CD2842"/>
    <w:rsid w:val="00CD62E6"/>
    <w:rsid w:val="00CE6747"/>
    <w:rsid w:val="00CF11D6"/>
    <w:rsid w:val="00CF3F00"/>
    <w:rsid w:val="00D07C8C"/>
    <w:rsid w:val="00D12A89"/>
    <w:rsid w:val="00D1579B"/>
    <w:rsid w:val="00D25BC9"/>
    <w:rsid w:val="00D317A1"/>
    <w:rsid w:val="00D3301A"/>
    <w:rsid w:val="00D3504C"/>
    <w:rsid w:val="00D703ED"/>
    <w:rsid w:val="00D81D5A"/>
    <w:rsid w:val="00D90D11"/>
    <w:rsid w:val="00D943EC"/>
    <w:rsid w:val="00D96F54"/>
    <w:rsid w:val="00DA59EF"/>
    <w:rsid w:val="00DB01C3"/>
    <w:rsid w:val="00DB432C"/>
    <w:rsid w:val="00DB49C3"/>
    <w:rsid w:val="00DB6987"/>
    <w:rsid w:val="00DC24A2"/>
    <w:rsid w:val="00DC5C76"/>
    <w:rsid w:val="00DD48A8"/>
    <w:rsid w:val="00DE5F35"/>
    <w:rsid w:val="00DE625D"/>
    <w:rsid w:val="00DF0A2F"/>
    <w:rsid w:val="00DF1AE2"/>
    <w:rsid w:val="00E0361C"/>
    <w:rsid w:val="00E04306"/>
    <w:rsid w:val="00E103DF"/>
    <w:rsid w:val="00E1060D"/>
    <w:rsid w:val="00E112A9"/>
    <w:rsid w:val="00E13E95"/>
    <w:rsid w:val="00E14250"/>
    <w:rsid w:val="00E2284A"/>
    <w:rsid w:val="00E22A7B"/>
    <w:rsid w:val="00E22B2D"/>
    <w:rsid w:val="00E22C3C"/>
    <w:rsid w:val="00E34DC3"/>
    <w:rsid w:val="00E6474E"/>
    <w:rsid w:val="00E647A4"/>
    <w:rsid w:val="00E65143"/>
    <w:rsid w:val="00E749C2"/>
    <w:rsid w:val="00E7664E"/>
    <w:rsid w:val="00E8029A"/>
    <w:rsid w:val="00E94099"/>
    <w:rsid w:val="00E94257"/>
    <w:rsid w:val="00EB3FED"/>
    <w:rsid w:val="00EB71D3"/>
    <w:rsid w:val="00EC744D"/>
    <w:rsid w:val="00ED1ECF"/>
    <w:rsid w:val="00ED35EC"/>
    <w:rsid w:val="00EF13BB"/>
    <w:rsid w:val="00F049E1"/>
    <w:rsid w:val="00F10FFE"/>
    <w:rsid w:val="00F11497"/>
    <w:rsid w:val="00F22E14"/>
    <w:rsid w:val="00F43EE4"/>
    <w:rsid w:val="00F51DBE"/>
    <w:rsid w:val="00F57EA1"/>
    <w:rsid w:val="00F8187A"/>
    <w:rsid w:val="00F90723"/>
    <w:rsid w:val="00F947B2"/>
    <w:rsid w:val="00F96374"/>
    <w:rsid w:val="00F96E91"/>
    <w:rsid w:val="00FA5D13"/>
    <w:rsid w:val="00FB2BCF"/>
    <w:rsid w:val="00FB32D5"/>
    <w:rsid w:val="00FD706F"/>
    <w:rsid w:val="00FD7119"/>
    <w:rsid w:val="00FE28EF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B525"/>
  <w15:chartTrackingRefBased/>
  <w15:docId w15:val="{460EA4FA-3022-4462-99A7-72B39B6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09"/>
  </w:style>
  <w:style w:type="paragraph" w:styleId="Footer">
    <w:name w:val="footer"/>
    <w:basedOn w:val="Normal"/>
    <w:link w:val="FooterChar"/>
    <w:uiPriority w:val="99"/>
    <w:unhideWhenUsed/>
    <w:rsid w:val="0059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09"/>
  </w:style>
  <w:style w:type="character" w:styleId="Hyperlink">
    <w:name w:val="Hyperlink"/>
    <w:basedOn w:val="DefaultParagraphFont"/>
    <w:uiPriority w:val="99"/>
    <w:unhideWhenUsed/>
    <w:rsid w:val="00D07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8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D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D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D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8B58-B5DE-40BD-A862-C5D74B3E69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43c8e3-98ed-48a4-b9b6-453dc5b174cb}" enabled="0" method="" siteId="{1143c8e3-98ed-48a4-b9b6-453dc5b174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Krista-Maria Alas</dc:creator>
  <cp:keywords/>
  <dc:description/>
  <cp:lastModifiedBy>Kadri Maasik</cp:lastModifiedBy>
  <cp:revision>7</cp:revision>
  <dcterms:created xsi:type="dcterms:W3CDTF">2024-09-17T15:38:00Z</dcterms:created>
  <dcterms:modified xsi:type="dcterms:W3CDTF">2024-09-17T15:53:00Z</dcterms:modified>
</cp:coreProperties>
</file>