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62"/>
        <w:gridCol w:w="4010"/>
      </w:tblGrid>
      <w:tr w:rsidR="00EA42AE" w14:paraId="2E559C40" w14:textId="77777777" w:rsidTr="00094BF0">
        <w:trPr>
          <w:trHeight w:hRule="exact" w:val="2353"/>
        </w:trPr>
        <w:tc>
          <w:tcPr>
            <w:tcW w:w="5062" w:type="dxa"/>
          </w:tcPr>
          <w:p w14:paraId="2E559C36" w14:textId="77777777" w:rsidR="00EA42AE" w:rsidRPr="00B066FE" w:rsidRDefault="00202D28" w:rsidP="00B066FE">
            <w:pPr>
              <w:rPr>
                <w:sz w:val="20"/>
                <w:szCs w:val="20"/>
              </w:rPr>
            </w:pPr>
            <w:r w:rsidRPr="00B066FE">
              <w:rPr>
                <w:noProof/>
                <w:sz w:val="20"/>
                <w:szCs w:val="20"/>
                <w:lang w:eastAsia="et-EE"/>
              </w:rPr>
              <w:drawing>
                <wp:anchor distT="0" distB="0" distL="114300" distR="114300" simplePos="0" relativeHeight="251658240" behindDoc="0" locked="0" layoutInCell="1" allowOverlap="1" wp14:anchorId="2E559C62" wp14:editId="2E559C63">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tsmin_vapp_est_black.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4010" w:type="dxa"/>
          </w:tcPr>
          <w:p w14:paraId="2E559C37" w14:textId="77777777" w:rsidR="00EA42AE" w:rsidRPr="00B066FE" w:rsidRDefault="00EA42AE" w:rsidP="00B066FE">
            <w:pPr>
              <w:rPr>
                <w:sz w:val="20"/>
                <w:szCs w:val="20"/>
              </w:rPr>
            </w:pPr>
          </w:p>
          <w:p w14:paraId="2E559C38" w14:textId="77777777" w:rsidR="00D35360" w:rsidRPr="00B066FE" w:rsidRDefault="00D35360" w:rsidP="00B066FE">
            <w:pPr>
              <w:rPr>
                <w:sz w:val="20"/>
                <w:szCs w:val="20"/>
              </w:rPr>
            </w:pPr>
          </w:p>
          <w:p w14:paraId="2E559C39" w14:textId="77777777" w:rsidR="00D35360" w:rsidRPr="00B066FE" w:rsidRDefault="00D35360" w:rsidP="00B066FE">
            <w:pPr>
              <w:rPr>
                <w:sz w:val="20"/>
                <w:szCs w:val="20"/>
              </w:rPr>
            </w:pPr>
          </w:p>
          <w:p w14:paraId="2E559C3A" w14:textId="77777777" w:rsidR="00D35360" w:rsidRPr="00B066FE" w:rsidRDefault="00D35360" w:rsidP="00B066FE">
            <w:pPr>
              <w:rPr>
                <w:sz w:val="20"/>
                <w:szCs w:val="20"/>
              </w:rPr>
            </w:pPr>
          </w:p>
          <w:p w14:paraId="2E559C3B" w14:textId="77777777" w:rsidR="00D35360" w:rsidRPr="00B066FE" w:rsidRDefault="00D35360" w:rsidP="00B066FE">
            <w:pPr>
              <w:rPr>
                <w:sz w:val="20"/>
                <w:szCs w:val="20"/>
              </w:rPr>
            </w:pPr>
          </w:p>
          <w:p w14:paraId="2E559C3C" w14:textId="77777777" w:rsidR="00D35360" w:rsidRPr="00B066FE" w:rsidRDefault="00D35360" w:rsidP="00B066FE">
            <w:pPr>
              <w:rPr>
                <w:sz w:val="20"/>
                <w:szCs w:val="20"/>
              </w:rPr>
            </w:pPr>
          </w:p>
          <w:p w14:paraId="2E559C3D" w14:textId="77777777" w:rsidR="00D35360" w:rsidRPr="00B066FE" w:rsidRDefault="00D35360" w:rsidP="00B066FE">
            <w:pPr>
              <w:rPr>
                <w:sz w:val="20"/>
                <w:szCs w:val="20"/>
              </w:rPr>
            </w:pPr>
          </w:p>
          <w:p w14:paraId="2E559C3E" w14:textId="77777777" w:rsidR="00D35360" w:rsidRPr="00B066FE" w:rsidRDefault="00D35360" w:rsidP="00B066FE">
            <w:pPr>
              <w:rPr>
                <w:sz w:val="20"/>
                <w:szCs w:val="20"/>
              </w:rPr>
            </w:pPr>
          </w:p>
          <w:p w14:paraId="2E559C3F" w14:textId="77777777" w:rsidR="00D35360" w:rsidRPr="00B066FE" w:rsidRDefault="00D35360" w:rsidP="00B066FE">
            <w:pPr>
              <w:rPr>
                <w:sz w:val="20"/>
                <w:szCs w:val="20"/>
              </w:rPr>
            </w:pPr>
          </w:p>
        </w:tc>
      </w:tr>
      <w:tr w:rsidR="00EA42AE" w14:paraId="2E559C4A" w14:textId="77777777" w:rsidTr="00094BF0">
        <w:trPr>
          <w:trHeight w:hRule="exact" w:val="1531"/>
        </w:trPr>
        <w:tc>
          <w:tcPr>
            <w:tcW w:w="5062" w:type="dxa"/>
          </w:tcPr>
          <w:p w14:paraId="2E559C41" w14:textId="77777777" w:rsidR="00EA42AE" w:rsidRDefault="00C16907" w:rsidP="00B066FE">
            <w:r>
              <w:t>MINISTRI MÄÄRUS</w:t>
            </w:r>
          </w:p>
        </w:tc>
        <w:tc>
          <w:tcPr>
            <w:tcW w:w="4010" w:type="dxa"/>
          </w:tcPr>
          <w:p w14:paraId="2E559C42" w14:textId="77777777" w:rsidR="00EA42AE" w:rsidRDefault="00EA42AE" w:rsidP="00B066FE"/>
          <w:p w14:paraId="2E559C43" w14:textId="77777777" w:rsidR="0009319A" w:rsidRDefault="0009319A" w:rsidP="00B066FE"/>
          <w:p w14:paraId="2E559C44" w14:textId="77777777" w:rsidR="0009319A" w:rsidRDefault="0009319A" w:rsidP="00B066FE"/>
          <w:tbl>
            <w:tblPr>
              <w:tblpPr w:leftFromText="180" w:rightFromText="180" w:vertAnchor="text" w:horzAnchor="margin" w:tblpY="1"/>
              <w:tblOverlap w:val="never"/>
              <w:tblW w:w="3965" w:type="dxa"/>
              <w:tblLook w:val="0000" w:firstRow="0" w:lastRow="0" w:firstColumn="0" w:lastColumn="0" w:noHBand="0" w:noVBand="0"/>
            </w:tblPr>
            <w:tblGrid>
              <w:gridCol w:w="1276"/>
              <w:gridCol w:w="2689"/>
            </w:tblGrid>
            <w:tr w:rsidR="00C16907" w:rsidRPr="00425DCB" w14:paraId="2E559C47" w14:textId="77777777" w:rsidTr="000C6B61">
              <w:trPr>
                <w:trHeight w:val="281"/>
              </w:trPr>
              <w:tc>
                <w:tcPr>
                  <w:tcW w:w="1276" w:type="dxa"/>
                </w:tcPr>
                <w:p w14:paraId="2E559C45" w14:textId="64FDE7C1" w:rsidR="00C16907" w:rsidRPr="00425DCB" w:rsidRDefault="00FE755F" w:rsidP="00C16907">
                  <w:pPr>
                    <w:ind w:left="-108" w:right="-108"/>
                    <w:rPr>
                      <w:rFonts w:eastAsia="Times New Roman" w:cs="Arial"/>
                    </w:rPr>
                  </w:pPr>
                  <w:r>
                    <w:rPr>
                      <w:rFonts w:eastAsia="Times New Roman" w:cs="Arial"/>
                    </w:rPr>
                    <w:fldChar w:fldCharType="begin"/>
                  </w:r>
                  <w:r w:rsidR="00E27230">
                    <w:rPr>
                      <w:rFonts w:eastAsia="Times New Roman" w:cs="Arial"/>
                    </w:rPr>
                    <w:instrText xml:space="preserve"> delta_regDateTime  \* MERGEFORMAT</w:instrText>
                  </w:r>
                  <w:r>
                    <w:rPr>
                      <w:rFonts w:eastAsia="Times New Roman" w:cs="Arial"/>
                    </w:rPr>
                    <w:fldChar w:fldCharType="separate"/>
                  </w:r>
                  <w:r w:rsidR="00E27230">
                    <w:rPr>
                      <w:rFonts w:eastAsia="Times New Roman" w:cs="Arial"/>
                    </w:rPr>
                    <w:t>30.04.2024</w:t>
                  </w:r>
                  <w:r>
                    <w:rPr>
                      <w:rFonts w:eastAsia="Times New Roman" w:cs="Arial"/>
                    </w:rPr>
                    <w:fldChar w:fldCharType="end"/>
                  </w:r>
                </w:p>
              </w:tc>
              <w:tc>
                <w:tcPr>
                  <w:tcW w:w="2689" w:type="dxa"/>
                </w:tcPr>
                <w:p w14:paraId="2E559C46" w14:textId="45E2E268" w:rsidR="00C16907" w:rsidRPr="00425DCB" w:rsidRDefault="00C16907" w:rsidP="00FE755F">
                  <w:pPr>
                    <w:ind w:right="-62"/>
                    <w:rPr>
                      <w:rFonts w:eastAsia="Times New Roman" w:cs="Arial"/>
                    </w:rPr>
                  </w:pPr>
                  <w:r w:rsidRPr="00425DCB">
                    <w:rPr>
                      <w:rFonts w:eastAsia="Times New Roman" w:cs="Arial"/>
                    </w:rPr>
                    <w:t xml:space="preserve">nr </w:t>
                  </w:r>
                  <w:r w:rsidR="00FE755F">
                    <w:rPr>
                      <w:rFonts w:eastAsia="Times New Roman" w:cs="Arial"/>
                    </w:rPr>
                    <w:fldChar w:fldCharType="begin"/>
                  </w:r>
                  <w:r w:rsidR="00E27230">
                    <w:rPr>
                      <w:rFonts w:eastAsia="Times New Roman" w:cs="Arial"/>
                    </w:rPr>
                    <w:instrText xml:space="preserve"> delta_regNumber  \* MERGEFORMAT</w:instrText>
                  </w:r>
                  <w:r w:rsidR="00FE755F">
                    <w:rPr>
                      <w:rFonts w:eastAsia="Times New Roman" w:cs="Arial"/>
                    </w:rPr>
                    <w:fldChar w:fldCharType="separate"/>
                  </w:r>
                  <w:r w:rsidR="00E27230">
                    <w:rPr>
                      <w:rFonts w:eastAsia="Times New Roman" w:cs="Arial"/>
                    </w:rPr>
                    <w:t>19</w:t>
                  </w:r>
                  <w:r w:rsidR="00FE755F">
                    <w:rPr>
                      <w:rFonts w:eastAsia="Times New Roman" w:cs="Arial"/>
                    </w:rPr>
                    <w:fldChar w:fldCharType="end"/>
                  </w:r>
                </w:p>
              </w:tc>
            </w:tr>
          </w:tbl>
          <w:p w14:paraId="2E559C48" w14:textId="77777777" w:rsidR="0009319A" w:rsidRDefault="0009319A" w:rsidP="00B066FE"/>
          <w:p w14:paraId="2E559C49" w14:textId="77777777" w:rsidR="0009319A" w:rsidRDefault="0009319A" w:rsidP="00B066FE"/>
        </w:tc>
      </w:tr>
      <w:tr w:rsidR="00EA42AE" w:rsidRPr="002534CF" w14:paraId="2E559C4F" w14:textId="77777777" w:rsidTr="00094BF0">
        <w:trPr>
          <w:trHeight w:val="624"/>
        </w:trPr>
        <w:tc>
          <w:tcPr>
            <w:tcW w:w="5062" w:type="dxa"/>
          </w:tcPr>
          <w:p w14:paraId="2E559C4B" w14:textId="29A8B92E" w:rsidR="00C21D9A" w:rsidRPr="00BE50BD" w:rsidRDefault="003B3E67" w:rsidP="00B066FE">
            <w:pPr>
              <w:rPr>
                <w:b/>
                <w:bCs/>
              </w:rPr>
            </w:pPr>
            <w:r w:rsidRPr="00BE50BD">
              <w:rPr>
                <w:b/>
                <w:bCs/>
              </w:rPr>
              <w:fldChar w:fldCharType="begin"/>
            </w:r>
            <w:r w:rsidR="00E27230">
              <w:rPr>
                <w:b/>
                <w:bCs/>
              </w:rPr>
              <w:instrText xml:space="preserve"> delta_docName  \* MERGEFORMAT</w:instrText>
            </w:r>
            <w:r w:rsidRPr="00BE50BD">
              <w:rPr>
                <w:b/>
                <w:bCs/>
              </w:rPr>
              <w:fldChar w:fldCharType="separate"/>
            </w:r>
            <w:r w:rsidR="00E27230">
              <w:rPr>
                <w:b/>
                <w:bCs/>
              </w:rPr>
              <w:t>Sotsiaalministri ning tervise- ja tööministri määruste muutmine töövõimetuse ennetamise rakendamiseks</w:t>
            </w:r>
            <w:r w:rsidRPr="00BE50BD">
              <w:rPr>
                <w:b/>
                <w:bCs/>
              </w:rPr>
              <w:fldChar w:fldCharType="end"/>
            </w:r>
          </w:p>
          <w:p w14:paraId="2E559C4C" w14:textId="77777777" w:rsidR="00FE4683" w:rsidRPr="002534CF" w:rsidRDefault="00FE4683" w:rsidP="00B066FE">
            <w:pPr>
              <w:rPr>
                <w:rFonts w:cs="Arial"/>
              </w:rPr>
            </w:pPr>
          </w:p>
          <w:p w14:paraId="2E559C4D" w14:textId="77777777" w:rsidR="00FE4683" w:rsidRPr="002534CF" w:rsidRDefault="00FE4683" w:rsidP="00B066FE">
            <w:pPr>
              <w:rPr>
                <w:rFonts w:cs="Arial"/>
              </w:rPr>
            </w:pPr>
          </w:p>
        </w:tc>
        <w:tc>
          <w:tcPr>
            <w:tcW w:w="4010" w:type="dxa"/>
          </w:tcPr>
          <w:p w14:paraId="2E559C4E" w14:textId="77777777" w:rsidR="00EA42AE" w:rsidRPr="002534CF" w:rsidRDefault="00EA42AE" w:rsidP="00B066FE"/>
        </w:tc>
      </w:tr>
    </w:tbl>
    <w:p w14:paraId="2E559C50" w14:textId="2D9F3749" w:rsidR="00094BF0" w:rsidRDefault="00937803" w:rsidP="00937803">
      <w:pPr>
        <w:jc w:val="both"/>
        <w:rPr>
          <w:rFonts w:cs="Arial"/>
        </w:rPr>
      </w:pPr>
      <w:r w:rsidRPr="00937803">
        <w:t>Määrus kehtestatakse ravikindlustuse seaduse § 32, § 52 lõike 4, § 53 lõike 7 ja Tervisekassa seaduse § 46</w:t>
      </w:r>
      <w:r w:rsidRPr="00317114">
        <w:rPr>
          <w:vertAlign w:val="superscript"/>
        </w:rPr>
        <w:t>5</w:t>
      </w:r>
      <w:r w:rsidRPr="00937803">
        <w:t xml:space="preserve"> lõike 1 alusel.</w:t>
      </w:r>
    </w:p>
    <w:p w14:paraId="2E559C51" w14:textId="77777777" w:rsidR="007352AA" w:rsidRDefault="007352AA" w:rsidP="00094BF0">
      <w:pPr>
        <w:rPr>
          <w:rFonts w:cs="Arial"/>
        </w:rPr>
      </w:pPr>
    </w:p>
    <w:p w14:paraId="3A14F504" w14:textId="77777777" w:rsidR="00853A2A" w:rsidRPr="00853A2A" w:rsidRDefault="00853A2A" w:rsidP="00853A2A">
      <w:pPr>
        <w:jc w:val="both"/>
        <w:rPr>
          <w:b/>
          <w:bCs/>
        </w:rPr>
      </w:pPr>
      <w:r w:rsidRPr="00853A2A">
        <w:rPr>
          <w:b/>
          <w:bCs/>
        </w:rPr>
        <w:t>§ 1. Sotsiaalministri 19. septembri 2002. a määruse nr 109 „Ajutise töövõimetuse hüvitise määramiseks ja maksmiseks vajalike dokumentide ja andmete koosseis ning hüvitise määramise ja maksmise kord“ muutmine</w:t>
      </w:r>
      <w:bookmarkStart w:id="0" w:name="_Hlk157678941"/>
      <w:bookmarkStart w:id="1" w:name="_Hlk157678706"/>
      <w:bookmarkEnd w:id="0"/>
      <w:bookmarkEnd w:id="1"/>
    </w:p>
    <w:p w14:paraId="51085F29" w14:textId="77777777" w:rsidR="00853A2A" w:rsidRPr="00853A2A" w:rsidRDefault="00853A2A" w:rsidP="00853A2A">
      <w:pPr>
        <w:jc w:val="both"/>
        <w:rPr>
          <w:b/>
          <w:bCs/>
        </w:rPr>
      </w:pPr>
    </w:p>
    <w:p w14:paraId="49379763" w14:textId="77777777" w:rsidR="00853A2A" w:rsidRPr="00853A2A" w:rsidRDefault="00853A2A" w:rsidP="00853A2A">
      <w:pPr>
        <w:jc w:val="both"/>
      </w:pPr>
      <w:r w:rsidRPr="00853A2A">
        <w:t>Sotsiaalministri 19. septembri 2002. a määruses nr 109 „Ajutise töövõimetuse hüvitise määramiseks ja maksmiseks vajalike dokumentide ja andmete koosseis ning hüvitise määramise ja maksmise kord“ tehakse järgmised muudatused:</w:t>
      </w:r>
    </w:p>
    <w:p w14:paraId="74B79597" w14:textId="77777777" w:rsidR="00853A2A" w:rsidRPr="00853A2A" w:rsidRDefault="00853A2A" w:rsidP="00853A2A">
      <w:pPr>
        <w:jc w:val="both"/>
      </w:pPr>
    </w:p>
    <w:p w14:paraId="41F2BFE3" w14:textId="77777777" w:rsidR="00853A2A" w:rsidRPr="00853A2A" w:rsidRDefault="00853A2A" w:rsidP="00853A2A">
      <w:pPr>
        <w:jc w:val="both"/>
      </w:pPr>
      <w:bookmarkStart w:id="2" w:name="para1lg2p1"/>
      <w:bookmarkEnd w:id="2"/>
      <w:r w:rsidRPr="00853A2A">
        <w:rPr>
          <w:b/>
          <w:bCs/>
        </w:rPr>
        <w:t>1)</w:t>
      </w:r>
      <w:r w:rsidRPr="00853A2A">
        <w:t xml:space="preserve"> määruse pealkiri sõnastatakse järgmiselt:</w:t>
      </w:r>
    </w:p>
    <w:p w14:paraId="18B82F06" w14:textId="77777777" w:rsidR="00853A2A" w:rsidRPr="00853A2A" w:rsidRDefault="00853A2A" w:rsidP="00853A2A">
      <w:pPr>
        <w:jc w:val="both"/>
      </w:pPr>
    </w:p>
    <w:p w14:paraId="6CF0BE90" w14:textId="77777777" w:rsidR="00853A2A" w:rsidRPr="00853A2A" w:rsidRDefault="00853A2A" w:rsidP="00853A2A">
      <w:pPr>
        <w:jc w:val="both"/>
      </w:pPr>
      <w:r w:rsidRPr="00853A2A">
        <w:t>„</w:t>
      </w:r>
      <w:r w:rsidRPr="00853A2A">
        <w:rPr>
          <w:b/>
          <w:bCs/>
        </w:rPr>
        <w:t>Ajutise töövõimetuse hüvitise määramine ja maksmine</w:t>
      </w:r>
      <w:r w:rsidRPr="00853A2A">
        <w:t>“;</w:t>
      </w:r>
    </w:p>
    <w:p w14:paraId="6ACB7BCB" w14:textId="77777777" w:rsidR="00853A2A" w:rsidRPr="00853A2A" w:rsidRDefault="00853A2A" w:rsidP="00853A2A">
      <w:pPr>
        <w:jc w:val="both"/>
      </w:pPr>
    </w:p>
    <w:p w14:paraId="1B5900BA" w14:textId="77777777" w:rsidR="00853A2A" w:rsidRPr="00853A2A" w:rsidRDefault="00853A2A" w:rsidP="00853A2A">
      <w:pPr>
        <w:jc w:val="both"/>
      </w:pPr>
      <w:r w:rsidRPr="00853A2A">
        <w:rPr>
          <w:b/>
          <w:bCs/>
        </w:rPr>
        <w:t>2)</w:t>
      </w:r>
      <w:r w:rsidRPr="00853A2A">
        <w:t xml:space="preserve"> paragrahvi 1 lõige 2 tunnistatakse kehtetuks; </w:t>
      </w:r>
    </w:p>
    <w:p w14:paraId="407D9B4A" w14:textId="77777777" w:rsidR="00853A2A" w:rsidRPr="00853A2A" w:rsidRDefault="00853A2A" w:rsidP="00853A2A">
      <w:pPr>
        <w:jc w:val="both"/>
      </w:pPr>
    </w:p>
    <w:p w14:paraId="2DBB36CF" w14:textId="77777777" w:rsidR="00853A2A" w:rsidRPr="00853A2A" w:rsidRDefault="00853A2A" w:rsidP="00853A2A">
      <w:pPr>
        <w:jc w:val="both"/>
      </w:pPr>
      <w:r w:rsidRPr="00853A2A">
        <w:rPr>
          <w:b/>
          <w:bCs/>
        </w:rPr>
        <w:t>3)</w:t>
      </w:r>
      <w:r w:rsidRPr="00853A2A">
        <w:t xml:space="preserve"> paragrahvi 3 punkt 1 tunnistatakse kehtetuks;</w:t>
      </w:r>
    </w:p>
    <w:p w14:paraId="02325D46" w14:textId="77777777" w:rsidR="00853A2A" w:rsidRPr="00853A2A" w:rsidRDefault="00853A2A" w:rsidP="00853A2A">
      <w:pPr>
        <w:jc w:val="both"/>
      </w:pPr>
    </w:p>
    <w:p w14:paraId="6130F123" w14:textId="77777777" w:rsidR="00853A2A" w:rsidRPr="00853A2A" w:rsidRDefault="00853A2A" w:rsidP="00853A2A">
      <w:pPr>
        <w:jc w:val="both"/>
      </w:pPr>
      <w:r w:rsidRPr="00853A2A">
        <w:rPr>
          <w:b/>
          <w:bCs/>
        </w:rPr>
        <w:t>4)</w:t>
      </w:r>
      <w:r w:rsidRPr="00853A2A">
        <w:t xml:space="preserve"> paragrahvi 3 punkt 6 sõnastatakse järgmiselt:</w:t>
      </w:r>
    </w:p>
    <w:p w14:paraId="2D9FBA17" w14:textId="77777777" w:rsidR="00853A2A" w:rsidRPr="00853A2A" w:rsidRDefault="00853A2A" w:rsidP="00853A2A">
      <w:pPr>
        <w:jc w:val="both"/>
      </w:pPr>
    </w:p>
    <w:p w14:paraId="63B2BDD3" w14:textId="77777777" w:rsidR="00853A2A" w:rsidRPr="00853A2A" w:rsidRDefault="00853A2A" w:rsidP="00853A2A">
      <w:pPr>
        <w:jc w:val="both"/>
      </w:pPr>
      <w:r w:rsidRPr="00853A2A">
        <w:t>„6) andmed tööõnnetuse või kutsehaiguse raporti kohta;“;</w:t>
      </w:r>
    </w:p>
    <w:p w14:paraId="5B292DB4" w14:textId="77777777" w:rsidR="00853A2A" w:rsidRPr="00853A2A" w:rsidRDefault="00853A2A" w:rsidP="00853A2A">
      <w:pPr>
        <w:jc w:val="both"/>
      </w:pPr>
    </w:p>
    <w:p w14:paraId="55CB3B5D" w14:textId="77777777" w:rsidR="00853A2A" w:rsidRPr="00853A2A" w:rsidRDefault="00853A2A" w:rsidP="00853A2A">
      <w:pPr>
        <w:jc w:val="both"/>
      </w:pPr>
      <w:r w:rsidRPr="00853A2A">
        <w:rPr>
          <w:b/>
          <w:bCs/>
        </w:rPr>
        <w:t>5)</w:t>
      </w:r>
      <w:r w:rsidRPr="00853A2A">
        <w:t xml:space="preserve"> paragrahvi 5 pealkiri sõnastatakse järgmiselt:</w:t>
      </w:r>
    </w:p>
    <w:p w14:paraId="70B14AFB" w14:textId="77777777" w:rsidR="00853A2A" w:rsidRPr="00853A2A" w:rsidRDefault="00853A2A" w:rsidP="00853A2A">
      <w:pPr>
        <w:jc w:val="both"/>
      </w:pPr>
    </w:p>
    <w:p w14:paraId="5C96641C" w14:textId="77777777" w:rsidR="00853A2A" w:rsidRPr="00853A2A" w:rsidRDefault="00853A2A" w:rsidP="00853A2A">
      <w:pPr>
        <w:jc w:val="both"/>
      </w:pPr>
      <w:r w:rsidRPr="00853A2A">
        <w:t>„</w:t>
      </w:r>
      <w:r w:rsidRPr="00853A2A">
        <w:rPr>
          <w:b/>
          <w:bCs/>
        </w:rPr>
        <w:t>§ 5. Maksu- ja Tolliametist saadav andmekoosseis</w:t>
      </w:r>
      <w:r w:rsidRPr="00853A2A">
        <w:t>“;</w:t>
      </w:r>
    </w:p>
    <w:p w14:paraId="108B79CA" w14:textId="77777777" w:rsidR="00853A2A" w:rsidRPr="00853A2A" w:rsidRDefault="00853A2A" w:rsidP="00853A2A">
      <w:pPr>
        <w:jc w:val="both"/>
      </w:pPr>
    </w:p>
    <w:p w14:paraId="51CBF846" w14:textId="77777777" w:rsidR="00853A2A" w:rsidRPr="00853A2A" w:rsidRDefault="00853A2A" w:rsidP="00853A2A">
      <w:pPr>
        <w:jc w:val="both"/>
      </w:pPr>
      <w:r w:rsidRPr="00853A2A">
        <w:rPr>
          <w:b/>
          <w:bCs/>
        </w:rPr>
        <w:t>6)</w:t>
      </w:r>
      <w:r w:rsidRPr="00853A2A">
        <w:t xml:space="preserve"> paragrahvi 7</w:t>
      </w:r>
      <w:r w:rsidRPr="00853A2A">
        <w:rPr>
          <w:vertAlign w:val="superscript"/>
        </w:rPr>
        <w:t>1</w:t>
      </w:r>
      <w:r w:rsidRPr="00853A2A">
        <w:t xml:space="preserve"> punkt 1 sõnastatakse järgmiselt:</w:t>
      </w:r>
    </w:p>
    <w:p w14:paraId="1900709F" w14:textId="77777777" w:rsidR="00853A2A" w:rsidRPr="00853A2A" w:rsidRDefault="00853A2A" w:rsidP="00853A2A">
      <w:pPr>
        <w:jc w:val="both"/>
      </w:pPr>
    </w:p>
    <w:p w14:paraId="40ED3969" w14:textId="77777777" w:rsidR="00853A2A" w:rsidRPr="00853A2A" w:rsidRDefault="00853A2A" w:rsidP="00853A2A">
      <w:pPr>
        <w:jc w:val="both"/>
      </w:pPr>
      <w:r w:rsidRPr="00853A2A">
        <w:t>„1) tööandjana sotsiaalmaksu maksva äriühingu äriregistri kood ja nimi või riigi- ja kohaliku omavalitsuse asutuste riiklikku registrisse kantud asutuse registrikood ja nimi või mittetulundusühingute ja sihtasutuste registrisse kantud juriidilise isiku registrikood ja nimi või äriregistrisse kantud füüsilisest isikust ettevõtja äriregistri kood ning notari ja kohtutäituri ees- ja perekonnanimi ja isikukood;“;</w:t>
      </w:r>
    </w:p>
    <w:p w14:paraId="67C04D14" w14:textId="77777777" w:rsidR="00853A2A" w:rsidRPr="00853A2A" w:rsidRDefault="00853A2A" w:rsidP="00853A2A">
      <w:pPr>
        <w:jc w:val="both"/>
      </w:pPr>
    </w:p>
    <w:p w14:paraId="5759F399" w14:textId="77777777" w:rsidR="00853A2A" w:rsidRPr="00853A2A" w:rsidRDefault="00853A2A" w:rsidP="00853A2A">
      <w:pPr>
        <w:jc w:val="both"/>
      </w:pPr>
      <w:r w:rsidRPr="00853A2A">
        <w:rPr>
          <w:b/>
          <w:bCs/>
        </w:rPr>
        <w:t>7)</w:t>
      </w:r>
      <w:r w:rsidRPr="00853A2A">
        <w:t xml:space="preserve"> paragrahvi 7</w:t>
      </w:r>
      <w:r w:rsidRPr="00853A2A">
        <w:rPr>
          <w:vertAlign w:val="superscript"/>
        </w:rPr>
        <w:t>1</w:t>
      </w:r>
      <w:r w:rsidRPr="00853A2A">
        <w:t xml:space="preserve"> punkt 5 sõnastatakse järgmiselt:</w:t>
      </w:r>
    </w:p>
    <w:p w14:paraId="30E30DAC" w14:textId="77777777" w:rsidR="00853A2A" w:rsidRPr="00853A2A" w:rsidRDefault="00853A2A" w:rsidP="00853A2A">
      <w:pPr>
        <w:jc w:val="both"/>
      </w:pPr>
    </w:p>
    <w:p w14:paraId="11905834" w14:textId="77777777" w:rsidR="00853A2A" w:rsidRPr="00853A2A" w:rsidRDefault="00853A2A" w:rsidP="00853A2A">
      <w:pPr>
        <w:jc w:val="both"/>
      </w:pPr>
      <w:r w:rsidRPr="00853A2A">
        <w:lastRenderedPageBreak/>
        <w:t>„5) fakt, kas kindlustatud isikule anti terviseseisundile vastav töö või viidi ta kergemale tööle üle, selle periood ja perioodil makstav töötasu;“;</w:t>
      </w:r>
    </w:p>
    <w:p w14:paraId="699478C3" w14:textId="77777777" w:rsidR="00853A2A" w:rsidRPr="00853A2A" w:rsidRDefault="00853A2A" w:rsidP="00853A2A">
      <w:pPr>
        <w:jc w:val="both"/>
      </w:pPr>
    </w:p>
    <w:p w14:paraId="7FE9C1AE" w14:textId="6B9B6D48" w:rsidR="00853A2A" w:rsidRPr="00853A2A" w:rsidRDefault="00853A2A" w:rsidP="00853A2A">
      <w:pPr>
        <w:jc w:val="both"/>
      </w:pPr>
      <w:r w:rsidRPr="00853A2A">
        <w:rPr>
          <w:b/>
          <w:bCs/>
        </w:rPr>
        <w:t>8)</w:t>
      </w:r>
      <w:r w:rsidR="003B3E67">
        <w:t xml:space="preserve"> </w:t>
      </w:r>
      <w:r w:rsidRPr="00853A2A">
        <w:t>paragrahvi 7</w:t>
      </w:r>
      <w:r w:rsidRPr="00853A2A">
        <w:rPr>
          <w:vertAlign w:val="superscript"/>
        </w:rPr>
        <w:t>1</w:t>
      </w:r>
      <w:r w:rsidRPr="00853A2A">
        <w:t xml:space="preserve"> punktist 6 jäetakse välja tekstiosa „või § 6 lõikes 4“; </w:t>
      </w:r>
    </w:p>
    <w:p w14:paraId="45B81F2E" w14:textId="77777777" w:rsidR="00853A2A" w:rsidRPr="00853A2A" w:rsidRDefault="00853A2A" w:rsidP="00853A2A">
      <w:pPr>
        <w:jc w:val="both"/>
      </w:pPr>
    </w:p>
    <w:p w14:paraId="43910200" w14:textId="09CC7724" w:rsidR="00853A2A" w:rsidRPr="00853A2A" w:rsidRDefault="00853A2A" w:rsidP="00853A2A">
      <w:pPr>
        <w:jc w:val="both"/>
      </w:pPr>
      <w:r w:rsidRPr="00853A2A">
        <w:rPr>
          <w:b/>
          <w:bCs/>
        </w:rPr>
        <w:t>9)</w:t>
      </w:r>
      <w:r w:rsidR="003B3E67">
        <w:t xml:space="preserve"> </w:t>
      </w:r>
      <w:r w:rsidRPr="00853A2A">
        <w:t>paragrahvi 11 tekstist jäetakse välja tekstiosa „„Pärimisseadusest tulenevate notari ametitoimingute tegemise ja pärimisregistri pidamise kord““;</w:t>
      </w:r>
    </w:p>
    <w:p w14:paraId="2D068F1F" w14:textId="77777777" w:rsidR="00853A2A" w:rsidRPr="00853A2A" w:rsidRDefault="00853A2A" w:rsidP="00853A2A">
      <w:pPr>
        <w:jc w:val="both"/>
      </w:pPr>
    </w:p>
    <w:p w14:paraId="6FAD58EC" w14:textId="77777777" w:rsidR="00853A2A" w:rsidRPr="00853A2A" w:rsidRDefault="00853A2A" w:rsidP="00853A2A">
      <w:pPr>
        <w:jc w:val="both"/>
      </w:pPr>
      <w:r w:rsidRPr="00853A2A">
        <w:rPr>
          <w:b/>
          <w:bCs/>
        </w:rPr>
        <w:t>10)</w:t>
      </w:r>
      <w:r w:rsidRPr="00853A2A">
        <w:t xml:space="preserve"> paragrahvi 14 lõige 1 tunnistatakse kehtetuks;</w:t>
      </w:r>
    </w:p>
    <w:p w14:paraId="68394C92" w14:textId="77777777" w:rsidR="00853A2A" w:rsidRPr="00853A2A" w:rsidRDefault="00853A2A" w:rsidP="00853A2A">
      <w:pPr>
        <w:jc w:val="both"/>
      </w:pPr>
    </w:p>
    <w:p w14:paraId="793B5A2C" w14:textId="77777777" w:rsidR="00853A2A" w:rsidRPr="00853A2A" w:rsidRDefault="00853A2A" w:rsidP="00853A2A">
      <w:pPr>
        <w:jc w:val="both"/>
      </w:pPr>
      <w:r w:rsidRPr="00853A2A">
        <w:rPr>
          <w:b/>
          <w:bCs/>
        </w:rPr>
        <w:t>11)</w:t>
      </w:r>
      <w:r w:rsidRPr="00853A2A">
        <w:t xml:space="preserve"> paragrahvi 15 lõige 2 sõnastatakse järgmiselt:</w:t>
      </w:r>
    </w:p>
    <w:p w14:paraId="74FF41B8" w14:textId="77777777" w:rsidR="00853A2A" w:rsidRPr="00853A2A" w:rsidRDefault="00853A2A" w:rsidP="00853A2A">
      <w:pPr>
        <w:jc w:val="both"/>
      </w:pPr>
    </w:p>
    <w:p w14:paraId="7F8913DF" w14:textId="77777777" w:rsidR="00853A2A" w:rsidRPr="00853A2A" w:rsidRDefault="00853A2A" w:rsidP="00853A2A">
      <w:pPr>
        <w:jc w:val="both"/>
      </w:pPr>
      <w:r w:rsidRPr="00853A2A">
        <w:t>„(2)  Tööandja, füüsilisest isikust ettevõtja või ettevõtlustulu maksu maksja teeb töövõimetuslehele oma kanded elektrooniliselt või paberil seitsme kalendripäeva jooksul alates töövõimetuslehe lõpetamisest teadasaamisest.“.</w:t>
      </w:r>
    </w:p>
    <w:p w14:paraId="48CC3EBC" w14:textId="77777777" w:rsidR="00853A2A" w:rsidRPr="00853A2A" w:rsidRDefault="00853A2A" w:rsidP="00853A2A">
      <w:pPr>
        <w:jc w:val="both"/>
      </w:pPr>
    </w:p>
    <w:p w14:paraId="5E8F7B5A" w14:textId="77777777" w:rsidR="00853A2A" w:rsidRPr="00853A2A" w:rsidRDefault="00853A2A" w:rsidP="00853A2A">
      <w:pPr>
        <w:jc w:val="both"/>
        <w:rPr>
          <w:b/>
          <w:bCs/>
        </w:rPr>
      </w:pPr>
      <w:r w:rsidRPr="00853A2A">
        <w:rPr>
          <w:b/>
          <w:bCs/>
        </w:rPr>
        <w:t>§ 2. Sotsiaalministri 19. jaanuari 2007. a määruse nr 9 „Kindlustatud isikult tasu maksmise kohustuse Tervisekassa poolt ülevõtmise kord ja tervishoiuteenuse osutajatele makstava tasu arvutamise metoodika“ muutmine</w:t>
      </w:r>
    </w:p>
    <w:p w14:paraId="417C095B" w14:textId="77777777" w:rsidR="00853A2A" w:rsidRPr="00853A2A" w:rsidRDefault="00853A2A" w:rsidP="00853A2A">
      <w:pPr>
        <w:jc w:val="both"/>
        <w:rPr>
          <w:b/>
          <w:bCs/>
        </w:rPr>
      </w:pPr>
    </w:p>
    <w:p w14:paraId="4E7FC3D8" w14:textId="77777777" w:rsidR="00853A2A" w:rsidRPr="00853A2A" w:rsidRDefault="00853A2A" w:rsidP="00853A2A">
      <w:pPr>
        <w:jc w:val="both"/>
      </w:pPr>
      <w:r w:rsidRPr="00853A2A">
        <w:t>Sotsiaalministri 19. jaanuari 2007. a määruse nr 9 „Kindlustatud isikult tasu maksmise kohustuse Tervisekassa poolt ülevõtmise kord ja tervishoiuteenuse osutajatele makstava tasu arvutamise metoodika“ lisa nr 65 asendatakse käesoleva määruse lisaga.</w:t>
      </w:r>
    </w:p>
    <w:p w14:paraId="168922DE" w14:textId="77777777" w:rsidR="00853A2A" w:rsidRPr="00853A2A" w:rsidRDefault="00853A2A" w:rsidP="00853A2A">
      <w:pPr>
        <w:jc w:val="both"/>
        <w:rPr>
          <w:b/>
          <w:bCs/>
        </w:rPr>
      </w:pPr>
    </w:p>
    <w:p w14:paraId="260B599E" w14:textId="77777777" w:rsidR="00853A2A" w:rsidRPr="00853A2A" w:rsidRDefault="00853A2A" w:rsidP="00853A2A">
      <w:pPr>
        <w:jc w:val="both"/>
        <w:rPr>
          <w:b/>
          <w:bCs/>
        </w:rPr>
      </w:pPr>
      <w:r w:rsidRPr="00853A2A">
        <w:rPr>
          <w:b/>
          <w:bCs/>
        </w:rPr>
        <w:t>§ 3. Tervise- ja tööministri 6. märtsi 2019. a määruse nr 14 „Tervisekassa andmekogu pidamise põhimäärus“ muutmine</w:t>
      </w:r>
      <w:bookmarkStart w:id="3" w:name="_Hlk157678719"/>
      <w:bookmarkStart w:id="4" w:name="_Hlk157678961"/>
      <w:bookmarkEnd w:id="3"/>
      <w:bookmarkEnd w:id="4"/>
    </w:p>
    <w:p w14:paraId="1C79DA5E" w14:textId="77777777" w:rsidR="00853A2A" w:rsidRPr="00853A2A" w:rsidRDefault="00853A2A" w:rsidP="00853A2A">
      <w:pPr>
        <w:jc w:val="both"/>
        <w:rPr>
          <w:b/>
          <w:bCs/>
        </w:rPr>
      </w:pPr>
    </w:p>
    <w:p w14:paraId="09BB0512" w14:textId="77777777" w:rsidR="00853A2A" w:rsidRPr="00853A2A" w:rsidRDefault="00853A2A" w:rsidP="00853A2A">
      <w:pPr>
        <w:jc w:val="both"/>
      </w:pPr>
      <w:r w:rsidRPr="00853A2A">
        <w:t>Tervise- ja tööministri 6. märtsi 2019. a määruses nr 14 „Tervisekassa andmekogu pidamise põhimäärus“ tehakse järgmised muudatused:</w:t>
      </w:r>
    </w:p>
    <w:p w14:paraId="66BE2A80" w14:textId="77777777" w:rsidR="00853A2A" w:rsidRPr="00853A2A" w:rsidRDefault="00853A2A" w:rsidP="00853A2A">
      <w:pPr>
        <w:jc w:val="both"/>
      </w:pPr>
    </w:p>
    <w:p w14:paraId="28715BB9" w14:textId="77777777" w:rsidR="00853A2A" w:rsidRPr="00853A2A" w:rsidRDefault="00853A2A" w:rsidP="00853A2A">
      <w:pPr>
        <w:jc w:val="both"/>
      </w:pPr>
      <w:r w:rsidRPr="00853A2A">
        <w:rPr>
          <w:b/>
          <w:bCs/>
        </w:rPr>
        <w:t>1)</w:t>
      </w:r>
      <w:r w:rsidRPr="00853A2A">
        <w:t xml:space="preserve"> paragrahvi 7 lõike 5 punkt 2 sõnastatakse järgmiselt:</w:t>
      </w:r>
    </w:p>
    <w:p w14:paraId="1FD89F47" w14:textId="77777777" w:rsidR="00853A2A" w:rsidRPr="00853A2A" w:rsidRDefault="00853A2A" w:rsidP="00853A2A">
      <w:pPr>
        <w:jc w:val="both"/>
      </w:pPr>
    </w:p>
    <w:p w14:paraId="54631CD1" w14:textId="77777777" w:rsidR="00853A2A" w:rsidRPr="00853A2A" w:rsidRDefault="00853A2A" w:rsidP="00853A2A">
      <w:pPr>
        <w:jc w:val="both"/>
      </w:pPr>
      <w:r w:rsidRPr="00853A2A">
        <w:t>„2) tööõnnetuse raporti number ja tööõnnetuse toimumise kuupäev;“;</w:t>
      </w:r>
    </w:p>
    <w:p w14:paraId="79555657" w14:textId="77777777" w:rsidR="00853A2A" w:rsidRPr="00853A2A" w:rsidRDefault="00853A2A" w:rsidP="00853A2A">
      <w:pPr>
        <w:jc w:val="both"/>
      </w:pPr>
    </w:p>
    <w:p w14:paraId="59DE2E55" w14:textId="77777777" w:rsidR="00853A2A" w:rsidRPr="00853A2A" w:rsidRDefault="00853A2A" w:rsidP="00853A2A">
      <w:pPr>
        <w:jc w:val="both"/>
      </w:pPr>
      <w:r w:rsidRPr="00853A2A">
        <w:rPr>
          <w:b/>
          <w:bCs/>
        </w:rPr>
        <w:t>2)</w:t>
      </w:r>
      <w:r w:rsidRPr="00853A2A">
        <w:t xml:space="preserve"> paragrahvi 7 lõige 5 punkt 4 tunnistatakse kehtetuks;</w:t>
      </w:r>
    </w:p>
    <w:p w14:paraId="3BA44DEB" w14:textId="77777777" w:rsidR="00853A2A" w:rsidRPr="00853A2A" w:rsidRDefault="00853A2A" w:rsidP="00853A2A">
      <w:pPr>
        <w:jc w:val="both"/>
      </w:pPr>
    </w:p>
    <w:p w14:paraId="294DFE73" w14:textId="77777777" w:rsidR="00853A2A" w:rsidRPr="00853A2A" w:rsidRDefault="00853A2A" w:rsidP="00853A2A">
      <w:pPr>
        <w:jc w:val="both"/>
      </w:pPr>
      <w:r w:rsidRPr="00853A2A">
        <w:rPr>
          <w:b/>
          <w:bCs/>
        </w:rPr>
        <w:t>3)</w:t>
      </w:r>
      <w:r w:rsidRPr="00853A2A">
        <w:t xml:space="preserve"> paragrahvi 7 lõike 5 punkt 12 sõnastatakse järgmiselt:</w:t>
      </w:r>
    </w:p>
    <w:p w14:paraId="30273F98" w14:textId="77777777" w:rsidR="00853A2A" w:rsidRPr="00853A2A" w:rsidRDefault="00853A2A" w:rsidP="00853A2A">
      <w:pPr>
        <w:jc w:val="both"/>
      </w:pPr>
    </w:p>
    <w:p w14:paraId="6CBF7E70" w14:textId="77777777" w:rsidR="00853A2A" w:rsidRPr="00853A2A" w:rsidRDefault="00853A2A" w:rsidP="00853A2A">
      <w:pPr>
        <w:jc w:val="both"/>
      </w:pPr>
      <w:r w:rsidRPr="00853A2A">
        <w:t>„12) märge töövõimetuslehe lõpetamisest;“;</w:t>
      </w:r>
    </w:p>
    <w:p w14:paraId="09626ED3" w14:textId="77777777" w:rsidR="00853A2A" w:rsidRPr="00853A2A" w:rsidRDefault="00853A2A" w:rsidP="00853A2A">
      <w:pPr>
        <w:jc w:val="both"/>
      </w:pPr>
    </w:p>
    <w:p w14:paraId="204249EE" w14:textId="77777777" w:rsidR="00853A2A" w:rsidRPr="00853A2A" w:rsidRDefault="00853A2A" w:rsidP="00853A2A">
      <w:pPr>
        <w:jc w:val="both"/>
      </w:pPr>
      <w:r w:rsidRPr="00853A2A">
        <w:rPr>
          <w:b/>
          <w:bCs/>
        </w:rPr>
        <w:t>4)</w:t>
      </w:r>
      <w:r w:rsidRPr="00853A2A">
        <w:t xml:space="preserve"> paragrahvi 7 lõiget 5 täiendatakse punktiga 14</w:t>
      </w:r>
      <w:r w:rsidRPr="00853A2A">
        <w:rPr>
          <w:vertAlign w:val="superscript"/>
        </w:rPr>
        <w:t>1</w:t>
      </w:r>
      <w:r w:rsidRPr="00853A2A">
        <w:t xml:space="preserve"> järgmises sõnastuses:</w:t>
      </w:r>
    </w:p>
    <w:p w14:paraId="2A1AE88F" w14:textId="77777777" w:rsidR="00853A2A" w:rsidRPr="00853A2A" w:rsidRDefault="00853A2A" w:rsidP="00853A2A">
      <w:pPr>
        <w:jc w:val="both"/>
      </w:pPr>
    </w:p>
    <w:p w14:paraId="65587928" w14:textId="77777777" w:rsidR="00853A2A" w:rsidRPr="00853A2A" w:rsidRDefault="00853A2A" w:rsidP="00853A2A">
      <w:pPr>
        <w:jc w:val="both"/>
      </w:pPr>
      <w:r w:rsidRPr="00853A2A">
        <w:t>„14</w:t>
      </w:r>
      <w:r w:rsidRPr="00853A2A">
        <w:rPr>
          <w:vertAlign w:val="superscript"/>
        </w:rPr>
        <w:t>1</w:t>
      </w:r>
      <w:r w:rsidRPr="00853A2A">
        <w:t>) töövõimetuslehe kehtetuks tunnistamise põhjus;“;</w:t>
      </w:r>
    </w:p>
    <w:p w14:paraId="0E2CF11D" w14:textId="77777777" w:rsidR="00853A2A" w:rsidRPr="00853A2A" w:rsidRDefault="00853A2A" w:rsidP="00853A2A">
      <w:pPr>
        <w:jc w:val="both"/>
      </w:pPr>
    </w:p>
    <w:p w14:paraId="6D2AA97E" w14:textId="77777777" w:rsidR="00853A2A" w:rsidRPr="00853A2A" w:rsidRDefault="00853A2A" w:rsidP="00853A2A">
      <w:pPr>
        <w:jc w:val="both"/>
      </w:pPr>
      <w:r w:rsidRPr="00853A2A">
        <w:rPr>
          <w:b/>
        </w:rPr>
        <w:t>5)</w:t>
      </w:r>
      <w:r w:rsidRPr="00853A2A">
        <w:t xml:space="preserve"> paragrahvi 7 lõiget 5 täiendatakse punktidega 17</w:t>
      </w:r>
      <w:r w:rsidRPr="00853A2A">
        <w:rPr>
          <w:vertAlign w:val="superscript"/>
        </w:rPr>
        <w:t xml:space="preserve">1 </w:t>
      </w:r>
      <w:r w:rsidRPr="00853A2A">
        <w:t>ja 17</w:t>
      </w:r>
      <w:r w:rsidRPr="00853A2A">
        <w:rPr>
          <w:vertAlign w:val="superscript"/>
        </w:rPr>
        <w:t>2</w:t>
      </w:r>
      <w:r w:rsidRPr="00853A2A">
        <w:t xml:space="preserve"> järgmises sõnastuses:</w:t>
      </w:r>
    </w:p>
    <w:p w14:paraId="18B53D50" w14:textId="77777777" w:rsidR="00853A2A" w:rsidRPr="00853A2A" w:rsidRDefault="00853A2A" w:rsidP="00853A2A">
      <w:pPr>
        <w:jc w:val="both"/>
      </w:pPr>
      <w:r w:rsidRPr="00853A2A">
        <w:t xml:space="preserve"> </w:t>
      </w:r>
    </w:p>
    <w:p w14:paraId="7BFDE752" w14:textId="77777777" w:rsidR="00853A2A" w:rsidRPr="00853A2A" w:rsidRDefault="00853A2A" w:rsidP="00853A2A">
      <w:pPr>
        <w:jc w:val="both"/>
      </w:pPr>
      <w:r w:rsidRPr="00853A2A">
        <w:t>„17</w:t>
      </w:r>
      <w:r w:rsidRPr="00853A2A">
        <w:rPr>
          <w:vertAlign w:val="superscript"/>
        </w:rPr>
        <w:t>1</w:t>
      </w:r>
      <w:r w:rsidRPr="00853A2A">
        <w:t>) perehüvitiste seaduse § 33 tähenduses vanemahüvitist saama õigustatud isiku jagatava vanemahüvitise või lapsendaja vanemahüvitise päeva määr;</w:t>
      </w:r>
    </w:p>
    <w:p w14:paraId="56A03D02" w14:textId="77777777" w:rsidR="00853A2A" w:rsidRPr="00853A2A" w:rsidRDefault="00853A2A" w:rsidP="00853A2A">
      <w:pPr>
        <w:jc w:val="both"/>
      </w:pPr>
      <w:r w:rsidRPr="00853A2A">
        <w:t>17</w:t>
      </w:r>
      <w:r w:rsidRPr="00853A2A">
        <w:rPr>
          <w:vertAlign w:val="superscript"/>
        </w:rPr>
        <w:t>2</w:t>
      </w:r>
      <w:r w:rsidRPr="00853A2A">
        <w:t xml:space="preserve">) lapse sünnikuupäev;“; </w:t>
      </w:r>
    </w:p>
    <w:p w14:paraId="5C515842" w14:textId="77777777" w:rsidR="00853A2A" w:rsidRPr="00853A2A" w:rsidRDefault="00853A2A" w:rsidP="00853A2A">
      <w:pPr>
        <w:jc w:val="both"/>
      </w:pPr>
    </w:p>
    <w:p w14:paraId="37B3B059" w14:textId="77777777" w:rsidR="00853A2A" w:rsidRPr="00853A2A" w:rsidRDefault="00853A2A" w:rsidP="00853A2A">
      <w:pPr>
        <w:jc w:val="both"/>
      </w:pPr>
      <w:r w:rsidRPr="00853A2A">
        <w:rPr>
          <w:b/>
          <w:bCs/>
        </w:rPr>
        <w:t>6)</w:t>
      </w:r>
      <w:r w:rsidRPr="00853A2A">
        <w:t xml:space="preserve"> paragrahvi 7 lõiget 5 täiendatakse punktiga 20</w:t>
      </w:r>
      <w:r w:rsidRPr="00853A2A">
        <w:rPr>
          <w:vertAlign w:val="superscript"/>
        </w:rPr>
        <w:t>1</w:t>
      </w:r>
      <w:r w:rsidRPr="00853A2A">
        <w:t xml:space="preserve"> järgmises sõnastuses:</w:t>
      </w:r>
    </w:p>
    <w:p w14:paraId="03810E0B" w14:textId="77777777" w:rsidR="00853A2A" w:rsidRPr="00853A2A" w:rsidRDefault="00853A2A" w:rsidP="00853A2A">
      <w:pPr>
        <w:jc w:val="both"/>
      </w:pPr>
    </w:p>
    <w:p w14:paraId="090468F5" w14:textId="77777777" w:rsidR="00853A2A" w:rsidRPr="00853A2A" w:rsidRDefault="00853A2A" w:rsidP="00853A2A">
      <w:pPr>
        <w:jc w:val="both"/>
      </w:pPr>
      <w:r w:rsidRPr="00853A2A">
        <w:t>„20</w:t>
      </w:r>
      <w:r w:rsidRPr="00853A2A">
        <w:rPr>
          <w:vertAlign w:val="superscript"/>
        </w:rPr>
        <w:t>1</w:t>
      </w:r>
      <w:r w:rsidRPr="00853A2A">
        <w:t>) info tööandjale töötingimuste terviseseisundile vastavaks kohandamiseks;“;</w:t>
      </w:r>
    </w:p>
    <w:p w14:paraId="093B31E2" w14:textId="77777777" w:rsidR="00853A2A" w:rsidRPr="00853A2A" w:rsidRDefault="00853A2A" w:rsidP="00853A2A">
      <w:pPr>
        <w:jc w:val="both"/>
      </w:pPr>
    </w:p>
    <w:p w14:paraId="3EF56B64" w14:textId="77777777" w:rsidR="00853A2A" w:rsidRPr="00853A2A" w:rsidRDefault="00853A2A" w:rsidP="00853A2A">
      <w:pPr>
        <w:jc w:val="both"/>
      </w:pPr>
      <w:r w:rsidRPr="00853A2A">
        <w:rPr>
          <w:b/>
        </w:rPr>
        <w:t>7)</w:t>
      </w:r>
      <w:r w:rsidRPr="00853A2A">
        <w:t xml:space="preserve"> paragrahvi 8 täiendatakse lõikega 8</w:t>
      </w:r>
      <w:r w:rsidRPr="00853A2A">
        <w:rPr>
          <w:vertAlign w:val="superscript"/>
        </w:rPr>
        <w:t>2</w:t>
      </w:r>
      <w:r w:rsidRPr="00853A2A">
        <w:t xml:space="preserve"> järgmises sõnastuses: </w:t>
      </w:r>
    </w:p>
    <w:p w14:paraId="6825AF52" w14:textId="77777777" w:rsidR="00853A2A" w:rsidRPr="00853A2A" w:rsidRDefault="00853A2A" w:rsidP="00853A2A">
      <w:pPr>
        <w:jc w:val="both"/>
      </w:pPr>
    </w:p>
    <w:p w14:paraId="08C3CE62" w14:textId="77777777" w:rsidR="00853A2A" w:rsidRPr="00853A2A" w:rsidRDefault="00853A2A" w:rsidP="00853A2A">
      <w:pPr>
        <w:jc w:val="both"/>
      </w:pPr>
      <w:r w:rsidRPr="00853A2A">
        <w:lastRenderedPageBreak/>
        <w:t>„(8</w:t>
      </w:r>
      <w:r w:rsidRPr="00853A2A">
        <w:rPr>
          <w:vertAlign w:val="superscript"/>
        </w:rPr>
        <w:t>2</w:t>
      </w:r>
      <w:r w:rsidRPr="00853A2A">
        <w:t>) Sotsiaalkaitse infosüsteem edastab andmekogule § 7 lõike 5 punktis 17</w:t>
      </w:r>
      <w:r w:rsidRPr="00853A2A">
        <w:rPr>
          <w:vertAlign w:val="superscript"/>
        </w:rPr>
        <w:t>1</w:t>
      </w:r>
      <w:r w:rsidRPr="00853A2A">
        <w:t xml:space="preserve"> ja 17</w:t>
      </w:r>
      <w:r w:rsidRPr="00853A2A">
        <w:rPr>
          <w:vertAlign w:val="superscript"/>
        </w:rPr>
        <w:t>2</w:t>
      </w:r>
      <w:r w:rsidRPr="00853A2A">
        <w:t xml:space="preserve"> nimetatud andmed.“; </w:t>
      </w:r>
    </w:p>
    <w:p w14:paraId="5AD1472A" w14:textId="77777777" w:rsidR="00853A2A" w:rsidRPr="00853A2A" w:rsidRDefault="00853A2A" w:rsidP="00853A2A">
      <w:pPr>
        <w:jc w:val="both"/>
      </w:pPr>
    </w:p>
    <w:p w14:paraId="29A3EDA0" w14:textId="77777777" w:rsidR="00853A2A" w:rsidRPr="00853A2A" w:rsidRDefault="00853A2A" w:rsidP="00853A2A">
      <w:pPr>
        <w:jc w:val="both"/>
      </w:pPr>
      <w:r w:rsidRPr="00853A2A">
        <w:rPr>
          <w:b/>
          <w:bCs/>
        </w:rPr>
        <w:t>8)</w:t>
      </w:r>
      <w:r w:rsidRPr="00853A2A">
        <w:t xml:space="preserve"> paragrahvi 8 täiendatakse lõikega 9</w:t>
      </w:r>
      <w:r w:rsidRPr="00853A2A">
        <w:rPr>
          <w:vertAlign w:val="superscript"/>
        </w:rPr>
        <w:t>1</w:t>
      </w:r>
      <w:r w:rsidRPr="00853A2A">
        <w:t xml:space="preserve"> järgmises sõnastuses:</w:t>
      </w:r>
    </w:p>
    <w:p w14:paraId="10DFE506" w14:textId="77777777" w:rsidR="00853A2A" w:rsidRPr="00853A2A" w:rsidRDefault="00853A2A" w:rsidP="00853A2A">
      <w:pPr>
        <w:jc w:val="both"/>
      </w:pPr>
    </w:p>
    <w:p w14:paraId="7861DF1C" w14:textId="77777777" w:rsidR="00853A2A" w:rsidRPr="00853A2A" w:rsidRDefault="00853A2A" w:rsidP="00853A2A">
      <w:pPr>
        <w:jc w:val="both"/>
        <w:rPr>
          <w:b/>
          <w:bCs/>
        </w:rPr>
      </w:pPr>
      <w:r w:rsidRPr="00853A2A">
        <w:t>„(9</w:t>
      </w:r>
      <w:r w:rsidRPr="00853A2A">
        <w:rPr>
          <w:vertAlign w:val="superscript"/>
        </w:rPr>
        <w:t>1</w:t>
      </w:r>
      <w:r w:rsidRPr="00853A2A">
        <w:t>) Kohtutäiturite ja Pankrotihaldurite Koda ning Notarite Koda edastavad andmekogule § 7 lõike 2 punktides 1–3, 5 ja 7 nimetatud andmed.“.</w:t>
      </w:r>
    </w:p>
    <w:p w14:paraId="5DB91D65" w14:textId="77777777" w:rsidR="00853A2A" w:rsidRPr="00853A2A" w:rsidRDefault="00853A2A" w:rsidP="00853A2A">
      <w:pPr>
        <w:jc w:val="both"/>
      </w:pPr>
    </w:p>
    <w:p w14:paraId="21A99F02" w14:textId="77777777" w:rsidR="00853A2A" w:rsidRPr="00853A2A" w:rsidRDefault="00853A2A" w:rsidP="00853A2A">
      <w:pPr>
        <w:jc w:val="both"/>
        <w:rPr>
          <w:b/>
          <w:bCs/>
        </w:rPr>
      </w:pPr>
      <w:r w:rsidRPr="00853A2A">
        <w:rPr>
          <w:b/>
          <w:bCs/>
        </w:rPr>
        <w:t xml:space="preserve">§ 4. </w:t>
      </w:r>
      <w:bookmarkStart w:id="5" w:name="_Hlk157678729"/>
      <w:r w:rsidRPr="00853A2A">
        <w:rPr>
          <w:b/>
          <w:bCs/>
        </w:rPr>
        <w:t>Tervise- ja tööministri 22. juuli 2022. a määruse nr 62 „Töövõimetuslehe vormistamine ja edastamine Tervisekassale“</w:t>
      </w:r>
      <w:bookmarkEnd w:id="5"/>
      <w:r w:rsidRPr="00853A2A">
        <w:rPr>
          <w:b/>
          <w:bCs/>
        </w:rPr>
        <w:t xml:space="preserve"> muutmine</w:t>
      </w:r>
    </w:p>
    <w:p w14:paraId="0345D81C" w14:textId="77777777" w:rsidR="00853A2A" w:rsidRPr="00853A2A" w:rsidRDefault="00853A2A" w:rsidP="00853A2A">
      <w:pPr>
        <w:jc w:val="both"/>
      </w:pPr>
    </w:p>
    <w:p w14:paraId="29806F7B" w14:textId="77777777" w:rsidR="00853A2A" w:rsidRPr="00853A2A" w:rsidRDefault="00853A2A" w:rsidP="00853A2A">
      <w:pPr>
        <w:jc w:val="both"/>
      </w:pPr>
      <w:r w:rsidRPr="00853A2A">
        <w:t>Tervise- ja tööministri 22. juuli 2022. a määruses nr 62 „Töövõimetuslehe vormistamine ja edastamine Tervisekassale“  tehakse järgmised muudatused:</w:t>
      </w:r>
      <w:bookmarkStart w:id="6" w:name="_Hlk131662693"/>
      <w:bookmarkEnd w:id="6"/>
    </w:p>
    <w:p w14:paraId="3F419C33" w14:textId="77777777" w:rsidR="00853A2A" w:rsidRPr="00853A2A" w:rsidRDefault="00853A2A" w:rsidP="00853A2A">
      <w:pPr>
        <w:jc w:val="both"/>
      </w:pPr>
    </w:p>
    <w:p w14:paraId="53122B31" w14:textId="77777777" w:rsidR="00853A2A" w:rsidRPr="00853A2A" w:rsidRDefault="00853A2A" w:rsidP="00853A2A">
      <w:pPr>
        <w:jc w:val="both"/>
      </w:pPr>
      <w:r w:rsidRPr="00853A2A">
        <w:rPr>
          <w:b/>
          <w:bCs/>
        </w:rPr>
        <w:t>1)</w:t>
      </w:r>
      <w:r w:rsidRPr="00853A2A">
        <w:t xml:space="preserve"> määruse pealkiri sõnastatakse järgmiselt:</w:t>
      </w:r>
    </w:p>
    <w:p w14:paraId="7B0FC865" w14:textId="77777777" w:rsidR="00853A2A" w:rsidRPr="00853A2A" w:rsidRDefault="00853A2A" w:rsidP="00853A2A">
      <w:pPr>
        <w:jc w:val="both"/>
      </w:pPr>
    </w:p>
    <w:p w14:paraId="2787C37A" w14:textId="77777777" w:rsidR="00853A2A" w:rsidRPr="00853A2A" w:rsidRDefault="00853A2A" w:rsidP="00853A2A">
      <w:pPr>
        <w:jc w:val="both"/>
      </w:pPr>
      <w:r w:rsidRPr="00853A2A">
        <w:t>„</w:t>
      </w:r>
      <w:r w:rsidRPr="00853A2A">
        <w:rPr>
          <w:b/>
          <w:bCs/>
        </w:rPr>
        <w:t>Töövõimetuslehe vormistamine ja andmete edastamine</w:t>
      </w:r>
      <w:r w:rsidRPr="00853A2A">
        <w:t>“;</w:t>
      </w:r>
    </w:p>
    <w:p w14:paraId="1E62F1AB" w14:textId="77777777" w:rsidR="00853A2A" w:rsidRPr="00853A2A" w:rsidRDefault="00853A2A" w:rsidP="00853A2A">
      <w:pPr>
        <w:jc w:val="both"/>
      </w:pPr>
    </w:p>
    <w:p w14:paraId="54DDF87F" w14:textId="77777777" w:rsidR="00853A2A" w:rsidRPr="00853A2A" w:rsidRDefault="00853A2A" w:rsidP="00853A2A">
      <w:pPr>
        <w:jc w:val="both"/>
      </w:pPr>
      <w:r w:rsidRPr="00853A2A">
        <w:rPr>
          <w:b/>
          <w:bCs/>
        </w:rPr>
        <w:t>2)</w:t>
      </w:r>
      <w:r w:rsidRPr="00853A2A">
        <w:t xml:space="preserve"> paragrahvi 2 lõike 1 punkt 7 sõnastatakse järgmiselt:</w:t>
      </w:r>
    </w:p>
    <w:p w14:paraId="629315FF" w14:textId="77777777" w:rsidR="00853A2A" w:rsidRPr="00853A2A" w:rsidRDefault="00853A2A" w:rsidP="00853A2A">
      <w:pPr>
        <w:jc w:val="both"/>
      </w:pPr>
    </w:p>
    <w:p w14:paraId="3FBFCD20" w14:textId="77777777" w:rsidR="00853A2A" w:rsidRPr="00853A2A" w:rsidRDefault="00853A2A" w:rsidP="00853A2A">
      <w:pPr>
        <w:jc w:val="both"/>
      </w:pPr>
      <w:r w:rsidRPr="00853A2A">
        <w:t>„7) tööst vabastamise põhjus numbri ja sõnadega (1. haigestumine ja olmevigastus; 2. kutsehaigus; 4. liiklusvigastus; 5. tööõnnetus; 6. tööõnnetus liikluses; 7. tööõnnetuse tagajärjel tekkinud tüsistus/haigestumine; 8. vigastus riigi või ühiskonna huvide kaitsmisel ja kuriteo tõkestamisel; 10. karantiin; 12. haige perekonnaliikme põetamine kodus; 13. alla 3-aastase lapse või alla 16-aastase puudega lapse hooldamine, kui last hooldav isik on haige või talle osutatakse sünnitusabi; 14. alla 12-aastase haige lapse või alla 19-aastase puudega isiku põetamine; 17. rasedale terviseseisundile vastava töö andmine; 18. liiklusvigastuse tagajärjel tekkinud tüsistus/haigestumine; 19. haigestumine või vigastus raseduse ajal; 20. elundi või vereloome tüvirakkude annetus; 21. töötingimuste ajutine kergendamine);“;</w:t>
      </w:r>
    </w:p>
    <w:p w14:paraId="3C2D1745" w14:textId="77777777" w:rsidR="00853A2A" w:rsidRPr="00853A2A" w:rsidRDefault="00853A2A" w:rsidP="00853A2A">
      <w:pPr>
        <w:jc w:val="both"/>
      </w:pPr>
    </w:p>
    <w:p w14:paraId="28E29952" w14:textId="77777777" w:rsidR="00853A2A" w:rsidRPr="00853A2A" w:rsidRDefault="00853A2A" w:rsidP="00853A2A">
      <w:pPr>
        <w:jc w:val="both"/>
      </w:pPr>
      <w:r w:rsidRPr="00853A2A">
        <w:rPr>
          <w:b/>
          <w:bCs/>
        </w:rPr>
        <w:t>3)</w:t>
      </w:r>
      <w:r w:rsidRPr="00853A2A">
        <w:t xml:space="preserve"> paragrahvi 2 lõiget 1 täiendatakse punktiga 8</w:t>
      </w:r>
      <w:r w:rsidRPr="00853A2A">
        <w:rPr>
          <w:vertAlign w:val="superscript"/>
        </w:rPr>
        <w:t>1</w:t>
      </w:r>
      <w:r w:rsidRPr="00853A2A">
        <w:t xml:space="preserve"> järgmises sõnastuses:</w:t>
      </w:r>
    </w:p>
    <w:p w14:paraId="18209DCE" w14:textId="77777777" w:rsidR="00853A2A" w:rsidRPr="00853A2A" w:rsidRDefault="00853A2A" w:rsidP="00853A2A">
      <w:pPr>
        <w:jc w:val="both"/>
      </w:pPr>
    </w:p>
    <w:p w14:paraId="3652B876" w14:textId="77777777" w:rsidR="00853A2A" w:rsidRPr="00853A2A" w:rsidRDefault="00853A2A" w:rsidP="00853A2A">
      <w:pPr>
        <w:jc w:val="both"/>
      </w:pPr>
      <w:r w:rsidRPr="00853A2A">
        <w:t>„8</w:t>
      </w:r>
      <w:r w:rsidRPr="00853A2A">
        <w:rPr>
          <w:vertAlign w:val="superscript"/>
        </w:rPr>
        <w:t>1</w:t>
      </w:r>
      <w:r w:rsidRPr="00853A2A">
        <w:t>) info tööandjale töötingimuste terviseseisundile vastavaks kohandamiseks;“;</w:t>
      </w:r>
    </w:p>
    <w:p w14:paraId="1E7B4B6E" w14:textId="77777777" w:rsidR="00853A2A" w:rsidRPr="00853A2A" w:rsidRDefault="00853A2A" w:rsidP="00853A2A">
      <w:pPr>
        <w:jc w:val="both"/>
      </w:pPr>
    </w:p>
    <w:p w14:paraId="7B097627" w14:textId="77777777" w:rsidR="00853A2A" w:rsidRPr="00853A2A" w:rsidRDefault="00853A2A" w:rsidP="00853A2A">
      <w:pPr>
        <w:jc w:val="both"/>
      </w:pPr>
      <w:r w:rsidRPr="00853A2A">
        <w:rPr>
          <w:b/>
          <w:bCs/>
        </w:rPr>
        <w:t>4</w:t>
      </w:r>
      <w:r w:rsidRPr="00853A2A">
        <w:rPr>
          <w:b/>
        </w:rPr>
        <w:t>)</w:t>
      </w:r>
      <w:r w:rsidRPr="00853A2A">
        <w:t xml:space="preserve"> paragrahvi 4 lõige 2 sõnastatakse järgmiselt:</w:t>
      </w:r>
    </w:p>
    <w:p w14:paraId="3506A30A" w14:textId="77777777" w:rsidR="00853A2A" w:rsidRPr="00853A2A" w:rsidRDefault="00853A2A" w:rsidP="00853A2A">
      <w:pPr>
        <w:jc w:val="both"/>
      </w:pPr>
    </w:p>
    <w:p w14:paraId="5AA98DA0" w14:textId="77777777" w:rsidR="00853A2A" w:rsidRPr="00853A2A" w:rsidRDefault="00853A2A" w:rsidP="00853A2A">
      <w:pPr>
        <w:jc w:val="both"/>
      </w:pPr>
      <w:r w:rsidRPr="00853A2A">
        <w:t>„(2) Õel on töövõimetuslehe avamise, muutmise, lõpetamise ja kehtetuks tunnistamise õigus haiguse, vigastuse, karantiini või kindlustatud isiku põetamise korral.“;</w:t>
      </w:r>
    </w:p>
    <w:p w14:paraId="35AB088B" w14:textId="77777777" w:rsidR="00853A2A" w:rsidRPr="00853A2A" w:rsidRDefault="00853A2A" w:rsidP="00853A2A">
      <w:pPr>
        <w:jc w:val="both"/>
      </w:pPr>
    </w:p>
    <w:p w14:paraId="7D739907" w14:textId="77777777" w:rsidR="00853A2A" w:rsidRPr="00853A2A" w:rsidRDefault="00853A2A" w:rsidP="00853A2A">
      <w:pPr>
        <w:jc w:val="both"/>
      </w:pPr>
      <w:r w:rsidRPr="00853A2A">
        <w:rPr>
          <w:b/>
          <w:bCs/>
        </w:rPr>
        <w:t>5)</w:t>
      </w:r>
      <w:r w:rsidRPr="00853A2A">
        <w:t xml:space="preserve"> paragrahvi 5 lõige 1 sõnastatakse järgmiselt:</w:t>
      </w:r>
    </w:p>
    <w:p w14:paraId="56C2AE42" w14:textId="77777777" w:rsidR="00853A2A" w:rsidRPr="00853A2A" w:rsidRDefault="00853A2A" w:rsidP="00853A2A">
      <w:pPr>
        <w:jc w:val="both"/>
      </w:pPr>
      <w:bookmarkStart w:id="7" w:name="para5lg1"/>
    </w:p>
    <w:bookmarkEnd w:id="7"/>
    <w:p w14:paraId="05A3F89D" w14:textId="77777777" w:rsidR="00853A2A" w:rsidRPr="00853A2A" w:rsidRDefault="00853A2A" w:rsidP="00853A2A">
      <w:pPr>
        <w:jc w:val="both"/>
      </w:pPr>
      <w:r w:rsidRPr="00853A2A">
        <w:t>„(1) Töövõimetusleht avatakse pärast kindlustatu, hooldatava või põetatava läbivaatust või neile teenuse osutamist sidevahendi teel.“;</w:t>
      </w:r>
    </w:p>
    <w:p w14:paraId="7E856251" w14:textId="77777777" w:rsidR="00853A2A" w:rsidRPr="00853A2A" w:rsidRDefault="00853A2A" w:rsidP="00853A2A">
      <w:pPr>
        <w:jc w:val="both"/>
      </w:pPr>
    </w:p>
    <w:p w14:paraId="5E19C1F9" w14:textId="77777777" w:rsidR="00853A2A" w:rsidRPr="00853A2A" w:rsidRDefault="00853A2A" w:rsidP="00853A2A">
      <w:pPr>
        <w:jc w:val="both"/>
      </w:pPr>
      <w:r w:rsidRPr="00853A2A">
        <w:rPr>
          <w:b/>
          <w:bCs/>
        </w:rPr>
        <w:t>6)</w:t>
      </w:r>
      <w:r w:rsidRPr="00853A2A">
        <w:t xml:space="preserve"> paragrahvi 5 lõige 5 sõnastatakse järgmiselt:</w:t>
      </w:r>
    </w:p>
    <w:p w14:paraId="1D3353BD" w14:textId="77777777" w:rsidR="00853A2A" w:rsidRPr="00853A2A" w:rsidRDefault="00853A2A" w:rsidP="00853A2A">
      <w:pPr>
        <w:jc w:val="both"/>
      </w:pPr>
    </w:p>
    <w:p w14:paraId="55202AD0" w14:textId="77777777" w:rsidR="00853A2A" w:rsidRPr="00853A2A" w:rsidRDefault="00853A2A" w:rsidP="00853A2A">
      <w:pPr>
        <w:jc w:val="both"/>
      </w:pPr>
      <w:r w:rsidRPr="00853A2A">
        <w:t>„(5) Tagasiulatuvalt võib töövõimetuslehe avada, kui kindlustatud isik haigestub või hoolduse või põetuse vajadus tekib nädalavahetusel, rahvuspühal või riigipühal ja isik teavitab sellest tervishoiutöötajat sidevahendite teel või vastuvõtule tulles vahetult järgneval tööpäeval.“;</w:t>
      </w:r>
    </w:p>
    <w:p w14:paraId="4E174D65" w14:textId="77777777" w:rsidR="00853A2A" w:rsidRPr="00853A2A" w:rsidRDefault="00853A2A" w:rsidP="00853A2A">
      <w:pPr>
        <w:jc w:val="both"/>
      </w:pPr>
    </w:p>
    <w:p w14:paraId="6F0101BE" w14:textId="77777777" w:rsidR="00853A2A" w:rsidRPr="00853A2A" w:rsidRDefault="00853A2A" w:rsidP="00853A2A">
      <w:pPr>
        <w:jc w:val="both"/>
      </w:pPr>
      <w:r w:rsidRPr="00853A2A">
        <w:rPr>
          <w:b/>
          <w:bCs/>
        </w:rPr>
        <w:t>7</w:t>
      </w:r>
      <w:r w:rsidRPr="00853A2A">
        <w:rPr>
          <w:b/>
        </w:rPr>
        <w:t>)</w:t>
      </w:r>
      <w:r w:rsidRPr="00853A2A">
        <w:t xml:space="preserve"> paragrahv 8 lõige 3 sõnastatakse järgmiselt:</w:t>
      </w:r>
    </w:p>
    <w:p w14:paraId="14ACBF00" w14:textId="77777777" w:rsidR="00853A2A" w:rsidRPr="00853A2A" w:rsidRDefault="00853A2A" w:rsidP="00853A2A">
      <w:pPr>
        <w:jc w:val="both"/>
      </w:pPr>
      <w:r w:rsidRPr="00853A2A">
        <w:t xml:space="preserve"> </w:t>
      </w:r>
    </w:p>
    <w:p w14:paraId="422828E9" w14:textId="77777777" w:rsidR="00853A2A" w:rsidRPr="00853A2A" w:rsidRDefault="00853A2A" w:rsidP="00853A2A">
      <w:pPr>
        <w:jc w:val="both"/>
      </w:pPr>
      <w:r w:rsidRPr="00853A2A">
        <w:t>„(3) Tervishoiutöötajal on õigus muuta, lõpetada ja kehtetuks tunnistada teise tervishoiutöötaja poolt välja kirjutatud töövõimetuslehte. Toimingu õigsuse eest vastutab toimingu tegija.“;</w:t>
      </w:r>
    </w:p>
    <w:p w14:paraId="19B6382E" w14:textId="77777777" w:rsidR="00853A2A" w:rsidRPr="00853A2A" w:rsidRDefault="00853A2A" w:rsidP="00853A2A">
      <w:pPr>
        <w:jc w:val="both"/>
      </w:pPr>
    </w:p>
    <w:p w14:paraId="7E9605C3" w14:textId="77777777" w:rsidR="00853A2A" w:rsidRPr="00853A2A" w:rsidRDefault="00853A2A" w:rsidP="00853A2A">
      <w:pPr>
        <w:jc w:val="both"/>
      </w:pPr>
      <w:r w:rsidRPr="00853A2A">
        <w:rPr>
          <w:b/>
          <w:bCs/>
        </w:rPr>
        <w:t>8)</w:t>
      </w:r>
      <w:r w:rsidRPr="00853A2A">
        <w:t xml:space="preserve"> paragrahv 10 sõnastatakse järgmiselt:</w:t>
      </w:r>
    </w:p>
    <w:p w14:paraId="5C680DDD" w14:textId="77777777" w:rsidR="00853A2A" w:rsidRPr="00853A2A" w:rsidRDefault="00853A2A" w:rsidP="00853A2A">
      <w:pPr>
        <w:jc w:val="both"/>
      </w:pPr>
    </w:p>
    <w:p w14:paraId="1EE8B339" w14:textId="77777777" w:rsidR="00853A2A" w:rsidRPr="00853A2A" w:rsidRDefault="00853A2A" w:rsidP="00853A2A">
      <w:pPr>
        <w:jc w:val="both"/>
        <w:rPr>
          <w:b/>
          <w:bCs/>
        </w:rPr>
      </w:pPr>
      <w:r w:rsidRPr="00853A2A">
        <w:t>„</w:t>
      </w:r>
      <w:r w:rsidRPr="00853A2A">
        <w:rPr>
          <w:b/>
          <w:bCs/>
        </w:rPr>
        <w:t>§ 10. Tööandja tegevused töövõimetuslehega</w:t>
      </w:r>
    </w:p>
    <w:p w14:paraId="603066AD" w14:textId="77777777" w:rsidR="00853A2A" w:rsidRPr="00853A2A" w:rsidRDefault="00853A2A" w:rsidP="00853A2A">
      <w:pPr>
        <w:jc w:val="both"/>
      </w:pPr>
    </w:p>
    <w:p w14:paraId="3BDFD3F0" w14:textId="77777777" w:rsidR="00853A2A" w:rsidRPr="00853A2A" w:rsidRDefault="00853A2A" w:rsidP="00853A2A">
      <w:pPr>
        <w:jc w:val="both"/>
      </w:pPr>
      <w:r w:rsidRPr="00853A2A">
        <w:t>(1) Tööandja kinnitab tervishoiutöötaja lõpetatud töövõimetuslehe.</w:t>
      </w:r>
    </w:p>
    <w:p w14:paraId="14D276E8" w14:textId="77777777" w:rsidR="00853A2A" w:rsidRPr="00853A2A" w:rsidRDefault="00853A2A" w:rsidP="00853A2A">
      <w:pPr>
        <w:jc w:val="both"/>
      </w:pPr>
    </w:p>
    <w:p w14:paraId="69285827" w14:textId="77777777" w:rsidR="00853A2A" w:rsidRPr="00853A2A" w:rsidRDefault="00853A2A" w:rsidP="00853A2A">
      <w:pPr>
        <w:jc w:val="both"/>
      </w:pPr>
      <w:r w:rsidRPr="00853A2A">
        <w:t>(2) Tööandja ei näe töövõimetuslehele kantud andmetest järgmiseid:</w:t>
      </w:r>
    </w:p>
    <w:p w14:paraId="4BCAC102" w14:textId="77777777" w:rsidR="00853A2A" w:rsidRPr="00853A2A" w:rsidRDefault="00853A2A" w:rsidP="00853A2A">
      <w:pPr>
        <w:jc w:val="both"/>
      </w:pPr>
      <w:r w:rsidRPr="00853A2A">
        <w:t>1) diagnoosikoodi rahvusvahelise haiguste ja tervisega seotud probleemide statistilise klassifikatsiooni järgi;</w:t>
      </w:r>
    </w:p>
    <w:p w14:paraId="3C5B58B2" w14:textId="77777777" w:rsidR="00853A2A" w:rsidRPr="00853A2A" w:rsidRDefault="00853A2A" w:rsidP="00853A2A">
      <w:pPr>
        <w:jc w:val="both"/>
      </w:pPr>
      <w:r w:rsidRPr="00853A2A">
        <w:t>2) töövõimetuslehe avanud tervishoiutöötaja ees- ja perekonnanime.</w:t>
      </w:r>
    </w:p>
    <w:p w14:paraId="17667EE1" w14:textId="77777777" w:rsidR="00853A2A" w:rsidRPr="00853A2A" w:rsidRDefault="00853A2A" w:rsidP="00853A2A">
      <w:pPr>
        <w:jc w:val="both"/>
      </w:pPr>
    </w:p>
    <w:p w14:paraId="521E4BE3" w14:textId="77777777" w:rsidR="00853A2A" w:rsidRPr="00853A2A" w:rsidRDefault="00853A2A" w:rsidP="00853A2A">
      <w:pPr>
        <w:jc w:val="both"/>
      </w:pPr>
      <w:r w:rsidRPr="00853A2A">
        <w:t>(3) Tööandja edastab Tervisekassale elektroonselt järgmised andmed:</w:t>
      </w:r>
      <w:r w:rsidRPr="00853A2A">
        <w:tab/>
      </w:r>
      <w:r w:rsidRPr="00853A2A">
        <w:br/>
        <w:t>1) äriregistri kood või füüsilisest isikust tööandja isikukood;</w:t>
      </w:r>
      <w:bookmarkStart w:id="8" w:name="para10lg1p2"/>
    </w:p>
    <w:bookmarkEnd w:id="8"/>
    <w:p w14:paraId="6F522E9C" w14:textId="77777777" w:rsidR="00853A2A" w:rsidRPr="00853A2A" w:rsidRDefault="00853A2A" w:rsidP="00853A2A">
      <w:pPr>
        <w:jc w:val="both"/>
      </w:pPr>
      <w:r w:rsidRPr="00853A2A">
        <w:t>2) kalendrikuu kokkulepitud töötasu suurus eurodes esmasele töövõimetuslehele märgitud töövabastuse alguspäevale eelnenud päeval;</w:t>
      </w:r>
      <w:r w:rsidRPr="00853A2A">
        <w:tab/>
      </w:r>
      <w:r w:rsidRPr="00853A2A">
        <w:br/>
        <w:t>3) tervishoiutöötaja otsuse alusel terviseseisundile vastava töö või kergemale ametikohale üleviimise perioodi alguse ja lõpu kuupäev;</w:t>
      </w:r>
      <w:r w:rsidRPr="00853A2A">
        <w:tab/>
      </w:r>
      <w:r w:rsidRPr="00853A2A">
        <w:br/>
        <w:t>4) tervishoiutöötaja otsuse alusel terviseseisundile vastava töö või kergemale ametikohale üleviimise perioodil tööandja poolt makstav töötasu eurodes;</w:t>
      </w:r>
      <w:r w:rsidRPr="00853A2A">
        <w:tab/>
      </w:r>
      <w:r w:rsidRPr="00853A2A">
        <w:br/>
        <w:t>5) periood, millal kindlustatud isikul puudub õigus saada hüvitist ravikindlustuse seaduse § 60 lõigetest 2 või 4 või § 61 lõikest 2 tulenevalt, alguse ja lõpu kuupäevad;</w:t>
      </w:r>
      <w:r w:rsidRPr="00853A2A">
        <w:tab/>
      </w:r>
      <w:r w:rsidRPr="00853A2A">
        <w:br/>
        <w:t>6) põhjus, miks kindlustatud isikul puudub õigus saada hüvitist tulenevalt ravikindlustuse seaduse § 60 lõigetest 2 või 4 või § 61 lõikest 2;</w:t>
      </w:r>
    </w:p>
    <w:p w14:paraId="3ED30D22" w14:textId="77777777" w:rsidR="00853A2A" w:rsidRPr="00853A2A" w:rsidRDefault="00853A2A" w:rsidP="00853A2A">
      <w:pPr>
        <w:jc w:val="both"/>
      </w:pPr>
      <w:r w:rsidRPr="00853A2A">
        <w:t>7) andmete esitamise eest vastutava isiku kontaktandmed.“;</w:t>
      </w:r>
    </w:p>
    <w:p w14:paraId="41ABB1EF" w14:textId="77777777" w:rsidR="00853A2A" w:rsidRPr="00853A2A" w:rsidRDefault="00853A2A" w:rsidP="00853A2A">
      <w:pPr>
        <w:jc w:val="both"/>
      </w:pPr>
    </w:p>
    <w:p w14:paraId="72D5FCD5" w14:textId="77777777" w:rsidR="00853A2A" w:rsidRPr="00853A2A" w:rsidRDefault="00853A2A" w:rsidP="00853A2A">
      <w:pPr>
        <w:jc w:val="both"/>
      </w:pPr>
      <w:r w:rsidRPr="00853A2A">
        <w:rPr>
          <w:b/>
          <w:bCs/>
        </w:rPr>
        <w:t>9)</w:t>
      </w:r>
      <w:r w:rsidRPr="00853A2A">
        <w:t xml:space="preserve"> paragrahvi 12 lõike 3 esimeses lauses asendatakse sõna „lõpetatud“ sõnaga „avatud“.</w:t>
      </w:r>
    </w:p>
    <w:p w14:paraId="16515D82" w14:textId="77777777" w:rsidR="00853A2A" w:rsidRPr="00853A2A" w:rsidRDefault="00853A2A" w:rsidP="00853A2A">
      <w:pPr>
        <w:jc w:val="both"/>
      </w:pPr>
    </w:p>
    <w:p w14:paraId="4A7D0DE1" w14:textId="77777777" w:rsidR="00853A2A" w:rsidRPr="00853A2A" w:rsidRDefault="00853A2A" w:rsidP="00853A2A">
      <w:pPr>
        <w:jc w:val="both"/>
        <w:sectPr w:rsidR="00853A2A" w:rsidRPr="00853A2A" w:rsidSect="00853A2A">
          <w:headerReference w:type="default" r:id="rId7"/>
          <w:pgSz w:w="11907" w:h="16839" w:code="9"/>
          <w:pgMar w:top="907" w:right="1021" w:bottom="1418" w:left="1814" w:header="709" w:footer="709" w:gutter="0"/>
          <w:cols w:space="708"/>
          <w:formProt w:val="0"/>
          <w:titlePg/>
          <w:docGrid w:linePitch="360"/>
        </w:sectPr>
      </w:pPr>
    </w:p>
    <w:p w14:paraId="3A8A5FC8" w14:textId="77777777" w:rsidR="00853A2A" w:rsidRPr="00853A2A" w:rsidRDefault="00853A2A" w:rsidP="00853A2A">
      <w:pPr>
        <w:jc w:val="both"/>
        <w:rPr>
          <w:b/>
          <w:bCs/>
        </w:rPr>
      </w:pPr>
      <w:r w:rsidRPr="00853A2A">
        <w:rPr>
          <w:b/>
          <w:bCs/>
        </w:rPr>
        <w:t>§ 5. Määruse jõustumine</w:t>
      </w:r>
    </w:p>
    <w:p w14:paraId="69895CD6" w14:textId="77777777" w:rsidR="00853A2A" w:rsidRPr="00853A2A" w:rsidRDefault="00853A2A" w:rsidP="00853A2A">
      <w:pPr>
        <w:jc w:val="both"/>
      </w:pPr>
    </w:p>
    <w:p w14:paraId="55BB6E22" w14:textId="77777777" w:rsidR="00853A2A" w:rsidRPr="00853A2A" w:rsidRDefault="00853A2A" w:rsidP="00853A2A">
      <w:pPr>
        <w:jc w:val="both"/>
      </w:pPr>
      <w:r w:rsidRPr="00853A2A">
        <w:t xml:space="preserve">(1) Käesolev määrus jõustub 15. mail 2024. aastal. </w:t>
      </w:r>
    </w:p>
    <w:p w14:paraId="127CF9E0" w14:textId="77777777" w:rsidR="00853A2A" w:rsidRPr="00853A2A" w:rsidRDefault="00853A2A" w:rsidP="00853A2A">
      <w:pPr>
        <w:jc w:val="both"/>
      </w:pPr>
    </w:p>
    <w:p w14:paraId="5F8AD2F3" w14:textId="77777777" w:rsidR="00853A2A" w:rsidRPr="00853A2A" w:rsidRDefault="00853A2A" w:rsidP="00853A2A">
      <w:pPr>
        <w:jc w:val="both"/>
      </w:pPr>
      <w:r w:rsidRPr="00853A2A">
        <w:t xml:space="preserve">(2) Käesoleva määruse § 3 punktid 5 ja 7 jõustuvad 1. juulil 2024. aastal. </w:t>
      </w:r>
    </w:p>
    <w:p w14:paraId="4CA020C9" w14:textId="77889D10" w:rsidR="00853A2A" w:rsidRPr="00853A2A" w:rsidRDefault="00853A2A" w:rsidP="00853A2A">
      <w:pPr>
        <w:jc w:val="both"/>
      </w:pPr>
    </w:p>
    <w:p w14:paraId="3616945D" w14:textId="77777777" w:rsidR="00853A2A" w:rsidRPr="00853A2A" w:rsidRDefault="00853A2A" w:rsidP="00853A2A"/>
    <w:p w14:paraId="1B46895B" w14:textId="77777777" w:rsidR="00853A2A" w:rsidRPr="00853A2A" w:rsidRDefault="00853A2A" w:rsidP="00853A2A"/>
    <w:p w14:paraId="2E559C58" w14:textId="77777777" w:rsidR="00CC5B01" w:rsidRDefault="00CC5B01" w:rsidP="00094BF0">
      <w:pPr>
        <w:rPr>
          <w:rFonts w:cs="Arial"/>
        </w:rPr>
      </w:pPr>
    </w:p>
    <w:p w14:paraId="2E559C59" w14:textId="77777777" w:rsidR="00E57228" w:rsidRDefault="007C0F7C" w:rsidP="00E57228">
      <w:pPr>
        <w:rPr>
          <w:rFonts w:cs="Arial"/>
        </w:rPr>
      </w:pPr>
      <w:r>
        <w:rPr>
          <w:rFonts w:cs="Arial"/>
        </w:rPr>
        <w:t>(allkirjastatud digitaalselt)</w:t>
      </w:r>
      <w:r w:rsidR="00E57228" w:rsidRPr="00E57228">
        <w:rPr>
          <w:rFonts w:cs="Arial"/>
        </w:rPr>
        <w:t xml:space="preserve"> </w:t>
      </w:r>
      <w:r w:rsidR="00E57228">
        <w:rPr>
          <w:rFonts w:cs="Arial"/>
        </w:rPr>
        <w:tab/>
      </w:r>
      <w:r w:rsidR="00E57228">
        <w:rPr>
          <w:rFonts w:cs="Arial"/>
        </w:rPr>
        <w:tab/>
      </w:r>
      <w:r w:rsidR="00E57228">
        <w:rPr>
          <w:rFonts w:cs="Arial"/>
        </w:rPr>
        <w:tab/>
      </w:r>
      <w:r w:rsidR="00E57228">
        <w:rPr>
          <w:rFonts w:cs="Arial"/>
        </w:rPr>
        <w:tab/>
      </w:r>
    </w:p>
    <w:p w14:paraId="2E559C5A" w14:textId="28296C98" w:rsidR="007B2940" w:rsidRDefault="00E57228" w:rsidP="00094BF0">
      <w:pPr>
        <w:rPr>
          <w:rFonts w:cs="Arial"/>
        </w:rPr>
      </w:pPr>
      <w:r>
        <w:rPr>
          <w:rFonts w:cs="Arial"/>
        </w:rPr>
        <w:fldChar w:fldCharType="begin"/>
      </w:r>
      <w:r w:rsidR="00E27230">
        <w:rPr>
          <w:rFonts w:cs="Arial"/>
        </w:rPr>
        <w:instrText xml:space="preserve"> delta_signerName  \* MERGEFORMAT</w:instrText>
      </w:r>
      <w:r>
        <w:rPr>
          <w:rFonts w:cs="Arial"/>
        </w:rPr>
        <w:fldChar w:fldCharType="separate"/>
      </w:r>
      <w:r w:rsidR="00E27230">
        <w:rPr>
          <w:rFonts w:cs="Arial"/>
        </w:rPr>
        <w:t xml:space="preserve">Riina </w:t>
      </w:r>
      <w:proofErr w:type="spellStart"/>
      <w:r w:rsidR="00E27230">
        <w:rPr>
          <w:rFonts w:cs="Arial"/>
        </w:rPr>
        <w:t>Sikkut</w:t>
      </w:r>
      <w:proofErr w:type="spellEnd"/>
      <w:r>
        <w:rPr>
          <w:rFonts w:cs="Arial"/>
        </w:rPr>
        <w:fldChar w:fldCharType="end"/>
      </w:r>
      <w:r>
        <w:rPr>
          <w:rFonts w:cs="Arial"/>
        </w:rPr>
        <w:tab/>
      </w:r>
      <w:r>
        <w:rPr>
          <w:rFonts w:cs="Arial"/>
        </w:rPr>
        <w:tab/>
      </w:r>
      <w:r>
        <w:rPr>
          <w:rFonts w:cs="Arial"/>
        </w:rPr>
        <w:tab/>
      </w:r>
      <w:r>
        <w:rPr>
          <w:rFonts w:cs="Arial"/>
        </w:rPr>
        <w:tab/>
      </w:r>
      <w:r>
        <w:rPr>
          <w:rFonts w:cs="Arial"/>
        </w:rPr>
        <w:tab/>
      </w:r>
      <w:r>
        <w:rPr>
          <w:rFonts w:cs="Arial"/>
        </w:rPr>
        <w:tab/>
      </w:r>
    </w:p>
    <w:p w14:paraId="2E559C5B" w14:textId="6CF855DE" w:rsidR="007C0F7C" w:rsidRDefault="00E57228" w:rsidP="00094BF0">
      <w:pPr>
        <w:rPr>
          <w:rFonts w:cs="Arial"/>
        </w:rPr>
      </w:pPr>
      <w:r>
        <w:rPr>
          <w:rFonts w:cs="Arial"/>
        </w:rPr>
        <w:fldChar w:fldCharType="begin"/>
      </w:r>
      <w:r w:rsidR="00E27230">
        <w:rPr>
          <w:rFonts w:cs="Arial"/>
        </w:rPr>
        <w:instrText xml:space="preserve"> delta_signerJobTitle  \* MERGEFORMAT</w:instrText>
      </w:r>
      <w:r>
        <w:rPr>
          <w:rFonts w:cs="Arial"/>
        </w:rPr>
        <w:fldChar w:fldCharType="separate"/>
      </w:r>
      <w:r w:rsidR="00E27230">
        <w:rPr>
          <w:rFonts w:cs="Arial"/>
        </w:rPr>
        <w:t>terviseminister</w:t>
      </w:r>
      <w:r>
        <w:rPr>
          <w:rFonts w:cs="Arial"/>
        </w:rPr>
        <w:fldChar w:fldCharType="end"/>
      </w:r>
      <w:r>
        <w:rPr>
          <w:rFonts w:cs="Arial"/>
        </w:rPr>
        <w:tab/>
      </w:r>
      <w:r>
        <w:rPr>
          <w:rFonts w:cs="Arial"/>
        </w:rPr>
        <w:tab/>
      </w:r>
      <w:r>
        <w:rPr>
          <w:rFonts w:cs="Arial"/>
        </w:rPr>
        <w:tab/>
      </w:r>
      <w:r>
        <w:rPr>
          <w:rFonts w:cs="Arial"/>
        </w:rPr>
        <w:tab/>
      </w:r>
      <w:r>
        <w:rPr>
          <w:rFonts w:cs="Arial"/>
        </w:rPr>
        <w:tab/>
      </w:r>
    </w:p>
    <w:p w14:paraId="2E559C5C" w14:textId="77777777" w:rsidR="007B2940" w:rsidRDefault="007B2940" w:rsidP="00B066FE">
      <w:pPr>
        <w:rPr>
          <w:rFonts w:cs="Arial"/>
        </w:rPr>
      </w:pPr>
    </w:p>
    <w:p w14:paraId="2E559C5D" w14:textId="18AF3F14" w:rsidR="00E52553" w:rsidRDefault="00100F1A" w:rsidP="00B066FE">
      <w:r>
        <w:rPr>
          <w:rFonts w:cs="Arial"/>
        </w:rPr>
        <w:br/>
      </w:r>
      <w:r w:rsidR="007B2940">
        <w:rPr>
          <w:rFonts w:cs="Arial"/>
        </w:rPr>
        <w:t>(allkirjastatud digitaalselt)</w:t>
      </w:r>
    </w:p>
    <w:p w14:paraId="2E559C5E" w14:textId="77777777" w:rsidR="001D53AE" w:rsidRDefault="001D53AE" w:rsidP="00B066FE">
      <w:pPr>
        <w:sectPr w:rsidR="001D53AE" w:rsidSect="001D53AE">
          <w:headerReference w:type="default" r:id="rId8"/>
          <w:type w:val="continuous"/>
          <w:pgSz w:w="11907" w:h="16839" w:code="9"/>
          <w:pgMar w:top="907" w:right="1021" w:bottom="1418" w:left="1814" w:header="709" w:footer="709" w:gutter="0"/>
          <w:cols w:space="708"/>
          <w:titlePg/>
          <w:docGrid w:linePitch="360"/>
        </w:sectPr>
      </w:pPr>
    </w:p>
    <w:p w14:paraId="2E559C5F" w14:textId="279C874B" w:rsidR="007B2940" w:rsidRDefault="008476E5" w:rsidP="007B2940">
      <w:pPr>
        <w:rPr>
          <w:rFonts w:cs="Arial"/>
        </w:rPr>
      </w:pPr>
      <w:r>
        <w:rPr>
          <w:rFonts w:cs="Arial"/>
        </w:rPr>
        <w:fldChar w:fldCharType="begin"/>
      </w:r>
      <w:r w:rsidR="00E27230">
        <w:rPr>
          <w:rFonts w:cs="Arial"/>
        </w:rPr>
        <w:instrText xml:space="preserve"> delta_secondsignerName  \* MERGEFORMAT</w:instrText>
      </w:r>
      <w:r>
        <w:rPr>
          <w:rFonts w:cs="Arial"/>
        </w:rPr>
        <w:fldChar w:fldCharType="separate"/>
      </w:r>
      <w:proofErr w:type="spellStart"/>
      <w:r w:rsidR="00E27230">
        <w:rPr>
          <w:rFonts w:cs="Arial"/>
        </w:rPr>
        <w:t>Maarjo</w:t>
      </w:r>
      <w:proofErr w:type="spellEnd"/>
      <w:r w:rsidR="00E27230">
        <w:rPr>
          <w:rFonts w:cs="Arial"/>
        </w:rPr>
        <w:t xml:space="preserve"> Mändmaa</w:t>
      </w:r>
      <w:r>
        <w:rPr>
          <w:rFonts w:cs="Arial"/>
        </w:rPr>
        <w:fldChar w:fldCharType="end"/>
      </w:r>
    </w:p>
    <w:p w14:paraId="2E559C60" w14:textId="07A7FF2C" w:rsidR="008476E5" w:rsidRDefault="008476E5" w:rsidP="007B2940">
      <w:pPr>
        <w:rPr>
          <w:rFonts w:cs="Arial"/>
        </w:rPr>
      </w:pPr>
      <w:r>
        <w:rPr>
          <w:rFonts w:cs="Arial"/>
        </w:rPr>
        <w:fldChar w:fldCharType="begin"/>
      </w:r>
      <w:r w:rsidR="00E27230">
        <w:rPr>
          <w:rFonts w:cs="Arial"/>
        </w:rPr>
        <w:instrText xml:space="preserve"> delta_secondsignerJobTitle  \* MERGEFORMAT</w:instrText>
      </w:r>
      <w:r>
        <w:rPr>
          <w:rFonts w:cs="Arial"/>
        </w:rPr>
        <w:fldChar w:fldCharType="separate"/>
      </w:r>
      <w:r w:rsidR="00E27230">
        <w:rPr>
          <w:rFonts w:cs="Arial"/>
        </w:rPr>
        <w:t>kantsler</w:t>
      </w:r>
      <w:r>
        <w:rPr>
          <w:rFonts w:cs="Arial"/>
        </w:rPr>
        <w:fldChar w:fldCharType="end"/>
      </w:r>
      <w:r w:rsidR="00E27230">
        <w:rPr>
          <w:rFonts w:cs="Arial"/>
        </w:rPr>
        <w:t xml:space="preserve"> </w:t>
      </w:r>
    </w:p>
    <w:p w14:paraId="2E559C61" w14:textId="77777777" w:rsidR="00E52553" w:rsidRDefault="00E52553" w:rsidP="00B066FE"/>
    <w:p w14:paraId="12D3142C" w14:textId="77777777" w:rsidR="008334FE" w:rsidRDefault="008334FE" w:rsidP="00B066FE"/>
    <w:p w14:paraId="5620A64A" w14:textId="5F4AF8AD" w:rsidR="008334FE" w:rsidRPr="00805BB9" w:rsidRDefault="008334FE" w:rsidP="00B066FE">
      <w:r>
        <w:t xml:space="preserve">Lisa 65 </w:t>
      </w:r>
      <w:r>
        <w:t>Kindlustatud isikult tasu maksmise kohustuse Tervisekassa poolt ülevõtmise kord ja tervishoiuteenuse osutajatele makstava tasu arvutamise metoodika</w:t>
      </w:r>
    </w:p>
    <w:sectPr w:rsidR="008334FE" w:rsidRPr="00805BB9" w:rsidSect="001D53AE">
      <w:type w:val="continuous"/>
      <w:pgSz w:w="11907" w:h="16839" w:code="9"/>
      <w:pgMar w:top="907" w:right="1021" w:bottom="1418" w:left="181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59C66" w14:textId="77777777" w:rsidR="00B45145" w:rsidRDefault="00B45145" w:rsidP="00E52553">
      <w:r>
        <w:separator/>
      </w:r>
    </w:p>
  </w:endnote>
  <w:endnote w:type="continuationSeparator" w:id="0">
    <w:p w14:paraId="2E559C67" w14:textId="77777777" w:rsidR="00B45145" w:rsidRDefault="00B45145" w:rsidP="00E5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59C64" w14:textId="77777777" w:rsidR="00B45145" w:rsidRDefault="00B45145" w:rsidP="00E52553">
      <w:r>
        <w:separator/>
      </w:r>
    </w:p>
  </w:footnote>
  <w:footnote w:type="continuationSeparator" w:id="0">
    <w:p w14:paraId="2E559C65" w14:textId="77777777" w:rsidR="00B45145" w:rsidRDefault="00B45145" w:rsidP="00E52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0188806"/>
      <w:docPartObj>
        <w:docPartGallery w:val="Page Numbers (Top of Page)"/>
        <w:docPartUnique/>
      </w:docPartObj>
    </w:sdtPr>
    <w:sdtEndPr>
      <w:rPr>
        <w:sz w:val="20"/>
        <w:szCs w:val="20"/>
      </w:rPr>
    </w:sdtEndPr>
    <w:sdtContent>
      <w:p w14:paraId="5D990FD6" w14:textId="77777777" w:rsidR="00853A2A" w:rsidRPr="00E52553" w:rsidRDefault="00853A2A">
        <w:pPr>
          <w:pStyle w:val="Pis"/>
          <w:jc w:val="center"/>
          <w:rPr>
            <w:sz w:val="20"/>
            <w:szCs w:val="20"/>
          </w:rPr>
        </w:pPr>
        <w:r w:rsidRPr="00E52553">
          <w:rPr>
            <w:sz w:val="20"/>
            <w:szCs w:val="20"/>
          </w:rPr>
          <w:fldChar w:fldCharType="begin"/>
        </w:r>
        <w:r w:rsidRPr="00E52553">
          <w:rPr>
            <w:sz w:val="20"/>
            <w:szCs w:val="20"/>
          </w:rPr>
          <w:instrText>PAGE   \* MERGEFORMAT</w:instrText>
        </w:r>
        <w:r w:rsidRPr="00E52553">
          <w:rPr>
            <w:sz w:val="20"/>
            <w:szCs w:val="20"/>
          </w:rPr>
          <w:fldChar w:fldCharType="separate"/>
        </w:r>
        <w:r w:rsidR="00E27230">
          <w:rPr>
            <w:noProof/>
            <w:sz w:val="20"/>
            <w:szCs w:val="20"/>
          </w:rPr>
          <w:t>4</w:t>
        </w:r>
        <w:r w:rsidRPr="00E52553">
          <w:rPr>
            <w:sz w:val="20"/>
            <w:szCs w:val="20"/>
          </w:rPr>
          <w:fldChar w:fldCharType="end"/>
        </w:r>
      </w:p>
    </w:sdtContent>
  </w:sdt>
  <w:p w14:paraId="54016865" w14:textId="77777777" w:rsidR="00853A2A" w:rsidRDefault="00853A2A">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1200328"/>
      <w:docPartObj>
        <w:docPartGallery w:val="Page Numbers (Top of Page)"/>
        <w:docPartUnique/>
      </w:docPartObj>
    </w:sdtPr>
    <w:sdtEndPr>
      <w:rPr>
        <w:sz w:val="20"/>
        <w:szCs w:val="20"/>
      </w:rPr>
    </w:sdtEndPr>
    <w:sdtContent>
      <w:p w14:paraId="2E559C68" w14:textId="77777777" w:rsidR="00E52553" w:rsidRPr="00E52553" w:rsidRDefault="00E52553">
        <w:pPr>
          <w:pStyle w:val="Pis"/>
          <w:jc w:val="center"/>
          <w:rPr>
            <w:sz w:val="20"/>
            <w:szCs w:val="20"/>
          </w:rPr>
        </w:pPr>
        <w:r w:rsidRPr="00E52553">
          <w:rPr>
            <w:sz w:val="20"/>
            <w:szCs w:val="20"/>
          </w:rPr>
          <w:fldChar w:fldCharType="begin"/>
        </w:r>
        <w:r w:rsidRPr="00E52553">
          <w:rPr>
            <w:sz w:val="20"/>
            <w:szCs w:val="20"/>
          </w:rPr>
          <w:instrText>PAGE   \* MERGEFORMAT</w:instrText>
        </w:r>
        <w:r w:rsidRPr="00E52553">
          <w:rPr>
            <w:sz w:val="20"/>
            <w:szCs w:val="20"/>
          </w:rPr>
          <w:fldChar w:fldCharType="separate"/>
        </w:r>
        <w:r w:rsidR="001D53AE">
          <w:rPr>
            <w:noProof/>
            <w:sz w:val="20"/>
            <w:szCs w:val="20"/>
          </w:rPr>
          <w:t>2</w:t>
        </w:r>
        <w:r w:rsidRPr="00E52553">
          <w:rPr>
            <w:sz w:val="20"/>
            <w:szCs w:val="20"/>
          </w:rPr>
          <w:fldChar w:fldCharType="end"/>
        </w:r>
      </w:p>
    </w:sdtContent>
  </w:sdt>
  <w:p w14:paraId="2E559C69" w14:textId="77777777" w:rsidR="00E52553" w:rsidRDefault="00E52553">
    <w:pPr>
      <w:pStyle w:val="Pi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145"/>
    <w:rsid w:val="00070153"/>
    <w:rsid w:val="000725E2"/>
    <w:rsid w:val="0009319A"/>
    <w:rsid w:val="00094BF0"/>
    <w:rsid w:val="000C6B61"/>
    <w:rsid w:val="000D0B25"/>
    <w:rsid w:val="000D7732"/>
    <w:rsid w:val="000E125F"/>
    <w:rsid w:val="000E7648"/>
    <w:rsid w:val="00100F1A"/>
    <w:rsid w:val="00113F1F"/>
    <w:rsid w:val="00144C39"/>
    <w:rsid w:val="001604DB"/>
    <w:rsid w:val="001D53AE"/>
    <w:rsid w:val="00202D28"/>
    <w:rsid w:val="00222719"/>
    <w:rsid w:val="002534CF"/>
    <w:rsid w:val="00293ECF"/>
    <w:rsid w:val="00311234"/>
    <w:rsid w:val="00317114"/>
    <w:rsid w:val="003925B0"/>
    <w:rsid w:val="003B3CE2"/>
    <w:rsid w:val="003B3E67"/>
    <w:rsid w:val="00433613"/>
    <w:rsid w:val="00436532"/>
    <w:rsid w:val="00437173"/>
    <w:rsid w:val="0048061D"/>
    <w:rsid w:val="00492545"/>
    <w:rsid w:val="00567685"/>
    <w:rsid w:val="00587F56"/>
    <w:rsid w:val="005B6FF3"/>
    <w:rsid w:val="00604C04"/>
    <w:rsid w:val="00610A9F"/>
    <w:rsid w:val="006305F8"/>
    <w:rsid w:val="007135C5"/>
    <w:rsid w:val="007325C5"/>
    <w:rsid w:val="007352AA"/>
    <w:rsid w:val="007B2940"/>
    <w:rsid w:val="007C0F7C"/>
    <w:rsid w:val="00805127"/>
    <w:rsid w:val="00805BB9"/>
    <w:rsid w:val="00812D03"/>
    <w:rsid w:val="008334FE"/>
    <w:rsid w:val="008476E5"/>
    <w:rsid w:val="00853A2A"/>
    <w:rsid w:val="00890213"/>
    <w:rsid w:val="008B1F70"/>
    <w:rsid w:val="00937803"/>
    <w:rsid w:val="009835FB"/>
    <w:rsid w:val="00A07444"/>
    <w:rsid w:val="00A31525"/>
    <w:rsid w:val="00A41D83"/>
    <w:rsid w:val="00A42D4B"/>
    <w:rsid w:val="00A92036"/>
    <w:rsid w:val="00AA6C33"/>
    <w:rsid w:val="00B066FE"/>
    <w:rsid w:val="00B25BF0"/>
    <w:rsid w:val="00B45145"/>
    <w:rsid w:val="00B55121"/>
    <w:rsid w:val="00B81116"/>
    <w:rsid w:val="00BE049C"/>
    <w:rsid w:val="00BE50BD"/>
    <w:rsid w:val="00C16907"/>
    <w:rsid w:val="00C21D9A"/>
    <w:rsid w:val="00C55F57"/>
    <w:rsid w:val="00C6556C"/>
    <w:rsid w:val="00CA5CEE"/>
    <w:rsid w:val="00CC5B01"/>
    <w:rsid w:val="00D321B8"/>
    <w:rsid w:val="00D35360"/>
    <w:rsid w:val="00D85F55"/>
    <w:rsid w:val="00DA3FAA"/>
    <w:rsid w:val="00E27230"/>
    <w:rsid w:val="00E52553"/>
    <w:rsid w:val="00E57228"/>
    <w:rsid w:val="00EA42AE"/>
    <w:rsid w:val="00EB023C"/>
    <w:rsid w:val="00EB07A4"/>
    <w:rsid w:val="00EC175B"/>
    <w:rsid w:val="00EF0205"/>
    <w:rsid w:val="00FB7A35"/>
    <w:rsid w:val="00FE4683"/>
    <w:rsid w:val="00FE755F"/>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59C36"/>
  <w15:chartTrackingRefBased/>
  <w15:docId w15:val="{21F67E15-F926-45F9-ADA3-FA8994E60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066FE"/>
    <w:pPr>
      <w:spacing w:after="0" w:line="240" w:lineRule="auto"/>
    </w:pPr>
    <w:rPr>
      <w:rFonts w:ascii="Arial" w:hAnsi="Arial"/>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EA4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
    <w:name w:val="AK"/>
    <w:autoRedefine/>
    <w:qFormat/>
    <w:rsid w:val="00587F56"/>
    <w:pPr>
      <w:keepNext/>
      <w:keepLines/>
      <w:suppressLineNumbers/>
      <w:spacing w:after="0" w:line="240" w:lineRule="auto"/>
    </w:pPr>
    <w:rPr>
      <w:rFonts w:ascii="Arial" w:eastAsia="SimSun" w:hAnsi="Arial" w:cs="Times New Roman"/>
      <w:bCs/>
      <w:kern w:val="1"/>
      <w:sz w:val="20"/>
      <w:szCs w:val="20"/>
      <w:lang w:val="et-EE" w:eastAsia="zh-CN" w:bidi="hi-IN"/>
    </w:rPr>
  </w:style>
  <w:style w:type="paragraph" w:styleId="Jutumullitekst">
    <w:name w:val="Balloon Text"/>
    <w:basedOn w:val="Normaallaad"/>
    <w:link w:val="JutumullitekstMrk"/>
    <w:uiPriority w:val="99"/>
    <w:semiHidden/>
    <w:unhideWhenUsed/>
    <w:rsid w:val="00433613"/>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33613"/>
    <w:rPr>
      <w:rFonts w:ascii="Segoe UI" w:hAnsi="Segoe UI" w:cs="Segoe UI"/>
      <w:sz w:val="18"/>
      <w:szCs w:val="18"/>
      <w:lang w:val="et-EE"/>
    </w:rPr>
  </w:style>
  <w:style w:type="paragraph" w:styleId="Pis">
    <w:name w:val="header"/>
    <w:basedOn w:val="Normaallaad"/>
    <w:link w:val="PisMrk"/>
    <w:uiPriority w:val="99"/>
    <w:unhideWhenUsed/>
    <w:rsid w:val="00E52553"/>
    <w:pPr>
      <w:tabs>
        <w:tab w:val="center" w:pos="4536"/>
        <w:tab w:val="right" w:pos="9072"/>
      </w:tabs>
    </w:pPr>
  </w:style>
  <w:style w:type="character" w:customStyle="1" w:styleId="PisMrk">
    <w:name w:val="Päis Märk"/>
    <w:basedOn w:val="Liguvaikefont"/>
    <w:link w:val="Pis"/>
    <w:uiPriority w:val="99"/>
    <w:rsid w:val="00E52553"/>
    <w:rPr>
      <w:rFonts w:ascii="Arial" w:hAnsi="Arial"/>
      <w:lang w:val="et-EE"/>
    </w:rPr>
  </w:style>
  <w:style w:type="paragraph" w:styleId="Jalus">
    <w:name w:val="footer"/>
    <w:basedOn w:val="Normaallaad"/>
    <w:link w:val="JalusMrk"/>
    <w:uiPriority w:val="99"/>
    <w:unhideWhenUsed/>
    <w:rsid w:val="00E52553"/>
    <w:pPr>
      <w:tabs>
        <w:tab w:val="center" w:pos="4536"/>
        <w:tab w:val="right" w:pos="9072"/>
      </w:tabs>
    </w:pPr>
  </w:style>
  <w:style w:type="character" w:customStyle="1" w:styleId="JalusMrk">
    <w:name w:val="Jalus Märk"/>
    <w:basedOn w:val="Liguvaikefont"/>
    <w:link w:val="Jalus"/>
    <w:uiPriority w:val="99"/>
    <w:rsid w:val="00E52553"/>
    <w:rPr>
      <w:rFonts w:ascii="Arial" w:hAnsi="Arial"/>
      <w:lang w:val="et-EE"/>
    </w:rPr>
  </w:style>
  <w:style w:type="paragraph" w:customStyle="1" w:styleId="Tekst">
    <w:name w:val="Tekst"/>
    <w:autoRedefine/>
    <w:qFormat/>
    <w:rsid w:val="00CC5B01"/>
    <w:pPr>
      <w:spacing w:after="0" w:line="240" w:lineRule="auto"/>
      <w:jc w:val="both"/>
    </w:pPr>
    <w:rPr>
      <w:rFonts w:ascii="Arial" w:eastAsia="SimSun" w:hAnsi="Arial" w:cs="Arial"/>
      <w:noProof/>
      <w:kern w:val="1"/>
      <w:lang w:val="et-EE"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Pages>
  <Words>1293</Words>
  <Characters>7502</Characters>
  <Application>Microsoft Office Word</Application>
  <DocSecurity>0</DocSecurity>
  <Lines>62</Lines>
  <Paragraphs>17</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8778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Allert</dc:creator>
  <cp:keywords/>
  <dc:description/>
  <cp:lastModifiedBy>Merle Järve</cp:lastModifiedBy>
  <cp:revision>2</cp:revision>
  <cp:lastPrinted>2016-11-25T14:21:00Z</cp:lastPrinted>
  <dcterms:created xsi:type="dcterms:W3CDTF">2024-05-02T06:14:00Z</dcterms:created>
  <dcterms:modified xsi:type="dcterms:W3CDTF">2024-05-02T06:14:00Z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{viit}</vt:lpwstr>
  </property>
  <property fmtid="{D5CDD505-2E9C-101B-9397-08002B2CF9AE}" pid="3" name="delta_regDateTime">
    <vt:lpwstr>{reg.kpv}</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secondsignerName">
    <vt:lpwstr>{teine allkirjastaja}</vt:lpwstr>
  </property>
  <property fmtid="{D5CDD505-2E9C-101B-9397-08002B2CF9AE}" pid="8" name="delta_secondsignerJobTitle">
    <vt:lpwstr>{teise allkirjastaja ametinimetus}</vt:lpwstr>
  </property>
</Properties>
</file>