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A88B" w14:textId="77777777" w:rsidR="003964A7" w:rsidRDefault="003964A7"/>
    <w:p w14:paraId="2CBDAA0C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39A08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316821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19745E55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03E1352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48E36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488644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5399B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A4C662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781B69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07731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A969CA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3221CD">
              <w:rPr>
                <w:sz w:val="22"/>
                <w:szCs w:val="20"/>
                <w:lang w:val="et-EE"/>
              </w:rPr>
              <w:t>MTÜ Sportlik Eesti</w:t>
            </w:r>
          </w:p>
        </w:tc>
      </w:tr>
      <w:tr w:rsidR="005B4552" w:rsidRPr="00E65EB7" w14:paraId="1E480A6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F835CC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34931A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FC0491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 w:rsidRPr="003221CD">
              <w:rPr>
                <w:sz w:val="22"/>
                <w:szCs w:val="22"/>
                <w:lang w:val="et-EE"/>
              </w:rPr>
              <w:t>80392994</w:t>
            </w:r>
          </w:p>
        </w:tc>
      </w:tr>
      <w:tr w:rsidR="005B4552" w:rsidRPr="00E65EB7" w14:paraId="2CC566C4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C35E6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0907C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7C5B3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A1EC7C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042FB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A84AE4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4DCF84" w14:textId="0FCBDA12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 w:rsidRPr="003221CD">
              <w:rPr>
                <w:sz w:val="22"/>
                <w:szCs w:val="22"/>
                <w:lang w:val="et-EE"/>
              </w:rPr>
              <w:t xml:space="preserve">Tartu maakond, Tartu linn, Tartu linn, </w:t>
            </w:r>
            <w:proofErr w:type="spellStart"/>
            <w:r w:rsidR="00595803" w:rsidRPr="00595803">
              <w:rPr>
                <w:sz w:val="22"/>
                <w:szCs w:val="22"/>
                <w:lang w:val="et-EE"/>
              </w:rPr>
              <w:t>Ropka</w:t>
            </w:r>
            <w:proofErr w:type="spellEnd"/>
            <w:r w:rsidR="00595803" w:rsidRPr="00595803">
              <w:rPr>
                <w:sz w:val="22"/>
                <w:szCs w:val="22"/>
                <w:lang w:val="et-EE"/>
              </w:rPr>
              <w:t xml:space="preserve"> tee 19, 50104</w:t>
            </w:r>
          </w:p>
        </w:tc>
      </w:tr>
      <w:tr w:rsidR="005B4552" w:rsidRPr="00E65EB7" w14:paraId="60AB533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E217EC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BC8649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787849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>58116340; aire@tris</w:t>
            </w:r>
            <w:r w:rsidR="00B124A9">
              <w:rPr>
                <w:sz w:val="22"/>
                <w:szCs w:val="22"/>
                <w:lang w:val="et-EE"/>
              </w:rPr>
              <w:t>tore.ee</w:t>
            </w:r>
          </w:p>
        </w:tc>
      </w:tr>
      <w:tr w:rsidR="005B4552" w:rsidRPr="00E65EB7" w14:paraId="5F68AF6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48F38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17253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FABE7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EC19BDB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1E88D1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7397D1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3D0E4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>Lauri Lillmann</w:t>
            </w:r>
          </w:p>
        </w:tc>
      </w:tr>
      <w:tr w:rsidR="005B4552" w:rsidRPr="00E65EB7" w14:paraId="4AED1282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85296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13BCA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F8E2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 xml:space="preserve">5113525; </w:t>
            </w:r>
            <w:r w:rsidR="003F4A89" w:rsidRPr="003F4A89">
              <w:rPr>
                <w:sz w:val="22"/>
                <w:szCs w:val="22"/>
                <w:lang w:val="et-EE"/>
              </w:rPr>
              <w:t>lauri.lillmann@gmail.com</w:t>
            </w:r>
          </w:p>
        </w:tc>
      </w:tr>
      <w:tr w:rsidR="005B4552" w:rsidRPr="00E65EB7" w14:paraId="0B663A84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EBE2BE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5C44689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BDF82DD" w14:textId="77777777" w:rsidR="00584F7A" w:rsidRDefault="00584F7A" w:rsidP="004C0B22">
            <w:pPr>
              <w:rPr>
                <w:sz w:val="20"/>
                <w:szCs w:val="20"/>
                <w:lang w:val="et-EE"/>
              </w:rPr>
            </w:pPr>
          </w:p>
          <w:p w14:paraId="78AC38DD" w14:textId="77777777" w:rsidR="005B4552" w:rsidRDefault="006A04F3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B7087E">
              <w:rPr>
                <w:sz w:val="20"/>
                <w:szCs w:val="20"/>
                <w:lang w:val="et-EE"/>
              </w:rPr>
              <w:t>8 (</w:t>
            </w:r>
            <w:r w:rsidR="00B7087E" w:rsidRPr="00B7087E">
              <w:rPr>
                <w:sz w:val="20"/>
                <w:szCs w:val="20"/>
                <w:lang w:val="et-EE"/>
              </w:rPr>
              <w:t xml:space="preserve">Tallinn </w:t>
            </w:r>
            <w:r w:rsidR="00B7087E">
              <w:rPr>
                <w:sz w:val="20"/>
                <w:szCs w:val="20"/>
                <w:lang w:val="et-EE"/>
              </w:rPr>
              <w:t>–</w:t>
            </w:r>
            <w:r w:rsidR="00B7087E" w:rsidRPr="00B7087E">
              <w:rPr>
                <w:sz w:val="20"/>
                <w:szCs w:val="20"/>
                <w:lang w:val="et-EE"/>
              </w:rPr>
              <w:t xml:space="preserve"> Paldiski</w:t>
            </w:r>
            <w:r w:rsidR="00B7087E">
              <w:rPr>
                <w:sz w:val="20"/>
                <w:szCs w:val="20"/>
                <w:lang w:val="et-EE"/>
              </w:rPr>
              <w:t>)</w:t>
            </w:r>
            <w:r w:rsidR="003D1794">
              <w:rPr>
                <w:sz w:val="20"/>
                <w:szCs w:val="20"/>
                <w:lang w:val="et-EE"/>
              </w:rPr>
              <w:t xml:space="preserve">, Tähetorni tn ja </w:t>
            </w:r>
            <w:r>
              <w:rPr>
                <w:sz w:val="20"/>
                <w:szCs w:val="20"/>
                <w:lang w:val="et-EE"/>
              </w:rPr>
              <w:t>T</w:t>
            </w:r>
            <w:r w:rsidR="00D17572">
              <w:rPr>
                <w:sz w:val="20"/>
                <w:szCs w:val="20"/>
                <w:lang w:val="et-EE"/>
              </w:rPr>
              <w:t>11193</w:t>
            </w:r>
            <w:r w:rsidR="003D1794">
              <w:rPr>
                <w:sz w:val="20"/>
                <w:szCs w:val="20"/>
                <w:lang w:val="et-EE"/>
              </w:rPr>
              <w:t xml:space="preserve"> (</w:t>
            </w:r>
            <w:proofErr w:type="spellStart"/>
            <w:r w:rsidR="00D17572">
              <w:rPr>
                <w:sz w:val="20"/>
                <w:szCs w:val="20"/>
                <w:lang w:val="et-EE"/>
              </w:rPr>
              <w:t>Kumna</w:t>
            </w:r>
            <w:proofErr w:type="spellEnd"/>
            <w:r w:rsidR="00D17572">
              <w:rPr>
                <w:sz w:val="20"/>
                <w:szCs w:val="20"/>
                <w:lang w:val="et-EE"/>
              </w:rPr>
              <w:t>-Vääna</w:t>
            </w:r>
            <w:r w:rsidR="003D1794">
              <w:rPr>
                <w:sz w:val="20"/>
                <w:szCs w:val="20"/>
                <w:lang w:val="et-EE"/>
              </w:rPr>
              <w:t>) vaheline lõik,</w:t>
            </w:r>
            <w:r w:rsidR="00B7087E">
              <w:rPr>
                <w:sz w:val="20"/>
                <w:szCs w:val="20"/>
                <w:lang w:val="et-EE"/>
              </w:rPr>
              <w:t xml:space="preserve"> km </w:t>
            </w:r>
            <w:r w:rsidR="003D1794">
              <w:rPr>
                <w:sz w:val="20"/>
                <w:szCs w:val="20"/>
                <w:lang w:val="et-EE"/>
              </w:rPr>
              <w:t>11</w:t>
            </w:r>
            <w:r w:rsidR="00CA1CC9">
              <w:rPr>
                <w:sz w:val="20"/>
                <w:szCs w:val="20"/>
                <w:lang w:val="et-EE"/>
              </w:rPr>
              <w:t>,3</w:t>
            </w:r>
            <w:r w:rsidR="003D1794">
              <w:rPr>
                <w:sz w:val="20"/>
                <w:szCs w:val="20"/>
                <w:lang w:val="et-EE"/>
              </w:rPr>
              <w:t>-</w:t>
            </w:r>
            <w:r w:rsidR="00D17572">
              <w:rPr>
                <w:sz w:val="20"/>
                <w:szCs w:val="20"/>
                <w:lang w:val="et-EE"/>
              </w:rPr>
              <w:t>22</w:t>
            </w:r>
            <w:r w:rsidR="0049218A">
              <w:rPr>
                <w:sz w:val="20"/>
                <w:szCs w:val="20"/>
                <w:lang w:val="et-EE"/>
              </w:rPr>
              <w:t>,</w:t>
            </w:r>
            <w:r w:rsidR="00D17572">
              <w:rPr>
                <w:sz w:val="20"/>
                <w:szCs w:val="20"/>
                <w:lang w:val="et-EE"/>
              </w:rPr>
              <w:t>4</w:t>
            </w:r>
          </w:p>
          <w:p w14:paraId="020E7BBD" w14:textId="77777777" w:rsidR="00D17572" w:rsidRDefault="00D17572" w:rsidP="00D17572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 w:rsidRPr="00BE5021">
              <w:rPr>
                <w:sz w:val="20"/>
                <w:szCs w:val="20"/>
                <w:lang w:val="et-EE"/>
              </w:rPr>
              <w:t>T11410 (Kiia–Vääna-</w:t>
            </w:r>
            <w:proofErr w:type="spellStart"/>
            <w:r w:rsidRPr="00BE5021">
              <w:rPr>
                <w:sz w:val="20"/>
                <w:szCs w:val="20"/>
                <w:lang w:val="et-EE"/>
              </w:rPr>
              <w:t>Viti</w:t>
            </w:r>
            <w:proofErr w:type="spellEnd"/>
            <w:r w:rsidRPr="00BE5021">
              <w:rPr>
                <w:sz w:val="20"/>
                <w:szCs w:val="20"/>
                <w:lang w:val="et-EE"/>
              </w:rPr>
              <w:t xml:space="preserve">), </w:t>
            </w:r>
            <w:r>
              <w:rPr>
                <w:sz w:val="20"/>
                <w:szCs w:val="20"/>
                <w:lang w:val="et-EE"/>
              </w:rPr>
              <w:t>T</w:t>
            </w:r>
            <w:r w:rsidRPr="00C23076">
              <w:rPr>
                <w:sz w:val="20"/>
                <w:szCs w:val="20"/>
                <w:lang w:val="et-EE"/>
              </w:rPr>
              <w:t xml:space="preserve">8 </w:t>
            </w:r>
            <w:r>
              <w:rPr>
                <w:sz w:val="20"/>
                <w:szCs w:val="20"/>
                <w:lang w:val="et-EE"/>
              </w:rPr>
              <w:t>(</w:t>
            </w:r>
            <w:r w:rsidRPr="00C23076">
              <w:rPr>
                <w:sz w:val="20"/>
                <w:szCs w:val="20"/>
                <w:lang w:val="et-EE"/>
              </w:rPr>
              <w:t xml:space="preserve">Tallinn </w:t>
            </w:r>
            <w:r>
              <w:rPr>
                <w:sz w:val="20"/>
                <w:szCs w:val="20"/>
                <w:lang w:val="et-EE"/>
              </w:rPr>
              <w:t>–</w:t>
            </w:r>
            <w:r w:rsidRPr="00C23076">
              <w:rPr>
                <w:sz w:val="20"/>
                <w:szCs w:val="20"/>
                <w:lang w:val="et-EE"/>
              </w:rPr>
              <w:t xml:space="preserve"> Paldiski</w:t>
            </w:r>
            <w:r>
              <w:rPr>
                <w:sz w:val="20"/>
                <w:szCs w:val="20"/>
                <w:lang w:val="et-EE"/>
              </w:rPr>
              <w:t xml:space="preserve">) ja T11412 (Liikva-Rannamõisa) </w:t>
            </w:r>
            <w:r w:rsidRPr="00BE5021">
              <w:rPr>
                <w:sz w:val="20"/>
                <w:szCs w:val="20"/>
                <w:lang w:val="et-EE"/>
              </w:rPr>
              <w:t xml:space="preserve">vaheline lõik, km </w:t>
            </w:r>
            <w:r>
              <w:rPr>
                <w:sz w:val="20"/>
                <w:szCs w:val="20"/>
                <w:lang w:val="et-EE"/>
              </w:rPr>
              <w:t>0-10,1</w:t>
            </w:r>
          </w:p>
          <w:p w14:paraId="00ADA21C" w14:textId="695775DC" w:rsidR="00C23076" w:rsidRPr="00A141AF" w:rsidRDefault="00D17572" w:rsidP="00A141AF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 w:rsidRPr="00641B62">
              <w:rPr>
                <w:sz w:val="20"/>
                <w:szCs w:val="20"/>
                <w:lang w:val="et-EE"/>
              </w:rPr>
              <w:t xml:space="preserve">T11412 (Liikva–Rannamõisa), 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T11410 </w:t>
            </w:r>
            <w:r w:rsidR="00A141AF">
              <w:rPr>
                <w:sz w:val="20"/>
                <w:szCs w:val="20"/>
                <w:lang w:val="et-EE"/>
              </w:rPr>
              <w:t>(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Kiia - Vääna - </w:t>
            </w:r>
            <w:proofErr w:type="spellStart"/>
            <w:r w:rsidR="00A141AF" w:rsidRPr="00A141AF">
              <w:rPr>
                <w:sz w:val="20"/>
                <w:szCs w:val="20"/>
                <w:lang w:val="et-EE"/>
              </w:rPr>
              <w:t>Viti</w:t>
            </w:r>
            <w:proofErr w:type="spellEnd"/>
            <w:r w:rsidR="00A141AF" w:rsidRPr="00A141AF">
              <w:rPr>
                <w:sz w:val="20"/>
                <w:szCs w:val="20"/>
                <w:lang w:val="et-EE"/>
              </w:rPr>
              <w:t xml:space="preserve"> </w:t>
            </w:r>
            <w:r w:rsidR="00A141AF">
              <w:rPr>
                <w:sz w:val="20"/>
                <w:szCs w:val="20"/>
                <w:lang w:val="et-EE"/>
              </w:rPr>
              <w:t>) ja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 Tuule tee</w:t>
            </w:r>
            <w:r w:rsidR="00A141AF">
              <w:rPr>
                <w:sz w:val="20"/>
                <w:szCs w:val="20"/>
                <w:lang w:val="et-EE"/>
              </w:rPr>
              <w:t xml:space="preserve"> vaheline lõik, km 0-4,5</w:t>
            </w:r>
          </w:p>
          <w:p w14:paraId="2030B23D" w14:textId="79F6649E" w:rsidR="00D17572" w:rsidRDefault="00D17572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T11411</w:t>
            </w:r>
            <w:r w:rsidR="00A141AF">
              <w:rPr>
                <w:sz w:val="20"/>
                <w:szCs w:val="20"/>
                <w:lang w:val="et-EE"/>
              </w:rPr>
              <w:t xml:space="preserve"> (</w:t>
            </w:r>
            <w:r w:rsidR="00A141AF" w:rsidRPr="00A141AF">
              <w:rPr>
                <w:sz w:val="20"/>
                <w:szCs w:val="20"/>
                <w:lang w:val="et-EE"/>
              </w:rPr>
              <w:t>Vääna - Keila-Joa</w:t>
            </w:r>
            <w:r w:rsidR="00A141AF">
              <w:rPr>
                <w:sz w:val="20"/>
                <w:szCs w:val="20"/>
                <w:lang w:val="et-EE"/>
              </w:rPr>
              <w:t xml:space="preserve">), </w:t>
            </w:r>
            <w:r w:rsidR="00A141AF" w:rsidRPr="00BE5021">
              <w:rPr>
                <w:sz w:val="20"/>
                <w:szCs w:val="20"/>
                <w:lang w:val="et-EE"/>
              </w:rPr>
              <w:t>T11410 (Kiia–Vääna-</w:t>
            </w:r>
            <w:proofErr w:type="spellStart"/>
            <w:r w:rsidR="00A141AF" w:rsidRPr="00BE5021">
              <w:rPr>
                <w:sz w:val="20"/>
                <w:szCs w:val="20"/>
                <w:lang w:val="et-EE"/>
              </w:rPr>
              <w:t>Viti</w:t>
            </w:r>
            <w:proofErr w:type="spellEnd"/>
            <w:r w:rsidR="00A141AF" w:rsidRPr="00BE5021">
              <w:rPr>
                <w:sz w:val="20"/>
                <w:szCs w:val="20"/>
                <w:lang w:val="et-EE"/>
              </w:rPr>
              <w:t>)</w:t>
            </w:r>
            <w:r w:rsidR="00A141AF">
              <w:rPr>
                <w:sz w:val="20"/>
                <w:szCs w:val="20"/>
                <w:lang w:val="et-EE"/>
              </w:rPr>
              <w:t xml:space="preserve"> ja </w:t>
            </w:r>
            <w:r w:rsidR="00CC6909">
              <w:rPr>
                <w:sz w:val="20"/>
                <w:szCs w:val="20"/>
                <w:lang w:val="et-EE"/>
              </w:rPr>
              <w:t>T</w:t>
            </w:r>
            <w:r w:rsidR="00CC6909" w:rsidRPr="00643541">
              <w:rPr>
                <w:sz w:val="20"/>
                <w:szCs w:val="20"/>
                <w:lang w:val="et-EE"/>
              </w:rPr>
              <w:t xml:space="preserve">11193 </w:t>
            </w:r>
            <w:r w:rsidR="00CC6909">
              <w:rPr>
                <w:sz w:val="20"/>
                <w:szCs w:val="20"/>
                <w:lang w:val="et-EE"/>
              </w:rPr>
              <w:t>(</w:t>
            </w:r>
            <w:proofErr w:type="spellStart"/>
            <w:r w:rsidR="00CC6909" w:rsidRPr="00643541">
              <w:rPr>
                <w:sz w:val="20"/>
                <w:szCs w:val="20"/>
                <w:lang w:val="et-EE"/>
              </w:rPr>
              <w:t>Kumna</w:t>
            </w:r>
            <w:proofErr w:type="spellEnd"/>
            <w:r w:rsidR="00CC6909" w:rsidRPr="00643541">
              <w:rPr>
                <w:sz w:val="20"/>
                <w:szCs w:val="20"/>
                <w:lang w:val="et-EE"/>
              </w:rPr>
              <w:t>–Vääna</w:t>
            </w:r>
            <w:r w:rsidR="00CC6909">
              <w:rPr>
                <w:sz w:val="20"/>
                <w:szCs w:val="20"/>
                <w:lang w:val="et-EE"/>
              </w:rPr>
              <w:t>) vaheline lõik</w:t>
            </w:r>
            <w:r w:rsidR="00CE4959">
              <w:rPr>
                <w:sz w:val="20"/>
                <w:szCs w:val="20"/>
                <w:lang w:val="et-EE"/>
              </w:rPr>
              <w:t>, km 0-0,8</w:t>
            </w:r>
          </w:p>
          <w:p w14:paraId="0732A320" w14:textId="77777777" w:rsidR="00643541" w:rsidRDefault="00643541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Pr="00643541">
              <w:rPr>
                <w:sz w:val="20"/>
                <w:szCs w:val="20"/>
                <w:lang w:val="et-EE"/>
              </w:rPr>
              <w:t xml:space="preserve">11193 </w:t>
            </w:r>
            <w:r>
              <w:rPr>
                <w:sz w:val="20"/>
                <w:szCs w:val="20"/>
                <w:lang w:val="et-EE"/>
              </w:rPr>
              <w:t>(</w:t>
            </w:r>
            <w:proofErr w:type="spellStart"/>
            <w:r w:rsidRPr="00643541">
              <w:rPr>
                <w:sz w:val="20"/>
                <w:szCs w:val="20"/>
                <w:lang w:val="et-EE"/>
              </w:rPr>
              <w:t>Kumna</w:t>
            </w:r>
            <w:proofErr w:type="spellEnd"/>
            <w:r w:rsidRPr="00643541">
              <w:rPr>
                <w:sz w:val="20"/>
                <w:szCs w:val="20"/>
                <w:lang w:val="et-EE"/>
              </w:rPr>
              <w:t>–Vääna</w:t>
            </w:r>
            <w:r>
              <w:rPr>
                <w:sz w:val="20"/>
                <w:szCs w:val="20"/>
                <w:lang w:val="et-EE"/>
              </w:rPr>
              <w:t>), kogu ulatuses</w:t>
            </w:r>
          </w:p>
          <w:p w14:paraId="60980553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4311379D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068F628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6F7F8B41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D2E00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E8E905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40506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59C60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0FCED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7FF4F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4704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B5475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CB8AA3E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E3FF7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185CA2" w:rsidRPr="00E65EB7" w14:paraId="4E76327E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67D941" w14:textId="77777777" w:rsidR="00185CA2" w:rsidRPr="00185CA2" w:rsidRDefault="00185CA2" w:rsidP="00043C33">
            <w:pPr>
              <w:rPr>
                <w:sz w:val="22"/>
                <w:szCs w:val="22"/>
                <w:lang w:val="et-EE"/>
              </w:rPr>
            </w:pPr>
          </w:p>
          <w:p w14:paraId="12064618" w14:textId="6F63E758" w:rsidR="00185CA2" w:rsidRPr="00185CA2" w:rsidRDefault="000E17D2" w:rsidP="00185CA2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Kaheksandat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 korda toimuv triatlonifestival IRONMAN Tallinn toimub 202</w:t>
            </w:r>
            <w:r>
              <w:rPr>
                <w:sz w:val="22"/>
                <w:szCs w:val="22"/>
                <w:lang w:val="et-EE"/>
              </w:rPr>
              <w:t>5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aastal </w:t>
            </w:r>
            <w:r w:rsidR="008319C5">
              <w:rPr>
                <w:sz w:val="22"/>
                <w:szCs w:val="22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3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ja </w:t>
            </w:r>
            <w:r w:rsidR="008319C5">
              <w:rPr>
                <w:sz w:val="22"/>
                <w:szCs w:val="22"/>
                <w:lang w:val="et-EE"/>
              </w:rPr>
              <w:t>2</w:t>
            </w:r>
            <w:r>
              <w:rPr>
                <w:sz w:val="22"/>
                <w:szCs w:val="22"/>
                <w:lang w:val="et-EE"/>
              </w:rPr>
              <w:t>4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augustil. </w:t>
            </w:r>
          </w:p>
          <w:p w14:paraId="15BBB208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5CA98FEE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Võistlejaid julgestavad turvatöötajad ja rajakohtunikud. Elanikud, operatiivautod ja kohalike asutuste transport lastakse läbi vastavalt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reguleerijate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poolt hinnatud olukorrale ning tehtud otsustele ja märguannetele.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Reguleerijaid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instrueeritakse temale määratud tööposti iseloomust, on pädevad ja nõuetekohase märguriietusega.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on varustatud sidevahenditega omavaheliseks suhtlemiseks. </w:t>
            </w:r>
          </w:p>
          <w:p w14:paraId="7003920C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5406C879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proofErr w:type="spellStart"/>
            <w:r w:rsidRPr="00185CA2">
              <w:rPr>
                <w:sz w:val="22"/>
                <w:szCs w:val="22"/>
                <w:lang w:val="et-EE"/>
              </w:rPr>
              <w:t>Reguleerijaid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abistavad rajal turvatöötajad.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Liiklusreguleerijad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planeeritakse kohale 1h enne tee maa-ala sulgemist.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Liiklusreguleerijad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on planeeritud kohale nö „postil“ kogu sulgemise perioodil.</w:t>
            </w:r>
          </w:p>
          <w:p w14:paraId="2345BC60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4558705D" w14:textId="010669C6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Aiad ja teetõkised paigaldatakse selliselt, et oleks tagatud võistlejate ja liiklejate ohutus. Aiad ja teetõkised paigaldatakse omale kohale vahetult enne võistlustrassi ala sulgemist ning eemaldatakse vahetult pärast võistluse lõppu. </w:t>
            </w:r>
          </w:p>
          <w:p w14:paraId="6CDB702E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396B9118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Tee avamisega tavaliiklusele alustatakse viimase võistleja järel või peakorraldajalt/staabist saadud vastava info kohaselt, st kui on lahkunud viimane võistleja raja lõigult.</w:t>
            </w:r>
          </w:p>
          <w:p w14:paraId="6EAA0D46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0CCC222E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Liikluskorraldusvahendite paigaldamiseks ja eemaldamiseks võib liiklus olla võistlusraja läheduses lühiajaliselt häiritud.</w:t>
            </w:r>
          </w:p>
          <w:p w14:paraId="0E47F9FC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7A4DDFA8" w14:textId="442AE324" w:rsid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Võistlusrajale paigaldatakse võistlejate suunamiseks suunanooli, km tähiseid jm võistlusega seotud infotahvleid, samuti ohtlike kohtade tähistamiseks või suunamiseks lisatähiseid (koonused</w:t>
            </w:r>
            <w:r w:rsidR="00641B62">
              <w:rPr>
                <w:sz w:val="22"/>
                <w:szCs w:val="22"/>
                <w:lang w:val="et-EE"/>
              </w:rPr>
              <w:t>, sildid, kollane teip</w:t>
            </w:r>
            <w:r w:rsidRPr="00185CA2">
              <w:rPr>
                <w:sz w:val="22"/>
                <w:szCs w:val="22"/>
                <w:lang w:val="et-EE"/>
              </w:rPr>
              <w:t xml:space="preserve"> vm)</w:t>
            </w:r>
            <w:r w:rsidR="00641B62">
              <w:rPr>
                <w:sz w:val="22"/>
                <w:szCs w:val="22"/>
                <w:lang w:val="et-EE"/>
              </w:rPr>
              <w:t>,</w:t>
            </w:r>
            <w:r w:rsidRPr="00185CA2">
              <w:rPr>
                <w:sz w:val="22"/>
                <w:szCs w:val="22"/>
                <w:lang w:val="et-EE"/>
              </w:rPr>
              <w:t xml:space="preserve"> mis eemaldatakse p</w:t>
            </w:r>
            <w:r w:rsidR="0054672E">
              <w:rPr>
                <w:sz w:val="22"/>
                <w:szCs w:val="22"/>
                <w:lang w:val="et-EE"/>
              </w:rPr>
              <w:t>ärast</w:t>
            </w:r>
            <w:r w:rsidRPr="00185CA2">
              <w:rPr>
                <w:sz w:val="22"/>
                <w:szCs w:val="22"/>
                <w:lang w:val="et-EE"/>
              </w:rPr>
              <w:t xml:space="preserve"> võistluse lõppu.</w:t>
            </w:r>
          </w:p>
          <w:p w14:paraId="27CDBB02" w14:textId="77777777" w:rsidR="004219FA" w:rsidRPr="00185CA2" w:rsidRDefault="004219FA" w:rsidP="00185CA2">
            <w:pPr>
              <w:rPr>
                <w:sz w:val="22"/>
                <w:szCs w:val="22"/>
                <w:lang w:val="et-EE"/>
              </w:rPr>
            </w:pPr>
          </w:p>
          <w:p w14:paraId="188A2931" w14:textId="16A8F183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Suunanooled paigaldatakse alates </w:t>
            </w:r>
            <w:r w:rsidR="00E67C4B">
              <w:rPr>
                <w:sz w:val="22"/>
                <w:szCs w:val="22"/>
                <w:lang w:val="et-EE"/>
              </w:rPr>
              <w:t>20</w:t>
            </w:r>
            <w:r w:rsidR="00166066">
              <w:rPr>
                <w:sz w:val="22"/>
                <w:szCs w:val="22"/>
                <w:lang w:val="et-EE"/>
              </w:rPr>
              <w:t>.0</w:t>
            </w:r>
            <w:r w:rsidR="008A2B24">
              <w:rPr>
                <w:sz w:val="22"/>
                <w:szCs w:val="22"/>
                <w:lang w:val="et-EE"/>
              </w:rPr>
              <w:t>8</w:t>
            </w:r>
            <w:r w:rsidR="00166066">
              <w:rPr>
                <w:sz w:val="22"/>
                <w:szCs w:val="22"/>
                <w:lang w:val="et-EE"/>
              </w:rPr>
              <w:t>.202</w:t>
            </w:r>
            <w:r w:rsidR="00E67C4B">
              <w:rPr>
                <w:sz w:val="22"/>
                <w:szCs w:val="22"/>
                <w:lang w:val="et-EE"/>
              </w:rPr>
              <w:t>5</w:t>
            </w:r>
            <w:r w:rsidRPr="00185CA2">
              <w:rPr>
                <w:sz w:val="22"/>
                <w:szCs w:val="22"/>
                <w:lang w:val="et-EE"/>
              </w:rPr>
              <w:t xml:space="preserve">. Võistlusega seotud </w:t>
            </w:r>
            <w:r w:rsidR="00677B89">
              <w:rPr>
                <w:sz w:val="22"/>
                <w:szCs w:val="22"/>
                <w:lang w:val="et-EE"/>
              </w:rPr>
              <w:t xml:space="preserve">kolme </w:t>
            </w:r>
            <w:r w:rsidR="00976301">
              <w:rPr>
                <w:sz w:val="22"/>
                <w:szCs w:val="22"/>
                <w:lang w:val="et-EE"/>
              </w:rPr>
              <w:t>teenindus</w:t>
            </w:r>
            <w:r w:rsidRPr="00185CA2">
              <w:rPr>
                <w:sz w:val="22"/>
                <w:szCs w:val="22"/>
                <w:lang w:val="et-EE"/>
              </w:rPr>
              <w:t xml:space="preserve">punkti paigaldatakse sõidutee äärde </w:t>
            </w:r>
            <w:r w:rsidR="00641B62" w:rsidRPr="00412A01">
              <w:rPr>
                <w:sz w:val="22"/>
                <w:szCs w:val="22"/>
                <w:lang w:val="et-EE"/>
              </w:rPr>
              <w:t>kaks</w:t>
            </w:r>
            <w:r w:rsidR="00641B62">
              <w:rPr>
                <w:sz w:val="22"/>
                <w:szCs w:val="22"/>
                <w:lang w:val="et-EE"/>
              </w:rPr>
              <w:t xml:space="preserve"> kaubikut</w:t>
            </w:r>
            <w:r w:rsidRPr="00185CA2">
              <w:rPr>
                <w:sz w:val="22"/>
                <w:szCs w:val="22"/>
                <w:lang w:val="et-EE"/>
              </w:rPr>
              <w:t xml:space="preserve"> vastava varustusega</w:t>
            </w:r>
            <w:r w:rsidR="00641B62">
              <w:rPr>
                <w:sz w:val="22"/>
                <w:szCs w:val="22"/>
                <w:lang w:val="et-EE"/>
              </w:rPr>
              <w:t>. Kaubikud</w:t>
            </w:r>
            <w:r w:rsidRPr="00185CA2">
              <w:rPr>
                <w:sz w:val="22"/>
                <w:szCs w:val="22"/>
                <w:lang w:val="et-EE"/>
              </w:rPr>
              <w:t xml:space="preserve"> on tee äär</w:t>
            </w:r>
            <w:r w:rsidR="00412A01">
              <w:rPr>
                <w:sz w:val="22"/>
                <w:szCs w:val="22"/>
                <w:lang w:val="et-EE"/>
              </w:rPr>
              <w:t>de pargitud</w:t>
            </w:r>
            <w:r w:rsidRPr="00185CA2">
              <w:rPr>
                <w:sz w:val="22"/>
                <w:szCs w:val="22"/>
                <w:lang w:val="et-EE"/>
              </w:rPr>
              <w:t xml:space="preserve"> </w:t>
            </w:r>
            <w:r w:rsidR="002E24F8">
              <w:rPr>
                <w:sz w:val="22"/>
                <w:szCs w:val="22"/>
                <w:lang w:val="et-EE"/>
              </w:rPr>
              <w:t>2</w:t>
            </w:r>
            <w:r w:rsidR="00A47DAC">
              <w:rPr>
                <w:sz w:val="22"/>
                <w:szCs w:val="22"/>
                <w:lang w:val="et-EE"/>
              </w:rPr>
              <w:t>2</w:t>
            </w:r>
            <w:r w:rsidRPr="00185CA2">
              <w:rPr>
                <w:sz w:val="22"/>
                <w:szCs w:val="22"/>
                <w:lang w:val="et-EE"/>
              </w:rPr>
              <w:t>.08-</w:t>
            </w:r>
            <w:r w:rsidR="002E24F8">
              <w:rPr>
                <w:sz w:val="22"/>
                <w:szCs w:val="22"/>
                <w:lang w:val="et-EE"/>
              </w:rPr>
              <w:t>2</w:t>
            </w:r>
            <w:r w:rsidR="00A47DAC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A47DAC">
              <w:rPr>
                <w:sz w:val="22"/>
                <w:szCs w:val="22"/>
                <w:lang w:val="et-EE"/>
              </w:rPr>
              <w:t>5</w:t>
            </w:r>
            <w:r w:rsidRPr="00185CA2">
              <w:rPr>
                <w:sz w:val="22"/>
                <w:szCs w:val="22"/>
                <w:lang w:val="et-EE"/>
              </w:rPr>
              <w:t>.</w:t>
            </w:r>
          </w:p>
          <w:p w14:paraId="075B0BB4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4ADCB622" w14:textId="029AE931" w:rsid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Seoses IRONMAN Tallinn </w:t>
            </w:r>
            <w:r w:rsidR="00A47DAC">
              <w:rPr>
                <w:sz w:val="22"/>
                <w:szCs w:val="22"/>
                <w:lang w:val="et-EE"/>
              </w:rPr>
              <w:t>triatloni</w:t>
            </w:r>
            <w:r w:rsidRPr="00185CA2">
              <w:rPr>
                <w:sz w:val="22"/>
                <w:szCs w:val="22"/>
                <w:lang w:val="et-EE"/>
              </w:rPr>
              <w:t xml:space="preserve">võistlusega palume väljastada luba kasutada teid </w:t>
            </w:r>
            <w:r w:rsidR="002E24F8">
              <w:rPr>
                <w:sz w:val="22"/>
                <w:szCs w:val="22"/>
                <w:lang w:val="et-EE"/>
              </w:rPr>
              <w:t>2</w:t>
            </w:r>
            <w:r w:rsidR="00A47DAC">
              <w:rPr>
                <w:sz w:val="22"/>
                <w:szCs w:val="22"/>
                <w:lang w:val="et-EE"/>
              </w:rPr>
              <w:t>3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A47DAC">
              <w:rPr>
                <w:sz w:val="22"/>
                <w:szCs w:val="22"/>
                <w:lang w:val="et-EE"/>
              </w:rPr>
              <w:t>5</w:t>
            </w:r>
            <w:r w:rsidRPr="00185CA2">
              <w:rPr>
                <w:sz w:val="22"/>
                <w:szCs w:val="22"/>
                <w:lang w:val="et-EE"/>
              </w:rPr>
              <w:t xml:space="preserve"> kell 6:</w:t>
            </w:r>
            <w:r w:rsidR="00166066">
              <w:rPr>
                <w:sz w:val="22"/>
                <w:szCs w:val="22"/>
                <w:lang w:val="et-EE"/>
              </w:rPr>
              <w:t>0</w:t>
            </w:r>
            <w:r w:rsidRPr="00185CA2">
              <w:rPr>
                <w:sz w:val="22"/>
                <w:szCs w:val="22"/>
                <w:lang w:val="et-EE"/>
              </w:rPr>
              <w:t>0</w:t>
            </w:r>
            <w:r w:rsidR="00BD5FF9">
              <w:rPr>
                <w:sz w:val="22"/>
                <w:szCs w:val="22"/>
                <w:lang w:val="et-EE"/>
              </w:rPr>
              <w:t>-17.30</w:t>
            </w:r>
            <w:r w:rsidRPr="00185CA2">
              <w:rPr>
                <w:sz w:val="22"/>
                <w:szCs w:val="22"/>
                <w:lang w:val="et-EE"/>
              </w:rPr>
              <w:t xml:space="preserve"> </w:t>
            </w:r>
            <w:r w:rsidR="00E03F85">
              <w:rPr>
                <w:sz w:val="22"/>
                <w:szCs w:val="22"/>
                <w:lang w:val="et-EE"/>
              </w:rPr>
              <w:t xml:space="preserve">ja </w:t>
            </w:r>
            <w:r w:rsidR="00173899">
              <w:rPr>
                <w:sz w:val="22"/>
                <w:szCs w:val="22"/>
                <w:lang w:val="et-EE"/>
              </w:rPr>
              <w:t>2</w:t>
            </w:r>
            <w:r w:rsidR="00A47DAC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173899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 xml:space="preserve"> kell </w:t>
            </w:r>
            <w:r w:rsidR="004D38F7">
              <w:rPr>
                <w:sz w:val="22"/>
                <w:szCs w:val="22"/>
                <w:lang w:val="et-EE"/>
              </w:rPr>
              <w:t>7:30-</w:t>
            </w:r>
            <w:r w:rsidRPr="00185CA2">
              <w:rPr>
                <w:sz w:val="22"/>
                <w:szCs w:val="22"/>
                <w:lang w:val="et-EE"/>
              </w:rPr>
              <w:t>1</w:t>
            </w:r>
            <w:r w:rsidR="00A47DAC">
              <w:rPr>
                <w:sz w:val="22"/>
                <w:szCs w:val="22"/>
                <w:lang w:val="et-EE"/>
              </w:rPr>
              <w:t>5</w:t>
            </w:r>
            <w:r w:rsidRPr="00185CA2">
              <w:rPr>
                <w:sz w:val="22"/>
                <w:szCs w:val="22"/>
                <w:lang w:val="et-EE"/>
              </w:rPr>
              <w:t>:</w:t>
            </w:r>
            <w:r w:rsidR="00A47DAC">
              <w:rPr>
                <w:sz w:val="22"/>
                <w:szCs w:val="22"/>
                <w:lang w:val="et-EE"/>
              </w:rPr>
              <w:t>0</w:t>
            </w:r>
            <w:r w:rsidRPr="00185CA2">
              <w:rPr>
                <w:sz w:val="22"/>
                <w:szCs w:val="22"/>
                <w:lang w:val="et-EE"/>
              </w:rPr>
              <w:t>0 spordivõistluse korraldamiseks ja luba sulgeda teed avalikule liiklusele.</w:t>
            </w:r>
          </w:p>
          <w:p w14:paraId="0692F2B8" w14:textId="3C1D55FD" w:rsidR="008441BB" w:rsidRPr="005D0DA6" w:rsidRDefault="008441BB" w:rsidP="00185CA2">
            <w:pPr>
              <w:rPr>
                <w:sz w:val="22"/>
                <w:szCs w:val="22"/>
                <w:lang w:val="et-EE"/>
              </w:rPr>
            </w:pPr>
          </w:p>
        </w:tc>
      </w:tr>
      <w:tr w:rsidR="000D3A97" w:rsidRPr="00E65EB7" w14:paraId="3F77531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7BE7B6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57750616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w:rsidR="000744C8" w:rsidRPr="00E65EB7" w14:paraId="409424BC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BB2558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29947D35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4D70C680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208E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C2C6021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73C028F7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7C07B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3411B47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maavalitsusega</w:t>
            </w:r>
          </w:p>
        </w:tc>
      </w:tr>
      <w:tr w:rsidR="000744C8" w:rsidRPr="00E65EB7" w14:paraId="77E38269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07216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C558530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6E0EFFA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47EAA"/>
    <w:multiLevelType w:val="hybridMultilevel"/>
    <w:tmpl w:val="0B8661F2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928019">
    <w:abstractNumId w:val="2"/>
  </w:num>
  <w:num w:numId="2" w16cid:durableId="307176665">
    <w:abstractNumId w:val="1"/>
  </w:num>
  <w:num w:numId="3" w16cid:durableId="131845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E17D2"/>
    <w:rsid w:val="000F5500"/>
    <w:rsid w:val="000F6CD4"/>
    <w:rsid w:val="001037C5"/>
    <w:rsid w:val="00104B85"/>
    <w:rsid w:val="00122F4A"/>
    <w:rsid w:val="0015496D"/>
    <w:rsid w:val="00166066"/>
    <w:rsid w:val="00166AB7"/>
    <w:rsid w:val="00167D65"/>
    <w:rsid w:val="00173899"/>
    <w:rsid w:val="00185CA2"/>
    <w:rsid w:val="00187867"/>
    <w:rsid w:val="0019001B"/>
    <w:rsid w:val="001962F9"/>
    <w:rsid w:val="001A1679"/>
    <w:rsid w:val="001D2661"/>
    <w:rsid w:val="001D4980"/>
    <w:rsid w:val="002019B0"/>
    <w:rsid w:val="002303A4"/>
    <w:rsid w:val="002335FB"/>
    <w:rsid w:val="00272F50"/>
    <w:rsid w:val="002B3B9E"/>
    <w:rsid w:val="002D597E"/>
    <w:rsid w:val="002E084C"/>
    <w:rsid w:val="002E24F8"/>
    <w:rsid w:val="003221CD"/>
    <w:rsid w:val="003323F1"/>
    <w:rsid w:val="00343344"/>
    <w:rsid w:val="003505AD"/>
    <w:rsid w:val="003964A7"/>
    <w:rsid w:val="003A2A62"/>
    <w:rsid w:val="003C4C65"/>
    <w:rsid w:val="003D1794"/>
    <w:rsid w:val="003F2878"/>
    <w:rsid w:val="003F4A89"/>
    <w:rsid w:val="004025EB"/>
    <w:rsid w:val="00412A01"/>
    <w:rsid w:val="00413272"/>
    <w:rsid w:val="004219FA"/>
    <w:rsid w:val="0043160B"/>
    <w:rsid w:val="00453004"/>
    <w:rsid w:val="00456815"/>
    <w:rsid w:val="004754C5"/>
    <w:rsid w:val="0049218A"/>
    <w:rsid w:val="004A1250"/>
    <w:rsid w:val="004A6B68"/>
    <w:rsid w:val="004C0B22"/>
    <w:rsid w:val="004D38F7"/>
    <w:rsid w:val="004E6E66"/>
    <w:rsid w:val="004F0BF3"/>
    <w:rsid w:val="0054672E"/>
    <w:rsid w:val="00551D32"/>
    <w:rsid w:val="00554AE9"/>
    <w:rsid w:val="005751BD"/>
    <w:rsid w:val="00584F7A"/>
    <w:rsid w:val="00595803"/>
    <w:rsid w:val="00595988"/>
    <w:rsid w:val="005B33EE"/>
    <w:rsid w:val="005B4552"/>
    <w:rsid w:val="005C238A"/>
    <w:rsid w:val="005D0335"/>
    <w:rsid w:val="005D03B5"/>
    <w:rsid w:val="005D0DA6"/>
    <w:rsid w:val="005E1980"/>
    <w:rsid w:val="00616234"/>
    <w:rsid w:val="00621CCA"/>
    <w:rsid w:val="00630F9E"/>
    <w:rsid w:val="00641B62"/>
    <w:rsid w:val="00641C1A"/>
    <w:rsid w:val="00643541"/>
    <w:rsid w:val="0064686F"/>
    <w:rsid w:val="00654082"/>
    <w:rsid w:val="00670477"/>
    <w:rsid w:val="006718AB"/>
    <w:rsid w:val="006748B4"/>
    <w:rsid w:val="00677B89"/>
    <w:rsid w:val="0068253E"/>
    <w:rsid w:val="00685396"/>
    <w:rsid w:val="006A04F3"/>
    <w:rsid w:val="006A2E18"/>
    <w:rsid w:val="006A47E2"/>
    <w:rsid w:val="006D1A2E"/>
    <w:rsid w:val="006D4809"/>
    <w:rsid w:val="006D572A"/>
    <w:rsid w:val="006E54B0"/>
    <w:rsid w:val="006F34B9"/>
    <w:rsid w:val="006F5B42"/>
    <w:rsid w:val="00731327"/>
    <w:rsid w:val="007320D1"/>
    <w:rsid w:val="00753420"/>
    <w:rsid w:val="00777F2A"/>
    <w:rsid w:val="007B6D8C"/>
    <w:rsid w:val="007C41C5"/>
    <w:rsid w:val="007E103D"/>
    <w:rsid w:val="007F3047"/>
    <w:rsid w:val="0080026E"/>
    <w:rsid w:val="00800F74"/>
    <w:rsid w:val="008162B1"/>
    <w:rsid w:val="00825D9B"/>
    <w:rsid w:val="008319C5"/>
    <w:rsid w:val="00833DA5"/>
    <w:rsid w:val="008441BB"/>
    <w:rsid w:val="00844880"/>
    <w:rsid w:val="008A2B24"/>
    <w:rsid w:val="008A35E7"/>
    <w:rsid w:val="008A4CD0"/>
    <w:rsid w:val="008C3D99"/>
    <w:rsid w:val="008D7A3C"/>
    <w:rsid w:val="00904138"/>
    <w:rsid w:val="00906970"/>
    <w:rsid w:val="00924BAB"/>
    <w:rsid w:val="00934030"/>
    <w:rsid w:val="0096281F"/>
    <w:rsid w:val="00976301"/>
    <w:rsid w:val="00985801"/>
    <w:rsid w:val="00991360"/>
    <w:rsid w:val="009A6B9A"/>
    <w:rsid w:val="009D1371"/>
    <w:rsid w:val="009E3879"/>
    <w:rsid w:val="009E6823"/>
    <w:rsid w:val="00A013F9"/>
    <w:rsid w:val="00A141AF"/>
    <w:rsid w:val="00A30317"/>
    <w:rsid w:val="00A47DAC"/>
    <w:rsid w:val="00A56E30"/>
    <w:rsid w:val="00A62281"/>
    <w:rsid w:val="00A93DB5"/>
    <w:rsid w:val="00AD6168"/>
    <w:rsid w:val="00B124A9"/>
    <w:rsid w:val="00B131FD"/>
    <w:rsid w:val="00B22832"/>
    <w:rsid w:val="00B27917"/>
    <w:rsid w:val="00B7087E"/>
    <w:rsid w:val="00B71A64"/>
    <w:rsid w:val="00BC48A8"/>
    <w:rsid w:val="00BD5FF9"/>
    <w:rsid w:val="00BE19B4"/>
    <w:rsid w:val="00BE5021"/>
    <w:rsid w:val="00C04511"/>
    <w:rsid w:val="00C23076"/>
    <w:rsid w:val="00C93404"/>
    <w:rsid w:val="00C940F2"/>
    <w:rsid w:val="00CA1CC9"/>
    <w:rsid w:val="00CA351B"/>
    <w:rsid w:val="00CB1139"/>
    <w:rsid w:val="00CC6909"/>
    <w:rsid w:val="00CE4959"/>
    <w:rsid w:val="00D17572"/>
    <w:rsid w:val="00D23710"/>
    <w:rsid w:val="00D32644"/>
    <w:rsid w:val="00D55BAE"/>
    <w:rsid w:val="00D56181"/>
    <w:rsid w:val="00D73008"/>
    <w:rsid w:val="00DA1171"/>
    <w:rsid w:val="00DB53C4"/>
    <w:rsid w:val="00DB6076"/>
    <w:rsid w:val="00E03F85"/>
    <w:rsid w:val="00E54398"/>
    <w:rsid w:val="00E65EB7"/>
    <w:rsid w:val="00E67C4B"/>
    <w:rsid w:val="00E73F9C"/>
    <w:rsid w:val="00EB410B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D824"/>
  <w15:chartTrackingRefBased/>
  <w15:docId w15:val="{0735CD87-8812-4724-8C0C-36975DA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5D0335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5D03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EFD6-1D3F-4D97-AF2F-9294E275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2856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3201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https://www.dropbox.com/sh/euyd1yjswepxdmd/AADS0b9HyoSiXm__6fa4HBL2a?dl=0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Aire Veskimäe</cp:lastModifiedBy>
  <cp:revision>6</cp:revision>
  <cp:lastPrinted>2013-01-31T06:41:00Z</cp:lastPrinted>
  <dcterms:created xsi:type="dcterms:W3CDTF">2025-02-27T14:17:00Z</dcterms:created>
  <dcterms:modified xsi:type="dcterms:W3CDTF">2025-02-27T14:19:00Z</dcterms:modified>
</cp:coreProperties>
</file>