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3D0DF9F0" w:rsidR="006E59FB" w:rsidRDefault="006E59FB" w:rsidP="006E59FB">
      <w:pPr>
        <w:tabs>
          <w:tab w:val="left" w:pos="6237"/>
        </w:tabs>
        <w:jc w:val="right"/>
      </w:pPr>
      <w:r w:rsidRPr="00634B74">
        <w:t xml:space="preserve">juhataja käskkirjaga nr </w:t>
      </w:r>
      <w:r w:rsidR="00B74A67">
        <w:t>1-47.</w:t>
      </w:r>
      <w:r w:rsidR="00D13B85">
        <w:t>3211</w:t>
      </w:r>
      <w:r w:rsidR="00B74A67">
        <w:t>/1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4F70BC00"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0F30C6" w:rsidRPr="000F30C6">
        <w:rPr>
          <w:b/>
          <w:bCs/>
        </w:rPr>
        <w:t>Undi-Pekre maaparandussüsteemi ja teede rekonstrueerimine</w:t>
      </w:r>
      <w:r w:rsidR="006508E1" w:rsidRPr="00533362">
        <w:t>“</w:t>
      </w:r>
      <w:r w:rsidR="006065E1" w:rsidRPr="00533362">
        <w:t xml:space="preserve"> (viitenu</w:t>
      </w:r>
      <w:r w:rsidR="006D2C67" w:rsidRPr="00533362">
        <w:t>m</w:t>
      </w:r>
      <w:r w:rsidR="006065E1" w:rsidRPr="00533362">
        <w:t xml:space="preserve">ber </w:t>
      </w:r>
      <w:r w:rsidR="009A2C56">
        <w:t>285347</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9170B">
      <w:pPr>
        <w:pStyle w:val="1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9170B">
      <w:pPr>
        <w:pStyle w:val="1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1F9ACC29" w:rsidR="00A82EDF" w:rsidRPr="00A82EDF" w:rsidRDefault="001F328A" w:rsidP="00A82EDF">
      <w:pPr>
        <w:pStyle w:val="11"/>
        <w:spacing w:after="120"/>
        <w:rPr>
          <w:rFonts w:ascii="Times New Roman" w:hAnsi="Times New Roman" w:cs="Times New Roman"/>
          <w:sz w:val="24"/>
          <w:szCs w:val="24"/>
        </w:rPr>
      </w:pPr>
      <w:r w:rsidRPr="001F328A">
        <w:rPr>
          <w:rFonts w:ascii="Times New Roman" w:hAnsi="Times New Roman" w:cs="Times New Roman"/>
          <w:sz w:val="24"/>
          <w:szCs w:val="24"/>
        </w:rPr>
        <w:t>Töö tehniliseks aluseks on Vesine OÜ poolt koostatud projekt „Undi-</w:t>
      </w:r>
      <w:proofErr w:type="spellStart"/>
      <w:r w:rsidRPr="001F328A">
        <w:rPr>
          <w:rFonts w:ascii="Times New Roman" w:hAnsi="Times New Roman" w:cs="Times New Roman"/>
          <w:sz w:val="24"/>
          <w:szCs w:val="24"/>
        </w:rPr>
        <w:t>Pekre</w:t>
      </w:r>
      <w:proofErr w:type="spellEnd"/>
      <w:r w:rsidRPr="001F328A">
        <w:rPr>
          <w:rFonts w:ascii="Times New Roman" w:hAnsi="Times New Roman" w:cs="Times New Roman"/>
          <w:sz w:val="24"/>
          <w:szCs w:val="24"/>
        </w:rPr>
        <w:t xml:space="preserve"> metsakuivenduse maaparandusehitiste rekonstrueerimise ja teedevõrgu rekonstrueerimise ning ehitamise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4767DA00" w14:textId="77777777" w:rsidR="006C7C52" w:rsidRDefault="006C7C52" w:rsidP="00FC555A">
      <w:pPr>
        <w:pStyle w:val="11"/>
        <w:spacing w:after="120"/>
        <w:rPr>
          <w:rFonts w:ascii="Times New Roman" w:hAnsi="Times New Roman" w:cs="Times New Roman"/>
          <w:sz w:val="24"/>
          <w:szCs w:val="24"/>
        </w:rPr>
      </w:pPr>
      <w:r w:rsidRPr="006C7C52">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04A12BD4" w14:textId="31B6A86B" w:rsidR="004B1E0F" w:rsidRDefault="004B1E0F" w:rsidP="00FC555A">
      <w:pPr>
        <w:pStyle w:val="11"/>
        <w:spacing w:after="120"/>
        <w:rPr>
          <w:rFonts w:ascii="Times New Roman" w:hAnsi="Times New Roman" w:cs="Times New Roman"/>
          <w:sz w:val="24"/>
          <w:szCs w:val="24"/>
        </w:rPr>
      </w:pPr>
      <w:r w:rsidRPr="004B1E0F">
        <w:rPr>
          <w:rFonts w:ascii="Times New Roman" w:hAnsi="Times New Roman" w:cs="Times New Roman"/>
          <w:sz w:val="24"/>
          <w:szCs w:val="24"/>
        </w:rPr>
        <w:t xml:space="preserve">Töövõtja annab Tellijale valmis Töö lõplikult </w:t>
      </w:r>
      <w:r w:rsidRPr="004B1E0F">
        <w:rPr>
          <w:rFonts w:ascii="Times New Roman" w:hAnsi="Times New Roman" w:cs="Times New Roman"/>
          <w:b/>
          <w:bCs/>
          <w:sz w:val="24"/>
          <w:szCs w:val="24"/>
        </w:rPr>
        <w:t>üle hiljemalt 1.09.2025.a</w:t>
      </w:r>
      <w:r w:rsidRPr="004B1E0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77A6512C"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6A4DB7D4"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2857FC">
        <w:rPr>
          <w:rFonts w:ascii="Times New Roman" w:hAnsi="Times New Roman" w:cs="Times New Roman"/>
          <w:b/>
          <w:bCs/>
          <w:sz w:val="24"/>
          <w:szCs w:val="24"/>
        </w:rPr>
        <w:t>4</w:t>
      </w:r>
      <w:r w:rsidRPr="003066E9">
        <w:rPr>
          <w:rFonts w:ascii="Times New Roman" w:hAnsi="Times New Roman" w:cs="Times New Roman"/>
          <w:b/>
          <w:bCs/>
          <w:sz w:val="24"/>
          <w:szCs w:val="24"/>
        </w:rPr>
        <w:t xml:space="preserve"> 000 EUR</w:t>
      </w:r>
      <w:r w:rsidRPr="003066E9">
        <w:rPr>
          <w:rFonts w:ascii="Times New Roman" w:hAnsi="Times New Roman" w:cs="Times New Roman"/>
          <w:sz w:val="24"/>
          <w:szCs w:val="24"/>
        </w:rPr>
        <w:t>, kas:</w:t>
      </w:r>
    </w:p>
    <w:p w14:paraId="516822E4" w14:textId="0A539E0F"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123050" w:rsidRPr="00123050">
        <w:rPr>
          <w:rFonts w:ascii="Times New Roman" w:hAnsi="Times New Roman" w:cs="Times New Roman"/>
          <w:i/>
          <w:iCs/>
          <w:sz w:val="24"/>
          <w:szCs w:val="24"/>
        </w:rPr>
        <w:t xml:space="preserve">Undi-Pekre maaparandussüsteemi ja teede rekonstrueerimine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705433">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6437F884" w14:textId="77777777" w:rsidR="009D4167" w:rsidRPr="00232B2E" w:rsidRDefault="009D4167" w:rsidP="00705433">
      <w:pPr>
        <w:pStyle w:val="11"/>
        <w:numPr>
          <w:ilvl w:val="0"/>
          <w:numId w:val="0"/>
        </w:numPr>
        <w:spacing w:after="120"/>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0479CADC" w14:textId="77777777" w:rsidR="00F5347C" w:rsidRPr="00F5347C" w:rsidRDefault="00F5347C" w:rsidP="00C26D98">
      <w:pPr>
        <w:pStyle w:val="11"/>
        <w:spacing w:after="120"/>
        <w:ind w:left="431" w:hanging="431"/>
        <w:rPr>
          <w:rFonts w:ascii="Times New Roman" w:hAnsi="Times New Roman" w:cs="Times New Roman"/>
          <w:sz w:val="24"/>
          <w:szCs w:val="24"/>
        </w:rPr>
      </w:pPr>
      <w:r w:rsidRPr="00F5347C">
        <w:rPr>
          <w:rFonts w:ascii="Times New Roman" w:hAnsi="Times New Roman" w:cs="Times New Roman"/>
          <w:sz w:val="24"/>
          <w:szCs w:val="24"/>
          <w:lang w:val="en-GB"/>
        </w:rPr>
        <w:t xml:space="preserve">Objektiga on võimalik tutvuda: metsataristu spetsialist Taivo Lehesmets, tel: 5068503, e-mail: taivo.lehesmets@rmk.ee.             </w:t>
      </w:r>
    </w:p>
    <w:p w14:paraId="581F9E4F" w14:textId="42EC760E" w:rsidR="00542547" w:rsidRPr="002A7B8E" w:rsidRDefault="00542547" w:rsidP="00C26D98">
      <w:pPr>
        <w:pStyle w:val="11"/>
        <w:spacing w:after="120"/>
        <w:ind w:left="431" w:hanging="431"/>
        <w:rPr>
          <w:rFonts w:ascii="Times New Roman" w:hAnsi="Times New Roman" w:cs="Times New Roman"/>
          <w:sz w:val="24"/>
          <w:szCs w:val="24"/>
        </w:rPr>
      </w:pPr>
      <w:r w:rsidRPr="00542547">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w:t>
      </w:r>
      <w:r w:rsidRPr="000829AB">
        <w:rPr>
          <w:rFonts w:ascii="Times New Roman" w:hAnsi="Times New Roman" w:cs="Times New Roman"/>
          <w:sz w:val="24"/>
          <w:szCs w:val="24"/>
        </w:rPr>
        <w:lastRenderedPageBreak/>
        <w:t xml:space="preserve">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492B073E" w:rsidR="00854585" w:rsidRPr="002A2AA3" w:rsidRDefault="007D7DFA" w:rsidP="002A2AA3">
      <w:pPr>
        <w:pStyle w:val="11"/>
        <w:ind w:left="0" w:firstLine="0"/>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2A2AA3" w:rsidRPr="002A2AA3">
        <w:rPr>
          <w:rFonts w:ascii="Times New Roman" w:hAnsi="Times New Roman" w:cs="Times New Roman"/>
          <w:sz w:val="24"/>
          <w:szCs w:val="24"/>
        </w:rPr>
        <w:t>„Undi-</w:t>
      </w:r>
      <w:proofErr w:type="spellStart"/>
      <w:r w:rsidR="002A2AA3" w:rsidRPr="002A2AA3">
        <w:rPr>
          <w:rFonts w:ascii="Times New Roman" w:hAnsi="Times New Roman" w:cs="Times New Roman"/>
          <w:sz w:val="24"/>
          <w:szCs w:val="24"/>
        </w:rPr>
        <w:t>Pekre</w:t>
      </w:r>
      <w:proofErr w:type="spellEnd"/>
      <w:r w:rsidR="002A2AA3" w:rsidRPr="002A2AA3">
        <w:rPr>
          <w:rFonts w:ascii="Times New Roman" w:hAnsi="Times New Roman" w:cs="Times New Roman"/>
          <w:sz w:val="24"/>
          <w:szCs w:val="24"/>
        </w:rPr>
        <w:t xml:space="preserve"> metsakuivenduse maaparandusehitiste rekonstrueerimise ja teedevõrgu rekonstrueerimise ning ehitamise projekt“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6836F" w14:textId="77777777" w:rsidR="00660858" w:rsidRDefault="00660858">
      <w:r>
        <w:separator/>
      </w:r>
    </w:p>
  </w:endnote>
  <w:endnote w:type="continuationSeparator" w:id="0">
    <w:p w14:paraId="191CB530" w14:textId="77777777" w:rsidR="00660858" w:rsidRDefault="00660858">
      <w:r>
        <w:continuationSeparator/>
      </w:r>
    </w:p>
  </w:endnote>
  <w:endnote w:type="continuationNotice" w:id="1">
    <w:p w14:paraId="5DB12289" w14:textId="77777777" w:rsidR="00660858" w:rsidRDefault="00660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CB117" w14:textId="77777777" w:rsidR="00660858" w:rsidRDefault="00660858">
      <w:r>
        <w:separator/>
      </w:r>
    </w:p>
  </w:footnote>
  <w:footnote w:type="continuationSeparator" w:id="0">
    <w:p w14:paraId="519FE8F9" w14:textId="77777777" w:rsidR="00660858" w:rsidRDefault="00660858">
      <w:r>
        <w:continuationSeparator/>
      </w:r>
    </w:p>
  </w:footnote>
  <w:footnote w:type="continuationNotice" w:id="1">
    <w:p w14:paraId="2DDB02D5" w14:textId="77777777" w:rsidR="00660858" w:rsidRDefault="00660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1639F350" w14:textId="7A49C1C2" w:rsidR="008C42BB" w:rsidRPr="00952EE2" w:rsidRDefault="00771651">
    <w:pPr>
      <w:pStyle w:val="Pis"/>
    </w:pPr>
    <w:r w:rsidRPr="00952EE2">
      <w:t xml:space="preserve">Hange: </w:t>
    </w:r>
    <w:r w:rsidR="00D13B85" w:rsidRPr="00D13B85">
      <w:t>Undi-Pekre maaparandussüsteemi ja teede rekonstrueerimine.</w:t>
    </w:r>
  </w:p>
  <w:p w14:paraId="17773FD0" w14:textId="3D2BF625" w:rsidR="00952EE2" w:rsidRDefault="00952EE2">
    <w:pPr>
      <w:pStyle w:val="Pis"/>
    </w:pPr>
    <w:r w:rsidRPr="00952EE2">
      <w:t xml:space="preserve">Viitenumber: </w:t>
    </w:r>
    <w:r w:rsidR="00D13B85">
      <w:t>285347</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2234</Words>
  <Characters>12963</Characters>
  <Application>Microsoft Office Word</Application>
  <DocSecurity>0</DocSecurity>
  <Lines>108</Lines>
  <Paragraphs>30</Paragraphs>
  <ScaleCrop>false</ScaleCrop>
  <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12</cp:revision>
  <dcterms:created xsi:type="dcterms:W3CDTF">2024-10-09T07:11:00Z</dcterms:created>
  <dcterms:modified xsi:type="dcterms:W3CDTF">2024-10-09T10:29:00Z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