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7ECE6" w14:textId="77777777" w:rsidR="00D476D7" w:rsidRDefault="00D476D7" w:rsidP="00D476D7"/>
    <w:p w14:paraId="48A81C01" w14:textId="77777777" w:rsidR="00D476D7" w:rsidRDefault="00D476D7" w:rsidP="00D476D7"/>
    <w:p w14:paraId="31D9520B" w14:textId="77777777" w:rsidR="00D476D7" w:rsidRDefault="00D476D7" w:rsidP="00D476D7"/>
    <w:p w14:paraId="792D4E41" w14:textId="77777777" w:rsidR="00D476D7" w:rsidRDefault="00D476D7" w:rsidP="00D476D7"/>
    <w:p w14:paraId="5A2000C8" w14:textId="77777777" w:rsidR="00D476D7" w:rsidRPr="00C578B1" w:rsidRDefault="00D476D7" w:rsidP="00D476D7">
      <w:pPr>
        <w:spacing w:line="276" w:lineRule="auto"/>
        <w:rPr>
          <w:sz w:val="24"/>
          <w:szCs w:val="24"/>
        </w:rPr>
      </w:pPr>
      <w:r w:rsidRPr="00C578B1">
        <w:rPr>
          <w:sz w:val="24"/>
          <w:szCs w:val="24"/>
        </w:rPr>
        <w:t>Konkurentsiamet</w:t>
      </w:r>
    </w:p>
    <w:p w14:paraId="18CAEB86" w14:textId="547237EE" w:rsidR="00D476D7" w:rsidRPr="00C578B1" w:rsidRDefault="00000000" w:rsidP="00D476D7">
      <w:pPr>
        <w:spacing w:line="276" w:lineRule="auto"/>
        <w:rPr>
          <w:sz w:val="24"/>
          <w:szCs w:val="24"/>
        </w:rPr>
      </w:pPr>
      <w:hyperlink r:id="rId10" w:history="1">
        <w:r w:rsidR="00D476D7" w:rsidRPr="006B217E">
          <w:rPr>
            <w:rStyle w:val="Hyperlink"/>
            <w:sz w:val="24"/>
            <w:szCs w:val="24"/>
          </w:rPr>
          <w:t>info@konkurentsiamet.ee</w:t>
        </w:r>
      </w:hyperlink>
      <w:r w:rsidR="00D476D7">
        <w:rPr>
          <w:sz w:val="24"/>
          <w:szCs w:val="24"/>
        </w:rPr>
        <w:t xml:space="preserve"> </w:t>
      </w:r>
      <w:r w:rsidR="00D476D7">
        <w:rPr>
          <w:sz w:val="24"/>
          <w:szCs w:val="24"/>
        </w:rPr>
        <w:tab/>
      </w:r>
      <w:r w:rsidR="00D476D7">
        <w:rPr>
          <w:sz w:val="24"/>
          <w:szCs w:val="24"/>
        </w:rPr>
        <w:tab/>
      </w:r>
      <w:r w:rsidR="00D476D7">
        <w:rPr>
          <w:sz w:val="24"/>
          <w:szCs w:val="24"/>
        </w:rPr>
        <w:tab/>
      </w:r>
      <w:r w:rsidR="00D476D7">
        <w:rPr>
          <w:sz w:val="24"/>
          <w:szCs w:val="24"/>
        </w:rPr>
        <w:tab/>
      </w:r>
      <w:r w:rsidR="00D476D7">
        <w:rPr>
          <w:sz w:val="24"/>
          <w:szCs w:val="24"/>
        </w:rPr>
        <w:tab/>
      </w:r>
      <w:r w:rsidR="00D476D7">
        <w:rPr>
          <w:sz w:val="24"/>
          <w:szCs w:val="24"/>
        </w:rPr>
        <w:tab/>
      </w:r>
      <w:r w:rsidR="00D07B1C">
        <w:rPr>
          <w:sz w:val="24"/>
          <w:szCs w:val="24"/>
        </w:rPr>
        <w:t>27</w:t>
      </w:r>
      <w:r w:rsidR="00D476D7" w:rsidRPr="005D3760">
        <w:rPr>
          <w:sz w:val="24"/>
          <w:szCs w:val="24"/>
        </w:rPr>
        <w:t>.</w:t>
      </w:r>
      <w:r w:rsidR="00D476D7">
        <w:rPr>
          <w:sz w:val="24"/>
          <w:szCs w:val="24"/>
        </w:rPr>
        <w:t>03</w:t>
      </w:r>
      <w:r w:rsidR="00D476D7" w:rsidRPr="005D3760">
        <w:rPr>
          <w:sz w:val="24"/>
          <w:szCs w:val="24"/>
        </w:rPr>
        <w:t>.20</w:t>
      </w:r>
      <w:r w:rsidR="00D476D7">
        <w:rPr>
          <w:sz w:val="24"/>
          <w:szCs w:val="24"/>
        </w:rPr>
        <w:t>2</w:t>
      </w:r>
      <w:r w:rsidR="00CC5944">
        <w:rPr>
          <w:sz w:val="24"/>
          <w:szCs w:val="24"/>
        </w:rPr>
        <w:t>3</w:t>
      </w:r>
      <w:r w:rsidR="00D476D7" w:rsidRPr="005D3760">
        <w:rPr>
          <w:sz w:val="24"/>
          <w:szCs w:val="24"/>
        </w:rPr>
        <w:t xml:space="preserve"> nr </w:t>
      </w:r>
      <w:r w:rsidR="00D07B1C">
        <w:rPr>
          <w:noProof/>
          <w:sz w:val="24"/>
          <w:szCs w:val="24"/>
        </w:rPr>
        <w:t>9</w:t>
      </w:r>
    </w:p>
    <w:p w14:paraId="3BBA389D" w14:textId="77777777" w:rsidR="00D476D7" w:rsidRDefault="00D476D7" w:rsidP="00D476D7">
      <w:pPr>
        <w:rPr>
          <w:sz w:val="24"/>
          <w:szCs w:val="24"/>
        </w:rPr>
      </w:pPr>
    </w:p>
    <w:p w14:paraId="721ABD11" w14:textId="77777777" w:rsidR="00D476D7" w:rsidRDefault="00D476D7" w:rsidP="00D476D7">
      <w:pPr>
        <w:rPr>
          <w:sz w:val="24"/>
          <w:szCs w:val="24"/>
        </w:rPr>
      </w:pPr>
    </w:p>
    <w:p w14:paraId="06D433CF" w14:textId="77777777" w:rsidR="00D476D7" w:rsidRPr="00A07E07" w:rsidRDefault="00D476D7" w:rsidP="00D476D7">
      <w:pPr>
        <w:rPr>
          <w:sz w:val="24"/>
          <w:szCs w:val="24"/>
        </w:rPr>
      </w:pPr>
    </w:p>
    <w:p w14:paraId="15D43EC7" w14:textId="77777777" w:rsidR="00D476D7" w:rsidRPr="00C578B1" w:rsidRDefault="00D476D7" w:rsidP="00D476D7">
      <w:pPr>
        <w:spacing w:line="276" w:lineRule="auto"/>
        <w:rPr>
          <w:b/>
          <w:sz w:val="24"/>
          <w:szCs w:val="24"/>
        </w:rPr>
      </w:pPr>
      <w:r>
        <w:rPr>
          <w:b/>
          <w:sz w:val="24"/>
          <w:szCs w:val="24"/>
        </w:rPr>
        <w:t>Kaugkütteteenuse hinnakujundusest</w:t>
      </w:r>
    </w:p>
    <w:p w14:paraId="0A792313" w14:textId="77777777" w:rsidR="00D476D7" w:rsidRDefault="00D476D7" w:rsidP="00D476D7">
      <w:pPr>
        <w:spacing w:line="276" w:lineRule="auto"/>
        <w:rPr>
          <w:sz w:val="24"/>
          <w:szCs w:val="24"/>
        </w:rPr>
      </w:pPr>
    </w:p>
    <w:p w14:paraId="64434E04" w14:textId="77777777" w:rsidR="00D476D7" w:rsidRDefault="00D476D7" w:rsidP="00D476D7">
      <w:pPr>
        <w:spacing w:line="276" w:lineRule="auto"/>
        <w:jc w:val="both"/>
        <w:rPr>
          <w:sz w:val="24"/>
          <w:szCs w:val="24"/>
        </w:rPr>
      </w:pPr>
    </w:p>
    <w:p w14:paraId="0514DF8D" w14:textId="033E9DF7" w:rsidR="00D476D7" w:rsidRDefault="00D476D7" w:rsidP="00D476D7">
      <w:pPr>
        <w:spacing w:line="276" w:lineRule="auto"/>
        <w:jc w:val="both"/>
        <w:rPr>
          <w:sz w:val="24"/>
          <w:szCs w:val="24"/>
        </w:rPr>
      </w:pPr>
      <w:r>
        <w:rPr>
          <w:sz w:val="24"/>
          <w:szCs w:val="24"/>
        </w:rPr>
        <w:t xml:space="preserve">Lugupeetud </w:t>
      </w:r>
      <w:r w:rsidR="00CC5944">
        <w:rPr>
          <w:sz w:val="24"/>
          <w:szCs w:val="24"/>
        </w:rPr>
        <w:t>Külli Haab</w:t>
      </w:r>
    </w:p>
    <w:p w14:paraId="0CD0CD83" w14:textId="77777777" w:rsidR="00D476D7" w:rsidRDefault="00D476D7" w:rsidP="00D476D7">
      <w:pPr>
        <w:spacing w:line="276" w:lineRule="auto"/>
        <w:jc w:val="both"/>
        <w:rPr>
          <w:sz w:val="24"/>
          <w:szCs w:val="24"/>
        </w:rPr>
      </w:pPr>
    </w:p>
    <w:p w14:paraId="4168D14A" w14:textId="08393D25" w:rsidR="00D476D7" w:rsidRDefault="00D476D7" w:rsidP="00950D1C">
      <w:pPr>
        <w:spacing w:after="120" w:line="276" w:lineRule="auto"/>
        <w:jc w:val="both"/>
        <w:rPr>
          <w:sz w:val="24"/>
          <w:szCs w:val="24"/>
        </w:rPr>
      </w:pPr>
      <w:r>
        <w:rPr>
          <w:sz w:val="24"/>
          <w:szCs w:val="24"/>
        </w:rPr>
        <w:t xml:space="preserve">Konkurentsiamet on pöördunud paljude EJKÜ liikmeskonda kuuluvate ettevõtete poole meeldetuletusega, et </w:t>
      </w:r>
      <w:r w:rsidRPr="00C37F03">
        <w:rPr>
          <w:sz w:val="24"/>
          <w:szCs w:val="24"/>
        </w:rPr>
        <w:t xml:space="preserve">kaugkütteseaduse </w:t>
      </w:r>
      <w:r w:rsidR="00682B57">
        <w:rPr>
          <w:sz w:val="24"/>
          <w:szCs w:val="24"/>
        </w:rPr>
        <w:t>(</w:t>
      </w:r>
      <w:proofErr w:type="spellStart"/>
      <w:r w:rsidR="00682B57">
        <w:rPr>
          <w:sz w:val="24"/>
          <w:szCs w:val="24"/>
        </w:rPr>
        <w:t>KKütS</w:t>
      </w:r>
      <w:proofErr w:type="spellEnd"/>
      <w:r w:rsidR="00682B57">
        <w:rPr>
          <w:sz w:val="24"/>
          <w:szCs w:val="24"/>
        </w:rPr>
        <w:t>)</w:t>
      </w:r>
      <w:r w:rsidRPr="00C37F03">
        <w:rPr>
          <w:sz w:val="24"/>
          <w:szCs w:val="24"/>
        </w:rPr>
        <w:t>§ 8 lõike 3 alusel peab müüdava soojuse hind olema kulupõhine ning § 9 lõike 9</w:t>
      </w:r>
      <w:r w:rsidRPr="00C37F03">
        <w:rPr>
          <w:sz w:val="24"/>
          <w:szCs w:val="24"/>
          <w:vertAlign w:val="superscript"/>
        </w:rPr>
        <w:t>1</w:t>
      </w:r>
      <w:r w:rsidRPr="00C37F03">
        <w:rPr>
          <w:sz w:val="24"/>
          <w:szCs w:val="24"/>
        </w:rPr>
        <w:t xml:space="preserve"> alusel on ettevõtja kohustatud jälgima oma tegevusest sõltumatuid asjaolusid (s.h kütuse ostuhinda), mis mõjutavad soojuse hinda tarbijale, ja esitama Konkurentsiametile uue soojuse piirhinna kooskõlastamise taotluse hiljemalt 30 päeva jooksul, arvates asjaolu ilmnemisest, mis võib vähendada soojuse hinda tarbijale enam kui 5 protsendi võrra.</w:t>
      </w:r>
    </w:p>
    <w:p w14:paraId="2E5080AA" w14:textId="7F53D6B7" w:rsidR="00AA13AB" w:rsidRDefault="00D476D7" w:rsidP="00950D1C">
      <w:pPr>
        <w:spacing w:after="120" w:line="276" w:lineRule="auto"/>
        <w:jc w:val="both"/>
        <w:rPr>
          <w:sz w:val="24"/>
          <w:szCs w:val="24"/>
        </w:rPr>
      </w:pPr>
      <w:r>
        <w:rPr>
          <w:sz w:val="24"/>
          <w:szCs w:val="24"/>
        </w:rPr>
        <w:t xml:space="preserve">Täname </w:t>
      </w:r>
      <w:r w:rsidRPr="00D07B1C">
        <w:rPr>
          <w:sz w:val="24"/>
          <w:szCs w:val="24"/>
        </w:rPr>
        <w:t>konkurentsiametit meel</w:t>
      </w:r>
      <w:r w:rsidR="00F04B05" w:rsidRPr="00D07B1C">
        <w:rPr>
          <w:sz w:val="24"/>
          <w:szCs w:val="24"/>
        </w:rPr>
        <w:t>d</w:t>
      </w:r>
      <w:r w:rsidRPr="00D07B1C">
        <w:rPr>
          <w:sz w:val="24"/>
          <w:szCs w:val="24"/>
        </w:rPr>
        <w:t>etuletuse ees</w:t>
      </w:r>
      <w:r w:rsidR="00CC5944" w:rsidRPr="00D07B1C">
        <w:rPr>
          <w:sz w:val="24"/>
          <w:szCs w:val="24"/>
        </w:rPr>
        <w:t xml:space="preserve">t ning kinnitame, et oleme seaduse sättest </w:t>
      </w:r>
      <w:r w:rsidR="001B005B" w:rsidRPr="00D07B1C">
        <w:rPr>
          <w:sz w:val="24"/>
          <w:szCs w:val="24"/>
        </w:rPr>
        <w:t xml:space="preserve">ja toodud tähtajast </w:t>
      </w:r>
      <w:r w:rsidR="00CC5944" w:rsidRPr="00D07B1C">
        <w:rPr>
          <w:sz w:val="24"/>
          <w:szCs w:val="24"/>
        </w:rPr>
        <w:t xml:space="preserve">igati teadlikud. </w:t>
      </w:r>
      <w:r w:rsidR="00AA13AB" w:rsidRPr="00D07B1C">
        <w:rPr>
          <w:sz w:val="24"/>
          <w:szCs w:val="24"/>
        </w:rPr>
        <w:t>Mitmed ettevõtted on juba ka müünud soojusenergiat</w:t>
      </w:r>
      <w:r w:rsidR="00847C88" w:rsidRPr="00D07B1C">
        <w:rPr>
          <w:sz w:val="24"/>
          <w:szCs w:val="24"/>
        </w:rPr>
        <w:t xml:space="preserve"> </w:t>
      </w:r>
      <w:r w:rsidR="00AA13AB" w:rsidRPr="00D07B1C">
        <w:rPr>
          <w:sz w:val="24"/>
          <w:szCs w:val="24"/>
        </w:rPr>
        <w:t>kehtiva</w:t>
      </w:r>
      <w:r w:rsidR="009C5897" w:rsidRPr="00D07B1C">
        <w:rPr>
          <w:sz w:val="24"/>
          <w:szCs w:val="24"/>
        </w:rPr>
        <w:t>st</w:t>
      </w:r>
      <w:r w:rsidR="00AA13AB" w:rsidRPr="00D07B1C">
        <w:rPr>
          <w:sz w:val="24"/>
          <w:szCs w:val="24"/>
        </w:rPr>
        <w:t xml:space="preserve"> piirhinna</w:t>
      </w:r>
      <w:r w:rsidR="009C5897" w:rsidRPr="00D07B1C">
        <w:rPr>
          <w:sz w:val="24"/>
          <w:szCs w:val="24"/>
        </w:rPr>
        <w:t>st odavama hinnaga</w:t>
      </w:r>
      <w:r w:rsidR="00AA13AB" w:rsidRPr="00D07B1C">
        <w:rPr>
          <w:sz w:val="24"/>
          <w:szCs w:val="24"/>
        </w:rPr>
        <w:t>.</w:t>
      </w:r>
      <w:r w:rsidR="00AA13AB">
        <w:rPr>
          <w:sz w:val="24"/>
          <w:szCs w:val="24"/>
        </w:rPr>
        <w:t xml:space="preserve"> </w:t>
      </w:r>
    </w:p>
    <w:p w14:paraId="3699F161" w14:textId="467C1E54" w:rsidR="00B2689A" w:rsidRDefault="004D126A" w:rsidP="00950D1C">
      <w:pPr>
        <w:spacing w:after="120" w:line="276" w:lineRule="auto"/>
        <w:jc w:val="both"/>
        <w:rPr>
          <w:sz w:val="24"/>
          <w:szCs w:val="24"/>
        </w:rPr>
      </w:pPr>
      <w:r>
        <w:rPr>
          <w:sz w:val="24"/>
          <w:szCs w:val="24"/>
        </w:rPr>
        <w:t>Sama</w:t>
      </w:r>
      <w:r w:rsidR="00AA13AB">
        <w:rPr>
          <w:sz w:val="24"/>
          <w:szCs w:val="24"/>
        </w:rPr>
        <w:t>s on</w:t>
      </w:r>
      <w:r w:rsidR="005C11D2">
        <w:rPr>
          <w:sz w:val="24"/>
          <w:szCs w:val="24"/>
        </w:rPr>
        <w:t xml:space="preserve"> oluline </w:t>
      </w:r>
      <w:r w:rsidR="001376F4">
        <w:rPr>
          <w:sz w:val="24"/>
          <w:szCs w:val="24"/>
        </w:rPr>
        <w:t xml:space="preserve">järgida </w:t>
      </w:r>
      <w:r w:rsidR="00AA13AB">
        <w:rPr>
          <w:sz w:val="24"/>
          <w:szCs w:val="24"/>
        </w:rPr>
        <w:t xml:space="preserve">ka </w:t>
      </w:r>
      <w:proofErr w:type="spellStart"/>
      <w:r>
        <w:rPr>
          <w:sz w:val="24"/>
          <w:szCs w:val="24"/>
        </w:rPr>
        <w:t>K</w:t>
      </w:r>
      <w:r w:rsidR="00682B57">
        <w:rPr>
          <w:sz w:val="24"/>
          <w:szCs w:val="24"/>
        </w:rPr>
        <w:t>K</w:t>
      </w:r>
      <w:r>
        <w:rPr>
          <w:sz w:val="24"/>
          <w:szCs w:val="24"/>
        </w:rPr>
        <w:t>üTS</w:t>
      </w:r>
      <w:proofErr w:type="spellEnd"/>
      <w:r>
        <w:rPr>
          <w:sz w:val="24"/>
          <w:szCs w:val="24"/>
        </w:rPr>
        <w:t xml:space="preserve"> §</w:t>
      </w:r>
      <w:r w:rsidR="005C11D2">
        <w:rPr>
          <w:sz w:val="24"/>
          <w:szCs w:val="24"/>
        </w:rPr>
        <w:t xml:space="preserve"> </w:t>
      </w:r>
      <w:r>
        <w:rPr>
          <w:sz w:val="24"/>
          <w:szCs w:val="24"/>
        </w:rPr>
        <w:t xml:space="preserve">8, mille järgi tuleb soojuse piirhind kujundada selliselt, et </w:t>
      </w:r>
      <w:r w:rsidR="00682B57">
        <w:rPr>
          <w:sz w:val="24"/>
          <w:szCs w:val="24"/>
        </w:rPr>
        <w:t>tagatud</w:t>
      </w:r>
      <w:r>
        <w:rPr>
          <w:sz w:val="24"/>
          <w:szCs w:val="24"/>
        </w:rPr>
        <w:t xml:space="preserve"> oleks </w:t>
      </w:r>
      <w:r w:rsidRPr="00B2689A">
        <w:rPr>
          <w:sz w:val="24"/>
          <w:szCs w:val="24"/>
        </w:rPr>
        <w:t>vajalike kulude, sealhulgas soojuse tootmiseks, jaotamiseks ja müügiks tehtavate kulutuste katmine</w:t>
      </w:r>
      <w:r>
        <w:rPr>
          <w:sz w:val="24"/>
          <w:szCs w:val="24"/>
        </w:rPr>
        <w:t xml:space="preserve"> jne.</w:t>
      </w:r>
    </w:p>
    <w:p w14:paraId="6F3D2272" w14:textId="79C1F831" w:rsidR="00D61B4D" w:rsidRPr="00FF5F53" w:rsidRDefault="00D61B4D" w:rsidP="00D61B4D">
      <w:pPr>
        <w:spacing w:after="120" w:line="276" w:lineRule="auto"/>
        <w:jc w:val="both"/>
        <w:rPr>
          <w:sz w:val="24"/>
          <w:szCs w:val="24"/>
        </w:rPr>
      </w:pPr>
      <w:r>
        <w:rPr>
          <w:sz w:val="24"/>
          <w:szCs w:val="24"/>
        </w:rPr>
        <w:t>Sellest tulenevalt toome j</w:t>
      </w:r>
      <w:r w:rsidRPr="00FF5F53">
        <w:rPr>
          <w:sz w:val="24"/>
          <w:szCs w:val="24"/>
        </w:rPr>
        <w:t>ärgnevalt välja mõned olulisemad asjaolud, miks leiame, et soojuse piirhinna muutmise taotluse kiirkorras esitamise nõue ei ole praegusel juhul põhjendatud</w:t>
      </w:r>
      <w:r w:rsidR="00280A14">
        <w:rPr>
          <w:sz w:val="24"/>
          <w:szCs w:val="24"/>
        </w:rPr>
        <w:t>,</w:t>
      </w:r>
      <w:r w:rsidRPr="00FF5F53">
        <w:rPr>
          <w:sz w:val="24"/>
          <w:szCs w:val="24"/>
        </w:rPr>
        <w:t xml:space="preserve"> </w:t>
      </w:r>
      <w:r w:rsidR="00D07B1C">
        <w:rPr>
          <w:sz w:val="24"/>
          <w:szCs w:val="24"/>
        </w:rPr>
        <w:t xml:space="preserve">ning </w:t>
      </w:r>
      <w:r w:rsidRPr="00FF5F53">
        <w:rPr>
          <w:sz w:val="24"/>
          <w:szCs w:val="24"/>
        </w:rPr>
        <w:t xml:space="preserve">miks ei pruugi 5% määr olla täidetud ega </w:t>
      </w:r>
      <w:r>
        <w:rPr>
          <w:sz w:val="24"/>
          <w:szCs w:val="24"/>
        </w:rPr>
        <w:t>k</w:t>
      </w:r>
      <w:r w:rsidRPr="00FF5F53">
        <w:rPr>
          <w:sz w:val="24"/>
          <w:szCs w:val="24"/>
        </w:rPr>
        <w:t xml:space="preserve">onkurentsiameti </w:t>
      </w:r>
      <w:r>
        <w:rPr>
          <w:sz w:val="24"/>
          <w:szCs w:val="24"/>
        </w:rPr>
        <w:t>märgu</w:t>
      </w:r>
      <w:r w:rsidRPr="00FF5F53">
        <w:rPr>
          <w:sz w:val="24"/>
          <w:szCs w:val="24"/>
        </w:rPr>
        <w:t xml:space="preserve">kirjas </w:t>
      </w:r>
      <w:r>
        <w:rPr>
          <w:sz w:val="24"/>
          <w:szCs w:val="24"/>
        </w:rPr>
        <w:t>kirjeldatud</w:t>
      </w:r>
      <w:r w:rsidRPr="00FF5F53">
        <w:rPr>
          <w:sz w:val="24"/>
          <w:szCs w:val="24"/>
        </w:rPr>
        <w:t xml:space="preserve"> muutused </w:t>
      </w:r>
      <w:r w:rsidR="000A6AFA">
        <w:rPr>
          <w:sz w:val="24"/>
          <w:szCs w:val="24"/>
        </w:rPr>
        <w:t>vastata tegelikkusele</w:t>
      </w:r>
      <w:r w:rsidRPr="00FF5F53">
        <w:rPr>
          <w:sz w:val="24"/>
          <w:szCs w:val="24"/>
        </w:rPr>
        <w:t>:</w:t>
      </w:r>
    </w:p>
    <w:p w14:paraId="175F5073" w14:textId="77777777" w:rsidR="00D61B4D" w:rsidRPr="00FF5F53" w:rsidRDefault="00D61B4D" w:rsidP="00D61B4D">
      <w:pPr>
        <w:pStyle w:val="ListParagraph"/>
        <w:numPr>
          <w:ilvl w:val="0"/>
          <w:numId w:val="2"/>
        </w:numPr>
        <w:spacing w:after="120" w:line="276" w:lineRule="auto"/>
        <w:contextualSpacing w:val="0"/>
        <w:jc w:val="both"/>
        <w:rPr>
          <w:sz w:val="24"/>
          <w:szCs w:val="24"/>
        </w:rPr>
      </w:pPr>
      <w:r w:rsidRPr="00FF5F53">
        <w:rPr>
          <w:b/>
          <w:bCs/>
          <w:sz w:val="24"/>
          <w:szCs w:val="24"/>
        </w:rPr>
        <w:t xml:space="preserve">Soojuse piirhinna muutmise nõue pelgalt </w:t>
      </w:r>
      <w:proofErr w:type="spellStart"/>
      <w:r w:rsidRPr="00FF5F53">
        <w:rPr>
          <w:b/>
          <w:bCs/>
          <w:sz w:val="24"/>
          <w:szCs w:val="24"/>
        </w:rPr>
        <w:t>mõnekuulise</w:t>
      </w:r>
      <w:proofErr w:type="spellEnd"/>
      <w:r w:rsidRPr="00FF5F53">
        <w:rPr>
          <w:b/>
          <w:bCs/>
          <w:sz w:val="24"/>
          <w:szCs w:val="24"/>
        </w:rPr>
        <w:t xml:space="preserve"> sisendhindade languse olukorras ei ole kooskõlas rakendatava regulatsiooniperioodi loogikaga</w:t>
      </w:r>
      <w:r w:rsidRPr="00FF5F53">
        <w:rPr>
          <w:sz w:val="24"/>
          <w:szCs w:val="24"/>
        </w:rPr>
        <w:t xml:space="preserve">. Konkurentsiameti avaldatud juhendi „Soojuse piirhinna kooskõlastamise põhimõtted“ (2020) kohaselt lähtutakse piirhinna kooskõlastamisel 12-kuulisest regulatsiooniperioodist, mille põhjendatud hinnakomponendid on aluseks soojuse piirhinna arvutamisel. Konkurentsiameti märgukirjas on aga lähtutud vaid viimaste kuude sisendhindade muutusest, mis ei ole kuidagi kooskõlas </w:t>
      </w:r>
      <w:r>
        <w:rPr>
          <w:sz w:val="24"/>
          <w:szCs w:val="24"/>
        </w:rPr>
        <w:t>k</w:t>
      </w:r>
      <w:r w:rsidRPr="00FF5F53">
        <w:rPr>
          <w:sz w:val="24"/>
          <w:szCs w:val="24"/>
        </w:rPr>
        <w:t>onkurentsiameti enda poolt väljendatud regulatsiooniperioodi loogikaga, mis lähtub pikemast perioodist ja aktsepteerib juba olemuselt hinnakomponentide kõikumisi, tagades seejuures hinnastabiilsuse sooj</w:t>
      </w:r>
      <w:r>
        <w:rPr>
          <w:sz w:val="24"/>
          <w:szCs w:val="24"/>
        </w:rPr>
        <w:t xml:space="preserve">use </w:t>
      </w:r>
      <w:r w:rsidRPr="00FF5F53">
        <w:rPr>
          <w:sz w:val="24"/>
          <w:szCs w:val="24"/>
        </w:rPr>
        <w:t xml:space="preserve">tarbijatele. </w:t>
      </w:r>
    </w:p>
    <w:p w14:paraId="3E9E07F2" w14:textId="5BAA4B5D" w:rsidR="00D61B4D" w:rsidRPr="00FF5F53" w:rsidRDefault="00D61B4D" w:rsidP="00D61B4D">
      <w:pPr>
        <w:pStyle w:val="ListParagraph"/>
        <w:numPr>
          <w:ilvl w:val="0"/>
          <w:numId w:val="2"/>
        </w:numPr>
        <w:spacing w:after="120" w:line="276" w:lineRule="auto"/>
        <w:contextualSpacing w:val="0"/>
        <w:jc w:val="both"/>
        <w:rPr>
          <w:sz w:val="24"/>
          <w:szCs w:val="24"/>
        </w:rPr>
      </w:pPr>
      <w:r w:rsidRPr="00FF5F53">
        <w:rPr>
          <w:b/>
          <w:bCs/>
          <w:sz w:val="24"/>
          <w:szCs w:val="24"/>
        </w:rPr>
        <w:lastRenderedPageBreak/>
        <w:t>Hinnastabiilsus teenib kõigi turuosaliste huve.</w:t>
      </w:r>
      <w:r w:rsidRPr="00FF5F53">
        <w:rPr>
          <w:sz w:val="24"/>
          <w:szCs w:val="24"/>
        </w:rPr>
        <w:t xml:space="preserve"> </w:t>
      </w:r>
      <w:r w:rsidR="004F4CDE">
        <w:rPr>
          <w:sz w:val="24"/>
          <w:szCs w:val="24"/>
        </w:rPr>
        <w:t>Üldjuhul s</w:t>
      </w:r>
      <w:r w:rsidRPr="00FF5F53">
        <w:rPr>
          <w:sz w:val="24"/>
          <w:szCs w:val="24"/>
        </w:rPr>
        <w:t>oojusettevõtjad väldivad soojuse hinna pidevat muutmist</w:t>
      </w:r>
      <w:r w:rsidR="004F4CDE">
        <w:rPr>
          <w:sz w:val="24"/>
          <w:szCs w:val="24"/>
        </w:rPr>
        <w:t xml:space="preserve">. Kooskõlast </w:t>
      </w:r>
      <w:proofErr w:type="spellStart"/>
      <w:r w:rsidR="004F4CDE">
        <w:rPr>
          <w:sz w:val="24"/>
          <w:szCs w:val="24"/>
        </w:rPr>
        <w:t>KKüTS</w:t>
      </w:r>
      <w:proofErr w:type="spellEnd"/>
      <w:r w:rsidR="004F4CDE">
        <w:rPr>
          <w:sz w:val="24"/>
          <w:szCs w:val="24"/>
        </w:rPr>
        <w:t xml:space="preserve"> toodud hinnakujunduse põhimõtetega püütakse</w:t>
      </w:r>
      <w:r w:rsidRPr="00FF5F53">
        <w:rPr>
          <w:sz w:val="24"/>
          <w:szCs w:val="24"/>
        </w:rPr>
        <w:t xml:space="preserve"> hoida </w:t>
      </w:r>
      <w:r w:rsidR="004F4CDE">
        <w:rPr>
          <w:sz w:val="24"/>
          <w:szCs w:val="24"/>
        </w:rPr>
        <w:t>tarbija</w:t>
      </w:r>
      <w:r w:rsidRPr="00FF5F53">
        <w:rPr>
          <w:sz w:val="24"/>
          <w:szCs w:val="24"/>
        </w:rPr>
        <w:t>hindasid võimalikult stabiilsetena</w:t>
      </w:r>
      <w:r w:rsidR="004F4CDE">
        <w:rPr>
          <w:sz w:val="24"/>
          <w:szCs w:val="24"/>
        </w:rPr>
        <w:t xml:space="preserve"> ning</w:t>
      </w:r>
      <w:r w:rsidRPr="00FF5F53">
        <w:rPr>
          <w:sz w:val="24"/>
          <w:szCs w:val="24"/>
        </w:rPr>
        <w:t xml:space="preserve"> tagada küttekulude ette</w:t>
      </w:r>
      <w:r w:rsidR="00A73CE7">
        <w:rPr>
          <w:sz w:val="24"/>
          <w:szCs w:val="24"/>
        </w:rPr>
        <w:t xml:space="preserve"> </w:t>
      </w:r>
      <w:proofErr w:type="spellStart"/>
      <w:r w:rsidRPr="00FF5F53">
        <w:rPr>
          <w:sz w:val="24"/>
          <w:szCs w:val="24"/>
        </w:rPr>
        <w:t>ennustatavus</w:t>
      </w:r>
      <w:proofErr w:type="spellEnd"/>
      <w:r w:rsidRPr="00FF5F53">
        <w:rPr>
          <w:sz w:val="24"/>
          <w:szCs w:val="24"/>
        </w:rPr>
        <w:t>. Seetõttu suutsid paljud soojusettevõtjad hoida soojuse hindu stabiilsena ka rekordkõrgete gaasihindade ajal 2022. a teisel poolaastal, mil oleks hinnavalemite alusel tegelikult võinud hindasid märkimisväärselt tõsta. Se</w:t>
      </w:r>
      <w:r w:rsidR="000A6AFA">
        <w:rPr>
          <w:sz w:val="24"/>
          <w:szCs w:val="24"/>
        </w:rPr>
        <w:t>l põhjusel</w:t>
      </w:r>
      <w:r w:rsidRPr="00FF5F53">
        <w:rPr>
          <w:sz w:val="24"/>
          <w:szCs w:val="24"/>
        </w:rPr>
        <w:t xml:space="preserve"> ei saa </w:t>
      </w:r>
      <w:r w:rsidR="004C1C64">
        <w:rPr>
          <w:sz w:val="24"/>
          <w:szCs w:val="24"/>
        </w:rPr>
        <w:t xml:space="preserve">lugeda õiglaseks ning põhjendatuks olukorda, kus ühelt poolt </w:t>
      </w:r>
      <w:r w:rsidR="00135FB7">
        <w:rPr>
          <w:sz w:val="24"/>
          <w:szCs w:val="24"/>
        </w:rPr>
        <w:t xml:space="preserve">kehtib </w:t>
      </w:r>
      <w:r w:rsidR="004C1C64">
        <w:rPr>
          <w:sz w:val="24"/>
          <w:szCs w:val="24"/>
        </w:rPr>
        <w:t xml:space="preserve">ootus, et soojusettevõtjad ei tõsta </w:t>
      </w:r>
      <w:r w:rsidR="000A6AFA">
        <w:rPr>
          <w:sz w:val="24"/>
          <w:szCs w:val="24"/>
        </w:rPr>
        <w:t xml:space="preserve">kiirelt </w:t>
      </w:r>
      <w:r w:rsidR="004C1C64">
        <w:rPr>
          <w:sz w:val="24"/>
          <w:szCs w:val="24"/>
        </w:rPr>
        <w:t>piirhinda kõrgete sisendhindade korral maksimaalse võimaliku tasemeni ning teisalt</w:t>
      </w:r>
      <w:r w:rsidR="00135FB7">
        <w:rPr>
          <w:sz w:val="24"/>
          <w:szCs w:val="24"/>
        </w:rPr>
        <w:t xml:space="preserve">, et sisendhindade </w:t>
      </w:r>
      <w:r w:rsidR="004F4CDE">
        <w:rPr>
          <w:sz w:val="24"/>
          <w:szCs w:val="24"/>
        </w:rPr>
        <w:t>lühiajalise</w:t>
      </w:r>
      <w:r w:rsidR="00135FB7">
        <w:rPr>
          <w:sz w:val="24"/>
          <w:szCs w:val="24"/>
        </w:rPr>
        <w:t xml:space="preserve"> languse puhul </w:t>
      </w:r>
      <w:r w:rsidR="004F4CDE">
        <w:rPr>
          <w:sz w:val="24"/>
          <w:szCs w:val="24"/>
        </w:rPr>
        <w:t>tuleks koheselt piirhinda langetada</w:t>
      </w:r>
      <w:r w:rsidRPr="00FF5F53">
        <w:rPr>
          <w:sz w:val="24"/>
          <w:szCs w:val="24"/>
        </w:rPr>
        <w:t>.</w:t>
      </w:r>
    </w:p>
    <w:p w14:paraId="4FA3A348" w14:textId="0351B652" w:rsidR="00D61B4D" w:rsidRPr="00EA4812" w:rsidRDefault="00EA4812" w:rsidP="00D61B4D">
      <w:pPr>
        <w:pStyle w:val="ListParagraph"/>
        <w:numPr>
          <w:ilvl w:val="0"/>
          <w:numId w:val="2"/>
        </w:numPr>
        <w:spacing w:after="120" w:line="276" w:lineRule="auto"/>
        <w:contextualSpacing w:val="0"/>
        <w:jc w:val="both"/>
        <w:rPr>
          <w:sz w:val="24"/>
          <w:szCs w:val="24"/>
        </w:rPr>
      </w:pPr>
      <w:r>
        <w:rPr>
          <w:b/>
          <w:bCs/>
          <w:sz w:val="24"/>
          <w:szCs w:val="24"/>
        </w:rPr>
        <w:t xml:space="preserve">Liigkiire </w:t>
      </w:r>
      <w:r w:rsidR="00D61B4D" w:rsidRPr="00EA4812">
        <w:rPr>
          <w:b/>
          <w:bCs/>
          <w:sz w:val="24"/>
          <w:szCs w:val="24"/>
        </w:rPr>
        <w:t xml:space="preserve">piirhinna muutmine </w:t>
      </w:r>
      <w:r>
        <w:rPr>
          <w:b/>
          <w:bCs/>
          <w:sz w:val="24"/>
          <w:szCs w:val="24"/>
        </w:rPr>
        <w:t xml:space="preserve">lühiajalise sisendhindade muutumise olukorras </w:t>
      </w:r>
      <w:r w:rsidR="00D61B4D" w:rsidRPr="00EA4812">
        <w:rPr>
          <w:b/>
          <w:bCs/>
          <w:sz w:val="24"/>
          <w:szCs w:val="24"/>
        </w:rPr>
        <w:t xml:space="preserve">toob jõustumise viiteperioodi tõttu soojusettevõtjatele vältimatu </w:t>
      </w:r>
      <w:r w:rsidR="00471C59" w:rsidRPr="00EA4812">
        <w:rPr>
          <w:b/>
          <w:bCs/>
          <w:sz w:val="24"/>
          <w:szCs w:val="24"/>
        </w:rPr>
        <w:t>põhjendatud tulukuse languse</w:t>
      </w:r>
      <w:r w:rsidRPr="00EA4812">
        <w:rPr>
          <w:b/>
          <w:bCs/>
          <w:sz w:val="24"/>
          <w:szCs w:val="24"/>
        </w:rPr>
        <w:t xml:space="preserve"> </w:t>
      </w:r>
      <w:r>
        <w:rPr>
          <w:b/>
          <w:bCs/>
          <w:sz w:val="24"/>
          <w:szCs w:val="24"/>
        </w:rPr>
        <w:t>ning</w:t>
      </w:r>
      <w:r w:rsidRPr="00EA4812">
        <w:rPr>
          <w:b/>
          <w:bCs/>
          <w:sz w:val="24"/>
          <w:szCs w:val="24"/>
        </w:rPr>
        <w:t xml:space="preserve"> ohtu satub tegevuse jätkusuutlikkus</w:t>
      </w:r>
      <w:r>
        <w:rPr>
          <w:b/>
          <w:bCs/>
          <w:sz w:val="24"/>
          <w:szCs w:val="24"/>
        </w:rPr>
        <w:t xml:space="preserve"> ja</w:t>
      </w:r>
      <w:r w:rsidRPr="00EA4812">
        <w:rPr>
          <w:b/>
          <w:bCs/>
          <w:sz w:val="24"/>
          <w:szCs w:val="24"/>
        </w:rPr>
        <w:t xml:space="preserve"> varustuskindlus</w:t>
      </w:r>
      <w:r w:rsidR="00D61B4D" w:rsidRPr="00EA4812">
        <w:rPr>
          <w:sz w:val="24"/>
          <w:szCs w:val="24"/>
        </w:rPr>
        <w:t>. Soojuse piirhinna muutmine seondub paratamatult viiteperioodiga, sest soojuse piirhinna muutmise menetlemisele kulub aega (</w:t>
      </w:r>
      <w:proofErr w:type="spellStart"/>
      <w:r w:rsidR="00D61B4D" w:rsidRPr="00EA4812">
        <w:rPr>
          <w:sz w:val="24"/>
          <w:szCs w:val="24"/>
        </w:rPr>
        <w:t>KKütS</w:t>
      </w:r>
      <w:proofErr w:type="spellEnd"/>
      <w:r w:rsidR="00D61B4D" w:rsidRPr="00EA4812">
        <w:rPr>
          <w:sz w:val="24"/>
          <w:szCs w:val="24"/>
        </w:rPr>
        <w:t xml:space="preserve"> § 9 lg 5) ning hinnamuutus tuleb avalikustada vähemalt üks kuu enne selle kehtima hakkamist (</w:t>
      </w:r>
      <w:proofErr w:type="spellStart"/>
      <w:r w:rsidR="00D61B4D" w:rsidRPr="00EA4812">
        <w:rPr>
          <w:sz w:val="24"/>
          <w:szCs w:val="24"/>
        </w:rPr>
        <w:t>KKütS</w:t>
      </w:r>
      <w:proofErr w:type="spellEnd"/>
      <w:r w:rsidR="00D61B4D" w:rsidRPr="00EA4812">
        <w:rPr>
          <w:sz w:val="24"/>
          <w:szCs w:val="24"/>
        </w:rPr>
        <w:t xml:space="preserve"> § 8 lg 5). Selline viiteperiood tekitab järskude sisendihindade kasvu hetkedel soojusettevõtjale suure </w:t>
      </w:r>
      <w:r w:rsidR="00471C59" w:rsidRPr="00EA4812">
        <w:rPr>
          <w:sz w:val="24"/>
          <w:szCs w:val="24"/>
        </w:rPr>
        <w:t xml:space="preserve"> põhjendatud tulukuse languse</w:t>
      </w:r>
      <w:r w:rsidR="00D61B4D" w:rsidRPr="00EA4812">
        <w:rPr>
          <w:sz w:val="24"/>
          <w:szCs w:val="24"/>
        </w:rPr>
        <w:t xml:space="preserve">. Talvisel perioodil, mil kuised müügimahud on suuremad kui aasta keskmine (kuivõrd reguleeritud hind on tehtud lähtudes 12-kuulisest regulatsiooniperioodist) ning </w:t>
      </w:r>
      <w:r w:rsidRPr="00EA4812">
        <w:rPr>
          <w:sz w:val="24"/>
          <w:szCs w:val="24"/>
        </w:rPr>
        <w:t xml:space="preserve">nt </w:t>
      </w:r>
      <w:r w:rsidR="00D61B4D" w:rsidRPr="00EA4812">
        <w:rPr>
          <w:sz w:val="24"/>
          <w:szCs w:val="24"/>
        </w:rPr>
        <w:t>maagaasi hind ületab soojuse piirh</w:t>
      </w:r>
      <w:r w:rsidR="000A6AFA">
        <w:rPr>
          <w:sz w:val="24"/>
          <w:szCs w:val="24"/>
        </w:rPr>
        <w:t xml:space="preserve">innas kokkulepitut </w:t>
      </w:r>
      <w:r w:rsidR="00D61B4D" w:rsidRPr="00EA4812">
        <w:rPr>
          <w:sz w:val="24"/>
          <w:szCs w:val="24"/>
        </w:rPr>
        <w:t>(st tegelik kuine kulubaas on oluliselt kõrgem kui regulatsiooniperioodi keskmine), on sisuliselt regulatsiooni sisse kirjutatud kahjumi teenimine talvekuudel. Selle põhjuseks on asjaolu, et talvine tipukoormus kaetakse maagaasiga ning seda kahjumit kaetakse soojematel kuudel kui maagaasi osakaal on väiksem ja hind madalam. Seetõttu on põhjendatud, et soojusettevõtjad lähtuvad soojuse hinna kooskõlastamisel pikemast vaatest ja arvestavad erinevate kütuste pikemaajalisi hinnatrende, aga ka toimepidevuse tagamise vajadusega seotud kaalutlusi.</w:t>
      </w:r>
    </w:p>
    <w:p w14:paraId="53BBEF3A" w14:textId="67FE9F00" w:rsidR="00D61B4D" w:rsidRPr="00FF5F53" w:rsidRDefault="00D61B4D" w:rsidP="00D61B4D">
      <w:pPr>
        <w:pStyle w:val="ListParagraph"/>
        <w:numPr>
          <w:ilvl w:val="0"/>
          <w:numId w:val="2"/>
        </w:numPr>
        <w:spacing w:after="120" w:line="276" w:lineRule="auto"/>
        <w:contextualSpacing w:val="0"/>
        <w:jc w:val="both"/>
        <w:rPr>
          <w:sz w:val="24"/>
          <w:szCs w:val="24"/>
        </w:rPr>
      </w:pPr>
      <w:r w:rsidRPr="00FF5F53">
        <w:rPr>
          <w:b/>
          <w:bCs/>
          <w:sz w:val="24"/>
          <w:szCs w:val="24"/>
        </w:rPr>
        <w:t>Puiduhakke tarnekindlusega seotud ebakindlus survestab puiduhakke hinda.</w:t>
      </w:r>
      <w:r w:rsidRPr="00FF5F53">
        <w:rPr>
          <w:sz w:val="24"/>
          <w:szCs w:val="24"/>
        </w:rPr>
        <w:t xml:space="preserve"> Enamus </w:t>
      </w:r>
      <w:r w:rsidR="005835A1">
        <w:rPr>
          <w:sz w:val="24"/>
          <w:szCs w:val="24"/>
        </w:rPr>
        <w:t>Eesti</w:t>
      </w:r>
      <w:r w:rsidRPr="00FF5F53">
        <w:rPr>
          <w:sz w:val="24"/>
          <w:szCs w:val="24"/>
        </w:rPr>
        <w:t xml:space="preserve"> </w:t>
      </w:r>
      <w:r>
        <w:rPr>
          <w:sz w:val="24"/>
          <w:szCs w:val="24"/>
        </w:rPr>
        <w:t>soojus</w:t>
      </w:r>
      <w:r w:rsidRPr="00FF5F53">
        <w:rPr>
          <w:sz w:val="24"/>
          <w:szCs w:val="24"/>
        </w:rPr>
        <w:t>ettevõt</w:t>
      </w:r>
      <w:r>
        <w:rPr>
          <w:sz w:val="24"/>
          <w:szCs w:val="24"/>
        </w:rPr>
        <w:t>jaid</w:t>
      </w:r>
      <w:r w:rsidRPr="00FF5F53">
        <w:rPr>
          <w:sz w:val="24"/>
          <w:szCs w:val="24"/>
        </w:rPr>
        <w:t xml:space="preserve"> kasutab põhilise kütusena </w:t>
      </w:r>
      <w:proofErr w:type="spellStart"/>
      <w:r w:rsidRPr="00FF5F53">
        <w:rPr>
          <w:sz w:val="24"/>
          <w:szCs w:val="24"/>
        </w:rPr>
        <w:t>puiduhaket</w:t>
      </w:r>
      <w:proofErr w:type="spellEnd"/>
      <w:r w:rsidR="005835A1">
        <w:rPr>
          <w:sz w:val="24"/>
          <w:szCs w:val="24"/>
        </w:rPr>
        <w:t>, mille kättesaadavuse</w:t>
      </w:r>
      <w:r w:rsidRPr="00FF5F53">
        <w:rPr>
          <w:sz w:val="24"/>
          <w:szCs w:val="24"/>
        </w:rPr>
        <w:t xml:space="preserve"> osas ei anna </w:t>
      </w:r>
      <w:r w:rsidR="005835A1">
        <w:rPr>
          <w:sz w:val="24"/>
          <w:szCs w:val="24"/>
        </w:rPr>
        <w:t>kirjas</w:t>
      </w:r>
      <w:r w:rsidR="004C3374">
        <w:rPr>
          <w:sz w:val="24"/>
          <w:szCs w:val="24"/>
        </w:rPr>
        <w:t xml:space="preserve"> viidatud </w:t>
      </w:r>
      <w:proofErr w:type="spellStart"/>
      <w:r w:rsidRPr="00FF5F53">
        <w:rPr>
          <w:sz w:val="24"/>
          <w:szCs w:val="24"/>
        </w:rPr>
        <w:t>Baltpooli</w:t>
      </w:r>
      <w:proofErr w:type="spellEnd"/>
      <w:r w:rsidRPr="00FF5F53">
        <w:rPr>
          <w:sz w:val="24"/>
          <w:szCs w:val="24"/>
        </w:rPr>
        <w:t xml:space="preserve"> hind õiget pilti tegelikest turuhindadest</w:t>
      </w:r>
      <w:r w:rsidR="00C95A14">
        <w:rPr>
          <w:sz w:val="24"/>
          <w:szCs w:val="24"/>
        </w:rPr>
        <w:t xml:space="preserve"> soojusettevõtjate jaoks</w:t>
      </w:r>
      <w:r w:rsidR="005835A1">
        <w:rPr>
          <w:sz w:val="24"/>
          <w:szCs w:val="24"/>
        </w:rPr>
        <w:t xml:space="preserve"> </w:t>
      </w:r>
      <w:r w:rsidR="004C3374">
        <w:rPr>
          <w:sz w:val="24"/>
          <w:szCs w:val="24"/>
        </w:rPr>
        <w:t xml:space="preserve"> -  tegemist </w:t>
      </w:r>
      <w:r w:rsidR="00131921">
        <w:rPr>
          <w:sz w:val="24"/>
          <w:szCs w:val="24"/>
        </w:rPr>
        <w:t xml:space="preserve">on </w:t>
      </w:r>
      <w:r w:rsidR="00BE59A2">
        <w:rPr>
          <w:sz w:val="24"/>
          <w:szCs w:val="24"/>
        </w:rPr>
        <w:t>kahe üksiku</w:t>
      </w:r>
      <w:r w:rsidR="009B4DCF">
        <w:rPr>
          <w:sz w:val="24"/>
          <w:szCs w:val="24"/>
        </w:rPr>
        <w:t xml:space="preserve"> tehinguga Ida-Virumaal, mille maht kogu turu mõttes on marginaalne</w:t>
      </w:r>
      <w:r w:rsidR="00DD4C98">
        <w:rPr>
          <w:sz w:val="24"/>
          <w:szCs w:val="24"/>
        </w:rPr>
        <w:t xml:space="preserve"> (</w:t>
      </w:r>
      <w:r w:rsidR="00BE59A2">
        <w:rPr>
          <w:sz w:val="24"/>
          <w:szCs w:val="24"/>
        </w:rPr>
        <w:t>2x</w:t>
      </w:r>
      <w:r w:rsidR="00DD4C98">
        <w:rPr>
          <w:sz w:val="24"/>
          <w:szCs w:val="24"/>
        </w:rPr>
        <w:t>2800 MWh)</w:t>
      </w:r>
      <w:r w:rsidR="009B4DCF">
        <w:rPr>
          <w:sz w:val="24"/>
          <w:szCs w:val="24"/>
        </w:rPr>
        <w:t xml:space="preserve">. </w:t>
      </w:r>
      <w:r w:rsidR="008A685B">
        <w:rPr>
          <w:sz w:val="24"/>
          <w:szCs w:val="24"/>
        </w:rPr>
        <w:t>Sama</w:t>
      </w:r>
      <w:r w:rsidR="00A55422">
        <w:rPr>
          <w:sz w:val="24"/>
          <w:szCs w:val="24"/>
        </w:rPr>
        <w:t>l</w:t>
      </w:r>
      <w:r w:rsidR="008A685B">
        <w:rPr>
          <w:sz w:val="24"/>
          <w:szCs w:val="24"/>
        </w:rPr>
        <w:t xml:space="preserve"> perioodil ei ol</w:t>
      </w:r>
      <w:r w:rsidR="005835A1">
        <w:rPr>
          <w:sz w:val="24"/>
          <w:szCs w:val="24"/>
        </w:rPr>
        <w:t>nud</w:t>
      </w:r>
      <w:r w:rsidR="008A685B">
        <w:rPr>
          <w:sz w:val="24"/>
          <w:szCs w:val="24"/>
        </w:rPr>
        <w:t xml:space="preserve"> võimalik nt Tallinnasse hankida </w:t>
      </w:r>
      <w:proofErr w:type="spellStart"/>
      <w:r w:rsidR="005835A1">
        <w:rPr>
          <w:sz w:val="24"/>
          <w:szCs w:val="24"/>
        </w:rPr>
        <w:t>puidu</w:t>
      </w:r>
      <w:r w:rsidR="008A685B">
        <w:rPr>
          <w:sz w:val="24"/>
          <w:szCs w:val="24"/>
        </w:rPr>
        <w:t>haket</w:t>
      </w:r>
      <w:proofErr w:type="spellEnd"/>
      <w:r w:rsidR="008A685B">
        <w:rPr>
          <w:sz w:val="24"/>
          <w:szCs w:val="24"/>
        </w:rPr>
        <w:t xml:space="preserve"> </w:t>
      </w:r>
      <w:r w:rsidR="005835A1">
        <w:rPr>
          <w:sz w:val="24"/>
          <w:szCs w:val="24"/>
        </w:rPr>
        <w:t>oluliselt kõrgematel hinnatasemetel. Oleme veendunud, et lähiajal</w:t>
      </w:r>
      <w:r w:rsidRPr="00FF5F53">
        <w:rPr>
          <w:sz w:val="24"/>
          <w:szCs w:val="24"/>
        </w:rPr>
        <w:t xml:space="preserve"> püsi</w:t>
      </w:r>
      <w:r w:rsidR="000A6AFA">
        <w:rPr>
          <w:sz w:val="24"/>
          <w:szCs w:val="24"/>
        </w:rPr>
        <w:t>vad</w:t>
      </w:r>
      <w:r w:rsidRPr="00FF5F53">
        <w:rPr>
          <w:sz w:val="24"/>
          <w:szCs w:val="24"/>
        </w:rPr>
        <w:t xml:space="preserve"> puiduhakke hin</w:t>
      </w:r>
      <w:r w:rsidR="000A6AFA">
        <w:rPr>
          <w:sz w:val="24"/>
          <w:szCs w:val="24"/>
        </w:rPr>
        <w:t>nad muutlikuna,</w:t>
      </w:r>
      <w:r w:rsidRPr="00FF5F53">
        <w:rPr>
          <w:sz w:val="24"/>
          <w:szCs w:val="24"/>
        </w:rPr>
        <w:t xml:space="preserve"> sest puiduhakke kättesaadavuse osas puudub üldine kindlus. Puiduhakke kättesaadavust </w:t>
      </w:r>
      <w:r w:rsidR="00C95A14">
        <w:rPr>
          <w:sz w:val="24"/>
          <w:szCs w:val="24"/>
        </w:rPr>
        <w:t xml:space="preserve">ning maksumust </w:t>
      </w:r>
      <w:r w:rsidR="00C95A14">
        <w:rPr>
          <w:sz w:val="24"/>
          <w:szCs w:val="24"/>
        </w:rPr>
        <w:softHyphen/>
      </w:r>
      <w:r w:rsidRPr="00FF5F53">
        <w:rPr>
          <w:sz w:val="24"/>
          <w:szCs w:val="24"/>
        </w:rPr>
        <w:t>mõjutavad paljud erinevad asjaolud:</w:t>
      </w:r>
    </w:p>
    <w:p w14:paraId="6BD55763" w14:textId="77777777" w:rsidR="00D61B4D" w:rsidRPr="00FF5F53" w:rsidRDefault="00D61B4D" w:rsidP="00D61B4D">
      <w:pPr>
        <w:pStyle w:val="ListParagraph"/>
        <w:numPr>
          <w:ilvl w:val="1"/>
          <w:numId w:val="2"/>
        </w:numPr>
        <w:spacing w:after="120" w:line="276" w:lineRule="auto"/>
        <w:contextualSpacing w:val="0"/>
        <w:jc w:val="both"/>
        <w:rPr>
          <w:sz w:val="24"/>
          <w:szCs w:val="24"/>
        </w:rPr>
      </w:pPr>
      <w:r w:rsidRPr="00FF5F53">
        <w:rPr>
          <w:sz w:val="24"/>
          <w:szCs w:val="24"/>
          <w:u w:val="single"/>
        </w:rPr>
        <w:t>Metsanduse arengukava 2030</w:t>
      </w:r>
      <w:r w:rsidRPr="00FF5F53">
        <w:rPr>
          <w:sz w:val="24"/>
          <w:szCs w:val="24"/>
        </w:rPr>
        <w:t xml:space="preserve"> on jätkuvalt vastu võtmata ning poliitilistest aruteludest kõlab läbi soov drastiliselt kärpida raiemahte. </w:t>
      </w:r>
    </w:p>
    <w:p w14:paraId="72867091" w14:textId="77777777" w:rsidR="00D61B4D" w:rsidRPr="00FF5F53" w:rsidRDefault="00D61B4D" w:rsidP="00D61B4D">
      <w:pPr>
        <w:pStyle w:val="ListParagraph"/>
        <w:numPr>
          <w:ilvl w:val="1"/>
          <w:numId w:val="2"/>
        </w:numPr>
        <w:spacing w:after="120" w:line="276" w:lineRule="auto"/>
        <w:contextualSpacing w:val="0"/>
        <w:jc w:val="both"/>
        <w:rPr>
          <w:sz w:val="24"/>
          <w:szCs w:val="24"/>
        </w:rPr>
      </w:pPr>
      <w:r w:rsidRPr="00FF5F53">
        <w:rPr>
          <w:sz w:val="24"/>
          <w:szCs w:val="24"/>
        </w:rPr>
        <w:t xml:space="preserve">Peagi algav </w:t>
      </w:r>
      <w:r w:rsidRPr="00FF5F53">
        <w:rPr>
          <w:sz w:val="24"/>
          <w:szCs w:val="24"/>
          <w:u w:val="single"/>
        </w:rPr>
        <w:t>raierahu</w:t>
      </w:r>
      <w:r w:rsidRPr="00FF5F53">
        <w:rPr>
          <w:sz w:val="24"/>
          <w:szCs w:val="24"/>
        </w:rPr>
        <w:t xml:space="preserve"> ja sooja talve tõttu pikenev </w:t>
      </w:r>
      <w:r w:rsidRPr="00FF5F53">
        <w:rPr>
          <w:sz w:val="24"/>
          <w:szCs w:val="24"/>
          <w:u w:val="single"/>
        </w:rPr>
        <w:t>teede lagunemise</w:t>
      </w:r>
      <w:r w:rsidRPr="00FF5F53">
        <w:rPr>
          <w:sz w:val="24"/>
          <w:szCs w:val="24"/>
        </w:rPr>
        <w:t xml:space="preserve"> aeg võib mõjutada säästlike </w:t>
      </w:r>
      <w:proofErr w:type="spellStart"/>
      <w:r w:rsidRPr="00FF5F53">
        <w:rPr>
          <w:sz w:val="24"/>
          <w:szCs w:val="24"/>
        </w:rPr>
        <w:t>biomasskütuste</w:t>
      </w:r>
      <w:proofErr w:type="spellEnd"/>
      <w:r w:rsidRPr="00FF5F53">
        <w:rPr>
          <w:sz w:val="24"/>
          <w:szCs w:val="24"/>
        </w:rPr>
        <w:t xml:space="preserve"> kättesaadavust.</w:t>
      </w:r>
    </w:p>
    <w:p w14:paraId="2A995167" w14:textId="0BE1882A" w:rsidR="00D61B4D" w:rsidRPr="00FF5F53" w:rsidRDefault="00D61B4D" w:rsidP="00D61B4D">
      <w:pPr>
        <w:pStyle w:val="ListParagraph"/>
        <w:numPr>
          <w:ilvl w:val="1"/>
          <w:numId w:val="2"/>
        </w:numPr>
        <w:spacing w:after="120" w:line="276" w:lineRule="auto"/>
        <w:contextualSpacing w:val="0"/>
        <w:jc w:val="both"/>
        <w:rPr>
          <w:sz w:val="24"/>
          <w:szCs w:val="24"/>
        </w:rPr>
      </w:pPr>
      <w:r w:rsidRPr="00FF5F53">
        <w:rPr>
          <w:sz w:val="24"/>
          <w:szCs w:val="24"/>
        </w:rPr>
        <w:t xml:space="preserve">Aasta algusest hakkas kehtima energiatootmises kasutatavate </w:t>
      </w:r>
      <w:proofErr w:type="spellStart"/>
      <w:r w:rsidRPr="00FF5F53">
        <w:rPr>
          <w:sz w:val="24"/>
          <w:szCs w:val="24"/>
          <w:u w:val="single"/>
        </w:rPr>
        <w:t>biomasskütuste</w:t>
      </w:r>
      <w:proofErr w:type="spellEnd"/>
      <w:r w:rsidRPr="00FF5F53">
        <w:rPr>
          <w:sz w:val="24"/>
          <w:szCs w:val="24"/>
          <w:u w:val="single"/>
        </w:rPr>
        <w:t xml:space="preserve"> säästlikkuse tõendamise nõue</w:t>
      </w:r>
      <w:r w:rsidRPr="00FF5F53">
        <w:rPr>
          <w:sz w:val="24"/>
          <w:szCs w:val="24"/>
        </w:rPr>
        <w:t xml:space="preserve">. Selle mõjul on </w:t>
      </w:r>
      <w:proofErr w:type="spellStart"/>
      <w:r w:rsidRPr="00FF5F53">
        <w:rPr>
          <w:sz w:val="24"/>
          <w:szCs w:val="24"/>
        </w:rPr>
        <w:t>puiduhaket</w:t>
      </w:r>
      <w:proofErr w:type="spellEnd"/>
      <w:r w:rsidRPr="00FF5F53">
        <w:rPr>
          <w:sz w:val="24"/>
          <w:szCs w:val="24"/>
        </w:rPr>
        <w:t xml:space="preserve"> kasutavad soojuse</w:t>
      </w:r>
      <w:r>
        <w:rPr>
          <w:sz w:val="24"/>
          <w:szCs w:val="24"/>
        </w:rPr>
        <w:t>ttevõtjad</w:t>
      </w:r>
      <w:r w:rsidRPr="00FF5F53">
        <w:rPr>
          <w:sz w:val="24"/>
          <w:szCs w:val="24"/>
        </w:rPr>
        <w:t xml:space="preserve"> pidanud juurutama rangeid puiduhakke </w:t>
      </w:r>
      <w:r w:rsidR="000F5CC7">
        <w:rPr>
          <w:sz w:val="24"/>
          <w:szCs w:val="24"/>
        </w:rPr>
        <w:t xml:space="preserve">hankimisala </w:t>
      </w:r>
      <w:r w:rsidRPr="00FF5F53">
        <w:rPr>
          <w:sz w:val="24"/>
          <w:szCs w:val="24"/>
        </w:rPr>
        <w:t xml:space="preserve">päritolu kontrolli mehhanisme, millele kõik senised puiduhakke tarnijad ei ole suutnud </w:t>
      </w:r>
      <w:r w:rsidRPr="00FF5F53">
        <w:rPr>
          <w:sz w:val="24"/>
          <w:szCs w:val="24"/>
        </w:rPr>
        <w:lastRenderedPageBreak/>
        <w:t>vastata. Olukorda komplitseerib asjaolu, et keskkonnaministeerium alles töötab</w:t>
      </w:r>
      <w:r>
        <w:rPr>
          <w:sz w:val="24"/>
          <w:szCs w:val="24"/>
        </w:rPr>
        <w:t xml:space="preserve"> välja</w:t>
      </w:r>
      <w:r w:rsidRPr="00FF5F53">
        <w:rPr>
          <w:sz w:val="24"/>
          <w:szCs w:val="24"/>
        </w:rPr>
        <w:t xml:space="preserve"> säästlikkuse tõendamise </w:t>
      </w:r>
      <w:r>
        <w:rPr>
          <w:sz w:val="24"/>
          <w:szCs w:val="24"/>
        </w:rPr>
        <w:t xml:space="preserve">korra kohta </w:t>
      </w:r>
      <w:r w:rsidRPr="00FF5F53">
        <w:rPr>
          <w:sz w:val="24"/>
          <w:szCs w:val="24"/>
        </w:rPr>
        <w:t xml:space="preserve">rakendusmäärust, mistõttu puudub ettevõtjatel lõplik kindlus, milliseid nõudeid järgida tuleb. Mittevastavuse riskide maandamiseks tuleb seetõttu keelduda puiduhakke tarnetest, mille puhul tarnija esitatud päritolutõendid ei ole piisavad. </w:t>
      </w:r>
      <w:r w:rsidR="00D02F5F">
        <w:rPr>
          <w:sz w:val="24"/>
          <w:szCs w:val="24"/>
        </w:rPr>
        <w:t>Tõendamata päritoluga puiduhakke tarnimine ja kasutamine toob kaasa kohustuse soetada lubatud heitkoguse ühikuid CO</w:t>
      </w:r>
      <w:r w:rsidR="00D02F5F" w:rsidRPr="00D07B1C">
        <w:rPr>
          <w:sz w:val="24"/>
          <w:szCs w:val="24"/>
          <w:vertAlign w:val="subscript"/>
        </w:rPr>
        <w:t>2</w:t>
      </w:r>
      <w:r w:rsidR="00D02F5F">
        <w:rPr>
          <w:sz w:val="24"/>
          <w:szCs w:val="24"/>
        </w:rPr>
        <w:t xml:space="preserve"> emissioonide kompenseerimiseks.</w:t>
      </w:r>
      <w:r w:rsidR="00D02F5F" w:rsidRPr="00FF5F53">
        <w:rPr>
          <w:sz w:val="24"/>
          <w:szCs w:val="24"/>
        </w:rPr>
        <w:t xml:space="preserve"> </w:t>
      </w:r>
      <w:r w:rsidRPr="00FF5F53">
        <w:rPr>
          <w:sz w:val="24"/>
          <w:szCs w:val="24"/>
        </w:rPr>
        <w:t>See on kasvatanud oluliselt nii soojusettevõtjate kui puiduhakke tarnijate halduskoormust ja sellega seonduvalt kulusid ning sam</w:t>
      </w:r>
      <w:r w:rsidR="00D02F5F">
        <w:rPr>
          <w:sz w:val="24"/>
          <w:szCs w:val="24"/>
        </w:rPr>
        <w:t>uti</w:t>
      </w:r>
      <w:r w:rsidRPr="00FF5F53">
        <w:rPr>
          <w:sz w:val="24"/>
          <w:szCs w:val="24"/>
        </w:rPr>
        <w:t xml:space="preserve"> oluliselt vähendanud usaldusväärsete puiduhakke pakkujate ringi.</w:t>
      </w:r>
    </w:p>
    <w:p w14:paraId="56D4B774" w14:textId="2E26B258" w:rsidR="00D61B4D" w:rsidRPr="00FF5F53" w:rsidRDefault="00D61B4D" w:rsidP="00D61B4D">
      <w:pPr>
        <w:pStyle w:val="ListParagraph"/>
        <w:numPr>
          <w:ilvl w:val="0"/>
          <w:numId w:val="2"/>
        </w:numPr>
        <w:spacing w:after="120" w:line="276" w:lineRule="auto"/>
        <w:contextualSpacing w:val="0"/>
        <w:jc w:val="both"/>
        <w:rPr>
          <w:sz w:val="24"/>
          <w:szCs w:val="24"/>
        </w:rPr>
      </w:pPr>
      <w:r w:rsidRPr="00FF5F53">
        <w:rPr>
          <w:b/>
          <w:bCs/>
          <w:sz w:val="24"/>
          <w:szCs w:val="24"/>
        </w:rPr>
        <w:t xml:space="preserve">Maagaasiga seonduvad täiendavad kulud, mis ei kajastu börsihinnas. </w:t>
      </w:r>
      <w:r w:rsidRPr="00FF5F53">
        <w:rPr>
          <w:sz w:val="24"/>
          <w:szCs w:val="24"/>
        </w:rPr>
        <w:t xml:space="preserve">Maagaasi börsihinnale lisanduvad soojusettevõtjate jaoks erinevad </w:t>
      </w:r>
      <w:r w:rsidR="006604D3">
        <w:rPr>
          <w:sz w:val="24"/>
          <w:szCs w:val="24"/>
        </w:rPr>
        <w:t xml:space="preserve">komponendid, </w:t>
      </w:r>
      <w:r w:rsidR="00FF12A0">
        <w:rPr>
          <w:sz w:val="24"/>
          <w:szCs w:val="24"/>
        </w:rPr>
        <w:t xml:space="preserve">nt marginaal, tolerantsitasud, </w:t>
      </w:r>
      <w:r w:rsidRPr="00FF5F53">
        <w:rPr>
          <w:sz w:val="24"/>
          <w:szCs w:val="24"/>
        </w:rPr>
        <w:t>mahutitasud</w:t>
      </w:r>
      <w:r w:rsidR="006604D3">
        <w:rPr>
          <w:sz w:val="24"/>
          <w:szCs w:val="24"/>
        </w:rPr>
        <w:t xml:space="preserve"> ning </w:t>
      </w:r>
      <w:r w:rsidRPr="00FF5F53">
        <w:rPr>
          <w:sz w:val="24"/>
          <w:szCs w:val="24"/>
        </w:rPr>
        <w:t xml:space="preserve">bilansihaldusega seonduvad kulud. </w:t>
      </w:r>
      <w:r w:rsidR="006604D3">
        <w:rPr>
          <w:sz w:val="24"/>
          <w:szCs w:val="24"/>
        </w:rPr>
        <w:t>Lisandub ka aktsiis ja võrgutasu ning t</w:t>
      </w:r>
      <w:r w:rsidRPr="00FF5F53">
        <w:rPr>
          <w:sz w:val="24"/>
          <w:szCs w:val="24"/>
        </w:rPr>
        <w:t>äiendavalt hakkab juba kuu aja pärast kehtima maagaasi varumakse määr, mis rakendub ka kõigile maagaasi kasutavatele soojusettevõtjatele.</w:t>
      </w:r>
    </w:p>
    <w:p w14:paraId="398ED194" w14:textId="7EAE6598" w:rsidR="00D61B4D" w:rsidRPr="003C0751" w:rsidRDefault="00D61B4D" w:rsidP="00D61B4D">
      <w:pPr>
        <w:pStyle w:val="ListParagraph"/>
        <w:numPr>
          <w:ilvl w:val="0"/>
          <w:numId w:val="2"/>
        </w:numPr>
        <w:spacing w:after="120" w:line="276" w:lineRule="auto"/>
        <w:contextualSpacing w:val="0"/>
        <w:jc w:val="both"/>
        <w:rPr>
          <w:sz w:val="24"/>
          <w:szCs w:val="24"/>
        </w:rPr>
      </w:pPr>
      <w:r w:rsidRPr="00FF5F53">
        <w:rPr>
          <w:b/>
          <w:bCs/>
          <w:sz w:val="24"/>
          <w:szCs w:val="24"/>
        </w:rPr>
        <w:t xml:space="preserve">Tarnekindluse tagamiseks sõlmitud pikaajalisi lepinguid ei ole võimalik paindlikult muuta. </w:t>
      </w:r>
      <w:r w:rsidR="003C0751" w:rsidRPr="003C0751">
        <w:rPr>
          <w:sz w:val="24"/>
          <w:szCs w:val="24"/>
        </w:rPr>
        <w:t>E</w:t>
      </w:r>
      <w:r w:rsidRPr="00FF5F53">
        <w:rPr>
          <w:sz w:val="24"/>
          <w:szCs w:val="24"/>
        </w:rPr>
        <w:t>lutähtsa teenuse toimepidevus</w:t>
      </w:r>
      <w:r w:rsidR="003C0751">
        <w:rPr>
          <w:sz w:val="24"/>
          <w:szCs w:val="24"/>
        </w:rPr>
        <w:t>e kindlustamiseks</w:t>
      </w:r>
      <w:r w:rsidR="000A6AFA">
        <w:rPr>
          <w:sz w:val="24"/>
          <w:szCs w:val="24"/>
        </w:rPr>
        <w:t xml:space="preserve"> </w:t>
      </w:r>
      <w:r w:rsidRPr="00FF5F53">
        <w:rPr>
          <w:sz w:val="24"/>
          <w:szCs w:val="24"/>
        </w:rPr>
        <w:t xml:space="preserve">sõlmisid </w:t>
      </w:r>
      <w:r w:rsidR="000A6AFA">
        <w:rPr>
          <w:sz w:val="24"/>
          <w:szCs w:val="24"/>
        </w:rPr>
        <w:t xml:space="preserve">paljud </w:t>
      </w:r>
      <w:r w:rsidRPr="00FF5F53">
        <w:rPr>
          <w:sz w:val="24"/>
          <w:szCs w:val="24"/>
        </w:rPr>
        <w:t xml:space="preserve">soojusettevõtjad enne küttehooaja algust kütuste tarnijatega pikaajalised lepingud, et </w:t>
      </w:r>
      <w:r>
        <w:rPr>
          <w:sz w:val="24"/>
          <w:szCs w:val="24"/>
        </w:rPr>
        <w:t xml:space="preserve">maandada </w:t>
      </w:r>
      <w:r w:rsidRPr="00FF5F53">
        <w:rPr>
          <w:sz w:val="24"/>
          <w:szCs w:val="24"/>
        </w:rPr>
        <w:t>selle küttehooaja eel erinevate kütuste kättesaadavuse osas valitsenud suur</w:t>
      </w:r>
      <w:r>
        <w:rPr>
          <w:sz w:val="24"/>
          <w:szCs w:val="24"/>
        </w:rPr>
        <w:t xml:space="preserve">e </w:t>
      </w:r>
      <w:r w:rsidRPr="00FF5F53">
        <w:rPr>
          <w:sz w:val="24"/>
          <w:szCs w:val="24"/>
        </w:rPr>
        <w:t>ebakindlus</w:t>
      </w:r>
      <w:r>
        <w:rPr>
          <w:sz w:val="24"/>
          <w:szCs w:val="24"/>
        </w:rPr>
        <w:t>ega seotud riske</w:t>
      </w:r>
      <w:r w:rsidRPr="00FF5F53">
        <w:rPr>
          <w:sz w:val="24"/>
          <w:szCs w:val="24"/>
        </w:rPr>
        <w:t>. Täna käitutakse lepingutes kokkulepitud piirides. Juba soetatud varusid pole võimalik ümber</w:t>
      </w:r>
      <w:r w:rsidR="006604D3">
        <w:rPr>
          <w:sz w:val="24"/>
          <w:szCs w:val="24"/>
        </w:rPr>
        <w:t xml:space="preserve"> </w:t>
      </w:r>
      <w:r w:rsidRPr="00FF5F53">
        <w:rPr>
          <w:sz w:val="24"/>
          <w:szCs w:val="24"/>
        </w:rPr>
        <w:t xml:space="preserve">hinnata. </w:t>
      </w:r>
      <w:r w:rsidRPr="003C0751">
        <w:rPr>
          <w:sz w:val="24"/>
          <w:szCs w:val="24"/>
        </w:rPr>
        <w:t xml:space="preserve">Samuti tuleb arvestada, et isegi, kui mõnedel soojusettevõtjatel on juriidiliselt võimalik sõlmitud lepingutest taganeda, siis </w:t>
      </w:r>
      <w:r w:rsidR="003C0751">
        <w:rPr>
          <w:sz w:val="24"/>
          <w:szCs w:val="24"/>
        </w:rPr>
        <w:t>võib eeldada, et</w:t>
      </w:r>
      <w:r w:rsidRPr="003C0751">
        <w:rPr>
          <w:sz w:val="24"/>
          <w:szCs w:val="24"/>
        </w:rPr>
        <w:t xml:space="preserve"> puiduhakke tarnijad </w:t>
      </w:r>
      <w:r w:rsidR="003C0751">
        <w:rPr>
          <w:sz w:val="24"/>
          <w:szCs w:val="24"/>
        </w:rPr>
        <w:t xml:space="preserve">ei soovi oma jätkusuutlikkust proovile panna – kui </w:t>
      </w:r>
      <w:r w:rsidRPr="003C0751">
        <w:rPr>
          <w:sz w:val="24"/>
          <w:szCs w:val="24"/>
        </w:rPr>
        <w:t xml:space="preserve">varud </w:t>
      </w:r>
      <w:r w:rsidR="003C0751">
        <w:rPr>
          <w:sz w:val="24"/>
          <w:szCs w:val="24"/>
        </w:rPr>
        <w:t xml:space="preserve">on </w:t>
      </w:r>
      <w:r w:rsidRPr="003C0751">
        <w:rPr>
          <w:sz w:val="24"/>
          <w:szCs w:val="24"/>
        </w:rPr>
        <w:t xml:space="preserve">soetanud metsaomanikelt kallimate </w:t>
      </w:r>
      <w:r w:rsidR="003C0751">
        <w:rPr>
          <w:sz w:val="24"/>
          <w:szCs w:val="24"/>
        </w:rPr>
        <w:t>sisend</w:t>
      </w:r>
      <w:r w:rsidRPr="003C0751">
        <w:rPr>
          <w:sz w:val="24"/>
          <w:szCs w:val="24"/>
        </w:rPr>
        <w:t>hindadega</w:t>
      </w:r>
      <w:r w:rsidR="003C0751">
        <w:rPr>
          <w:sz w:val="24"/>
          <w:szCs w:val="24"/>
        </w:rPr>
        <w:t xml:space="preserve">, siis </w:t>
      </w:r>
      <w:r w:rsidRPr="003C0751">
        <w:rPr>
          <w:sz w:val="24"/>
          <w:szCs w:val="24"/>
        </w:rPr>
        <w:t>ei</w:t>
      </w:r>
      <w:r w:rsidR="003C0751">
        <w:rPr>
          <w:sz w:val="24"/>
          <w:szCs w:val="24"/>
        </w:rPr>
        <w:t xml:space="preserve"> ole neil võimalik pakkuda ka uuel hankel soodsamat hinda. </w:t>
      </w:r>
      <w:r w:rsidR="00EF21E4" w:rsidRPr="003C0751">
        <w:rPr>
          <w:sz w:val="24"/>
          <w:szCs w:val="24"/>
        </w:rPr>
        <w:t xml:space="preserve">Täiendavalt oleks sellisel soojusettevõtjapoolsel käitumisel oluline pikemaajaline negatiivne mõju suhetele </w:t>
      </w:r>
      <w:r w:rsidR="003C0751">
        <w:rPr>
          <w:sz w:val="24"/>
          <w:szCs w:val="24"/>
        </w:rPr>
        <w:t xml:space="preserve">säästliku </w:t>
      </w:r>
      <w:r w:rsidR="00EF21E4" w:rsidRPr="003C0751">
        <w:rPr>
          <w:sz w:val="24"/>
          <w:szCs w:val="24"/>
        </w:rPr>
        <w:t>puiduhakke</w:t>
      </w:r>
      <w:r w:rsidR="003C0751">
        <w:rPr>
          <w:sz w:val="24"/>
          <w:szCs w:val="24"/>
        </w:rPr>
        <w:t xml:space="preserve"> tarnevõimekusega</w:t>
      </w:r>
      <w:r w:rsidR="00EF21E4" w:rsidRPr="003C0751">
        <w:rPr>
          <w:sz w:val="24"/>
          <w:szCs w:val="24"/>
        </w:rPr>
        <w:t xml:space="preserve"> tarnijatega.</w:t>
      </w:r>
    </w:p>
    <w:p w14:paraId="370AFEF2" w14:textId="6F0FE591" w:rsidR="00D61B4D" w:rsidRPr="00FF5F53" w:rsidRDefault="00D61B4D" w:rsidP="00D61B4D">
      <w:pPr>
        <w:pStyle w:val="ListParagraph"/>
        <w:numPr>
          <w:ilvl w:val="0"/>
          <w:numId w:val="2"/>
        </w:numPr>
        <w:spacing w:after="120" w:line="276" w:lineRule="auto"/>
        <w:contextualSpacing w:val="0"/>
        <w:jc w:val="both"/>
        <w:rPr>
          <w:sz w:val="24"/>
          <w:szCs w:val="24"/>
        </w:rPr>
      </w:pPr>
      <w:r w:rsidRPr="00FF5F53">
        <w:rPr>
          <w:b/>
          <w:bCs/>
          <w:sz w:val="24"/>
          <w:szCs w:val="24"/>
        </w:rPr>
        <w:t>Kütuste turuhinnad ei peegelda soojusettevõtjate tegelikke kulubaase</w:t>
      </w:r>
      <w:r>
        <w:rPr>
          <w:b/>
          <w:bCs/>
          <w:sz w:val="24"/>
          <w:szCs w:val="24"/>
        </w:rPr>
        <w:t xml:space="preserve"> ning hinnaregulatsioon ei võta arvesse majanduskeskkonnas toimunud muutusi</w:t>
      </w:r>
      <w:r w:rsidRPr="00FF5F53">
        <w:rPr>
          <w:b/>
          <w:bCs/>
          <w:sz w:val="24"/>
          <w:szCs w:val="24"/>
        </w:rPr>
        <w:t>.</w:t>
      </w:r>
      <w:r w:rsidRPr="00FF5F53">
        <w:rPr>
          <w:sz w:val="24"/>
          <w:szCs w:val="24"/>
        </w:rPr>
        <w:t xml:space="preserve"> Nagu juba eelnevast nähtus, mõjutavad kütuste hindu väga erinevad börsihinnas mittekajastuvad asjaolud. Täiendavalt tõstab ettevõtjate kulubaasi üldine ebakindel majanduslik olukord</w:t>
      </w:r>
      <w:r w:rsidR="00D07B1C">
        <w:rPr>
          <w:sz w:val="24"/>
          <w:szCs w:val="24"/>
        </w:rPr>
        <w:t>, mida ilmekalt peegeldab finantsturgudel toimuv</w:t>
      </w:r>
      <w:r w:rsidRPr="00FF5F53">
        <w:rPr>
          <w:sz w:val="24"/>
          <w:szCs w:val="24"/>
        </w:rPr>
        <w:t xml:space="preserve">. </w:t>
      </w:r>
      <w:r w:rsidR="00D07B1C">
        <w:rPr>
          <w:sz w:val="24"/>
          <w:szCs w:val="24"/>
        </w:rPr>
        <w:t>E</w:t>
      </w:r>
      <w:r>
        <w:rPr>
          <w:sz w:val="24"/>
          <w:szCs w:val="24"/>
        </w:rPr>
        <w:t xml:space="preserve">elmise </w:t>
      </w:r>
      <w:r w:rsidRPr="00FF5F53">
        <w:rPr>
          <w:sz w:val="24"/>
          <w:szCs w:val="24"/>
        </w:rPr>
        <w:t xml:space="preserve">aasta kõrge inflatsioon ning </w:t>
      </w:r>
      <w:r w:rsidR="00D07B1C">
        <w:rPr>
          <w:sz w:val="24"/>
          <w:szCs w:val="24"/>
        </w:rPr>
        <w:t>hüppeline</w:t>
      </w:r>
      <w:r w:rsidRPr="00FF5F53">
        <w:rPr>
          <w:sz w:val="24"/>
          <w:szCs w:val="24"/>
        </w:rPr>
        <w:t xml:space="preserve"> intressimäärade tõus </w:t>
      </w:r>
      <w:r w:rsidR="00D07B1C">
        <w:rPr>
          <w:sz w:val="24"/>
          <w:szCs w:val="24"/>
        </w:rPr>
        <w:t>ei ole siiani</w:t>
      </w:r>
      <w:r w:rsidRPr="00FF5F53">
        <w:rPr>
          <w:sz w:val="24"/>
          <w:szCs w:val="24"/>
        </w:rPr>
        <w:t xml:space="preserve"> adekvaatselt </w:t>
      </w:r>
      <w:proofErr w:type="spellStart"/>
      <w:r w:rsidRPr="00FF5F53">
        <w:rPr>
          <w:sz w:val="24"/>
          <w:szCs w:val="24"/>
        </w:rPr>
        <w:t>WACCi</w:t>
      </w:r>
      <w:proofErr w:type="spellEnd"/>
      <w:r w:rsidRPr="00FF5F53">
        <w:rPr>
          <w:sz w:val="24"/>
          <w:szCs w:val="24"/>
        </w:rPr>
        <w:t xml:space="preserve"> määradesse jõudnud ning seeläbi </w:t>
      </w:r>
      <w:r>
        <w:rPr>
          <w:sz w:val="24"/>
          <w:szCs w:val="24"/>
        </w:rPr>
        <w:t xml:space="preserve">ei teeni reguleeritud </w:t>
      </w:r>
      <w:r w:rsidRPr="00FF5F53">
        <w:rPr>
          <w:sz w:val="24"/>
          <w:szCs w:val="24"/>
        </w:rPr>
        <w:t xml:space="preserve">ettevõtjad </w:t>
      </w:r>
      <w:r w:rsidR="00EF21E4">
        <w:rPr>
          <w:sz w:val="24"/>
          <w:szCs w:val="24"/>
        </w:rPr>
        <w:t xml:space="preserve">regulatsiooniga ettenähtud </w:t>
      </w:r>
      <w:r w:rsidRPr="00FF5F53">
        <w:rPr>
          <w:sz w:val="24"/>
          <w:szCs w:val="24"/>
        </w:rPr>
        <w:t>mõistlik</w:t>
      </w:r>
      <w:r w:rsidR="00EF21E4">
        <w:rPr>
          <w:sz w:val="24"/>
          <w:szCs w:val="24"/>
        </w:rPr>
        <w:t>k</w:t>
      </w:r>
      <w:r w:rsidRPr="00FF5F53">
        <w:rPr>
          <w:sz w:val="24"/>
          <w:szCs w:val="24"/>
        </w:rPr>
        <w:t>u tulukust, mis võimaldaks</w:t>
      </w:r>
      <w:r w:rsidR="00EF21E4">
        <w:rPr>
          <w:sz w:val="24"/>
          <w:szCs w:val="24"/>
        </w:rPr>
        <w:t xml:space="preserve"> </w:t>
      </w:r>
      <w:r w:rsidR="00D07B1C">
        <w:rPr>
          <w:sz w:val="24"/>
          <w:szCs w:val="24"/>
        </w:rPr>
        <w:t xml:space="preserve">investeeringuid </w:t>
      </w:r>
      <w:r w:rsidR="00EF21E4">
        <w:rPr>
          <w:sz w:val="24"/>
          <w:szCs w:val="24"/>
        </w:rPr>
        <w:t>mh</w:t>
      </w:r>
      <w:r w:rsidRPr="00FF5F53">
        <w:rPr>
          <w:sz w:val="24"/>
          <w:szCs w:val="24"/>
        </w:rPr>
        <w:t xml:space="preserve"> </w:t>
      </w:r>
      <w:r w:rsidR="00EF21E4">
        <w:rPr>
          <w:sz w:val="24"/>
          <w:szCs w:val="24"/>
        </w:rPr>
        <w:t xml:space="preserve">gaasisõltuvust vähendavaid </w:t>
      </w:r>
      <w:r w:rsidRPr="00FF5F53">
        <w:rPr>
          <w:sz w:val="24"/>
          <w:szCs w:val="24"/>
        </w:rPr>
        <w:t xml:space="preserve">investeeringuid </w:t>
      </w:r>
      <w:r w:rsidR="005932F1">
        <w:rPr>
          <w:sz w:val="24"/>
          <w:szCs w:val="24"/>
        </w:rPr>
        <w:t xml:space="preserve">vajalikus mahus </w:t>
      </w:r>
      <w:r w:rsidRPr="00FF5F53">
        <w:rPr>
          <w:sz w:val="24"/>
          <w:szCs w:val="24"/>
        </w:rPr>
        <w:t xml:space="preserve">ellu viia. </w:t>
      </w:r>
    </w:p>
    <w:p w14:paraId="3BE35E22" w14:textId="0E5CDEE7" w:rsidR="00D61B4D" w:rsidRPr="00FF5F53" w:rsidRDefault="00D61B4D" w:rsidP="00D61B4D">
      <w:pPr>
        <w:pStyle w:val="ListParagraph"/>
        <w:numPr>
          <w:ilvl w:val="0"/>
          <w:numId w:val="2"/>
        </w:numPr>
        <w:spacing w:after="120" w:line="276" w:lineRule="auto"/>
        <w:contextualSpacing w:val="0"/>
        <w:jc w:val="both"/>
        <w:rPr>
          <w:sz w:val="24"/>
          <w:szCs w:val="24"/>
        </w:rPr>
      </w:pPr>
      <w:r w:rsidRPr="00FF5F53">
        <w:rPr>
          <w:b/>
          <w:bCs/>
          <w:sz w:val="24"/>
          <w:szCs w:val="24"/>
        </w:rPr>
        <w:t xml:space="preserve">Konkurentsiameti poolt nõutav hinnataotluse tähtaeg on põhjendamatult lühike. </w:t>
      </w:r>
      <w:r w:rsidRPr="00FF5F53">
        <w:rPr>
          <w:sz w:val="24"/>
          <w:szCs w:val="24"/>
        </w:rPr>
        <w:t xml:space="preserve">Nagu ka Konkurentsiameti märgukirjas viidatud, peab soojusettevõtja </w:t>
      </w:r>
      <w:proofErr w:type="spellStart"/>
      <w:r w:rsidRPr="00FF5F53">
        <w:rPr>
          <w:sz w:val="24"/>
          <w:szCs w:val="24"/>
        </w:rPr>
        <w:t>KKütS</w:t>
      </w:r>
      <w:proofErr w:type="spellEnd"/>
      <w:r w:rsidRPr="00FF5F53">
        <w:rPr>
          <w:sz w:val="24"/>
          <w:szCs w:val="24"/>
        </w:rPr>
        <w:t xml:space="preserve"> § 9 lõike 9</w:t>
      </w:r>
      <w:r w:rsidRPr="00FF5F53">
        <w:rPr>
          <w:sz w:val="24"/>
          <w:szCs w:val="24"/>
          <w:vertAlign w:val="superscript"/>
        </w:rPr>
        <w:t>1</w:t>
      </w:r>
      <w:r w:rsidRPr="00FF5F53">
        <w:rPr>
          <w:sz w:val="24"/>
          <w:szCs w:val="24"/>
        </w:rPr>
        <w:t xml:space="preserve"> alusel esitama Konkurentsiametile uue soojuse piirhinna kooskõlastamise taotluse hiljemalt 30 päeva jooksul, arvates asjaolu ilmnemisest, mis võib vähendada soojuse hinda tarbijale enam kui 5% võrra. Samas aga nõuab märgukiri </w:t>
      </w:r>
      <w:r w:rsidR="0033713D">
        <w:rPr>
          <w:sz w:val="24"/>
          <w:szCs w:val="24"/>
        </w:rPr>
        <w:t xml:space="preserve">üllatuslikult </w:t>
      </w:r>
      <w:r w:rsidRPr="00FF5F53">
        <w:rPr>
          <w:sz w:val="24"/>
          <w:szCs w:val="24"/>
        </w:rPr>
        <w:t>hinnataotluse esitamist vähem kui nädalase tähtaja jooksul. Selline nõue on põhjenda</w:t>
      </w:r>
      <w:r>
        <w:rPr>
          <w:sz w:val="24"/>
          <w:szCs w:val="24"/>
        </w:rPr>
        <w:t>ma</w:t>
      </w:r>
      <w:r w:rsidRPr="00FF5F53">
        <w:rPr>
          <w:sz w:val="24"/>
          <w:szCs w:val="24"/>
        </w:rPr>
        <w:t xml:space="preserve">tu ja vastuolus </w:t>
      </w:r>
      <w:proofErr w:type="spellStart"/>
      <w:r w:rsidRPr="00FF5F53">
        <w:rPr>
          <w:sz w:val="24"/>
          <w:szCs w:val="24"/>
        </w:rPr>
        <w:t>KKütSiga</w:t>
      </w:r>
      <w:proofErr w:type="spellEnd"/>
      <w:r>
        <w:rPr>
          <w:sz w:val="24"/>
          <w:szCs w:val="24"/>
        </w:rPr>
        <w:t>, eriti võttes arvesse ülal toodud soojuse hinnakomponente ja üldist majanduskeskkonda mõjutavaid kaalutlusi</w:t>
      </w:r>
      <w:r w:rsidRPr="00FF5F53">
        <w:rPr>
          <w:sz w:val="24"/>
          <w:szCs w:val="24"/>
        </w:rPr>
        <w:t>.</w:t>
      </w:r>
    </w:p>
    <w:p w14:paraId="0D8D424F" w14:textId="57BF80F7" w:rsidR="00D476D7" w:rsidRDefault="001B005B" w:rsidP="00D476D7">
      <w:pPr>
        <w:spacing w:line="276" w:lineRule="auto"/>
        <w:jc w:val="both"/>
        <w:rPr>
          <w:sz w:val="24"/>
          <w:szCs w:val="24"/>
        </w:rPr>
      </w:pPr>
      <w:r>
        <w:rPr>
          <w:sz w:val="24"/>
          <w:szCs w:val="24"/>
        </w:rPr>
        <w:lastRenderedPageBreak/>
        <w:t>Kokkuvõtlikult k</w:t>
      </w:r>
      <w:r w:rsidR="00D476D7">
        <w:rPr>
          <w:sz w:val="24"/>
          <w:szCs w:val="24"/>
        </w:rPr>
        <w:t xml:space="preserve">innitame, et kaugkütteettevõtted juhinduvad oma tegevuses </w:t>
      </w:r>
      <w:r w:rsidR="00D476D7" w:rsidRPr="00A8579E">
        <w:rPr>
          <w:sz w:val="24"/>
          <w:szCs w:val="24"/>
        </w:rPr>
        <w:t>kaugkütteseadusest ning teistest valdkonda reguleerivatest õigusaktidest. Kõik sisendite muutused võetakse arvesse, et lubatud hinnakujundus oleks tagatud kogu kulustruktuuri üleselt</w:t>
      </w:r>
      <w:r w:rsidR="00A8579E" w:rsidRPr="00A8579E">
        <w:rPr>
          <w:sz w:val="24"/>
          <w:szCs w:val="24"/>
        </w:rPr>
        <w:t>.</w:t>
      </w:r>
      <w:r w:rsidR="009C3FC8">
        <w:rPr>
          <w:sz w:val="24"/>
          <w:szCs w:val="24"/>
        </w:rPr>
        <w:t xml:space="preserve"> </w:t>
      </w:r>
      <w:r w:rsidR="00D02F5F">
        <w:rPr>
          <w:sz w:val="24"/>
          <w:szCs w:val="24"/>
        </w:rPr>
        <w:t>P</w:t>
      </w:r>
      <w:r w:rsidR="009C3FC8">
        <w:rPr>
          <w:sz w:val="24"/>
          <w:szCs w:val="24"/>
        </w:rPr>
        <w:t>alume konkurentsiameti poolt mõistvat suhtumist</w:t>
      </w:r>
      <w:r w:rsidR="00E65577">
        <w:rPr>
          <w:sz w:val="24"/>
          <w:szCs w:val="24"/>
        </w:rPr>
        <w:t xml:space="preserve">, et võimaldada </w:t>
      </w:r>
      <w:r w:rsidR="00BB4208">
        <w:rPr>
          <w:sz w:val="24"/>
          <w:szCs w:val="24"/>
        </w:rPr>
        <w:t xml:space="preserve">soojusettevõtjatel tagada teenuse toimepidevus ja </w:t>
      </w:r>
      <w:r w:rsidR="005932F1">
        <w:rPr>
          <w:sz w:val="24"/>
          <w:szCs w:val="24"/>
        </w:rPr>
        <w:t xml:space="preserve">oma </w:t>
      </w:r>
      <w:r w:rsidR="00D61B4D">
        <w:rPr>
          <w:sz w:val="24"/>
          <w:szCs w:val="24"/>
        </w:rPr>
        <w:t>tegevuse jätkusuutlikkus.</w:t>
      </w:r>
    </w:p>
    <w:p w14:paraId="7F3577E2" w14:textId="77777777" w:rsidR="00D476D7" w:rsidRDefault="00D476D7" w:rsidP="00D476D7">
      <w:pPr>
        <w:spacing w:line="276" w:lineRule="auto"/>
        <w:jc w:val="both"/>
        <w:rPr>
          <w:sz w:val="24"/>
          <w:szCs w:val="24"/>
        </w:rPr>
      </w:pPr>
    </w:p>
    <w:p w14:paraId="11B556F8" w14:textId="77777777" w:rsidR="00D476D7" w:rsidRPr="00733232" w:rsidRDefault="00D476D7" w:rsidP="00D476D7">
      <w:pPr>
        <w:tabs>
          <w:tab w:val="left" w:pos="1440"/>
        </w:tabs>
        <w:rPr>
          <w:sz w:val="24"/>
          <w:szCs w:val="24"/>
        </w:rPr>
      </w:pPr>
      <w:r w:rsidRPr="00733232">
        <w:rPr>
          <w:sz w:val="24"/>
          <w:szCs w:val="24"/>
        </w:rPr>
        <w:t>Lugupidamisega</w:t>
      </w:r>
    </w:p>
    <w:p w14:paraId="74D62DB3" w14:textId="77777777" w:rsidR="00D476D7" w:rsidRPr="00733232" w:rsidRDefault="00D476D7" w:rsidP="00D476D7">
      <w:pPr>
        <w:tabs>
          <w:tab w:val="left" w:pos="1440"/>
        </w:tabs>
        <w:rPr>
          <w:sz w:val="24"/>
          <w:szCs w:val="24"/>
        </w:rPr>
      </w:pPr>
    </w:p>
    <w:p w14:paraId="57A4226A" w14:textId="77777777" w:rsidR="00D476D7" w:rsidRPr="00733232" w:rsidRDefault="00D476D7" w:rsidP="00D476D7">
      <w:pPr>
        <w:tabs>
          <w:tab w:val="left" w:pos="1440"/>
        </w:tabs>
        <w:rPr>
          <w:sz w:val="24"/>
          <w:szCs w:val="24"/>
        </w:rPr>
      </w:pPr>
    </w:p>
    <w:p w14:paraId="4EC9160C" w14:textId="77777777" w:rsidR="00D476D7" w:rsidRPr="00C578B1" w:rsidRDefault="00D476D7" w:rsidP="00D476D7">
      <w:pPr>
        <w:tabs>
          <w:tab w:val="left" w:pos="1440"/>
        </w:tabs>
        <w:rPr>
          <w:i/>
          <w:sz w:val="24"/>
          <w:szCs w:val="24"/>
        </w:rPr>
      </w:pPr>
      <w:r w:rsidRPr="00733232">
        <w:rPr>
          <w:i/>
          <w:sz w:val="24"/>
          <w:szCs w:val="24"/>
        </w:rPr>
        <w:t>(Allkirjastatud digitaalselt)</w:t>
      </w:r>
    </w:p>
    <w:p w14:paraId="135FA686" w14:textId="77777777" w:rsidR="00D476D7" w:rsidRDefault="00D476D7" w:rsidP="00D476D7">
      <w:pPr>
        <w:tabs>
          <w:tab w:val="left" w:pos="1440"/>
        </w:tabs>
        <w:rPr>
          <w:i/>
          <w:sz w:val="24"/>
          <w:szCs w:val="24"/>
        </w:rPr>
      </w:pPr>
    </w:p>
    <w:p w14:paraId="57842630" w14:textId="77777777" w:rsidR="00D476D7" w:rsidRPr="00C578B1" w:rsidRDefault="00D476D7" w:rsidP="00D476D7">
      <w:pPr>
        <w:tabs>
          <w:tab w:val="left" w:pos="1440"/>
        </w:tabs>
        <w:rPr>
          <w:i/>
          <w:sz w:val="24"/>
          <w:szCs w:val="24"/>
        </w:rPr>
      </w:pPr>
    </w:p>
    <w:p w14:paraId="03B9F288" w14:textId="77777777" w:rsidR="00D476D7" w:rsidRPr="00C578B1" w:rsidRDefault="00D476D7" w:rsidP="00D476D7">
      <w:pPr>
        <w:rPr>
          <w:sz w:val="24"/>
          <w:szCs w:val="24"/>
        </w:rPr>
      </w:pPr>
      <w:r>
        <w:rPr>
          <w:sz w:val="24"/>
          <w:szCs w:val="24"/>
        </w:rPr>
        <w:t>Siim Umbleja</w:t>
      </w:r>
    </w:p>
    <w:p w14:paraId="0F99FEE3" w14:textId="18A8D599" w:rsidR="00D476D7" w:rsidRDefault="001B005B" w:rsidP="00D476D7">
      <w:pPr>
        <w:rPr>
          <w:sz w:val="24"/>
          <w:szCs w:val="24"/>
        </w:rPr>
      </w:pPr>
      <w:r>
        <w:rPr>
          <w:sz w:val="24"/>
          <w:szCs w:val="24"/>
        </w:rPr>
        <w:t>Juhatuse liige</w:t>
      </w:r>
    </w:p>
    <w:p w14:paraId="21D3F5C7" w14:textId="77777777" w:rsidR="00D476D7" w:rsidRDefault="00D476D7" w:rsidP="00D476D7">
      <w:pPr>
        <w:rPr>
          <w:sz w:val="24"/>
          <w:szCs w:val="24"/>
        </w:rPr>
      </w:pPr>
    </w:p>
    <w:p w14:paraId="5B888651" w14:textId="77777777" w:rsidR="00D476D7" w:rsidRDefault="00D476D7" w:rsidP="00D476D7">
      <w:pPr>
        <w:rPr>
          <w:sz w:val="24"/>
          <w:szCs w:val="24"/>
        </w:rPr>
      </w:pPr>
    </w:p>
    <w:p w14:paraId="1F95C604" w14:textId="77777777" w:rsidR="00054C40" w:rsidRDefault="00054C40" w:rsidP="00D476D7">
      <w:pPr>
        <w:rPr>
          <w:sz w:val="24"/>
          <w:szCs w:val="24"/>
        </w:rPr>
      </w:pPr>
    </w:p>
    <w:p w14:paraId="4FDA5334" w14:textId="77777777" w:rsidR="00D476D7" w:rsidRDefault="00D476D7" w:rsidP="00D476D7"/>
    <w:p w14:paraId="05B6E43C" w14:textId="77777777" w:rsidR="00D476D7" w:rsidRDefault="00D476D7" w:rsidP="00D476D7"/>
    <w:p w14:paraId="545E8C51" w14:textId="77777777" w:rsidR="002D113C" w:rsidRDefault="00000000">
      <w:hyperlink r:id="rId11" w:history="1">
        <w:r w:rsidR="00D476D7" w:rsidRPr="00DF157C">
          <w:rPr>
            <w:rStyle w:val="Hyperlink"/>
          </w:rPr>
          <w:t>siim.umbleja@epha.ee</w:t>
        </w:r>
      </w:hyperlink>
      <w:r w:rsidR="00D476D7">
        <w:rPr>
          <w:rStyle w:val="Hyperlink"/>
        </w:rPr>
        <w:t xml:space="preserve"> </w:t>
      </w:r>
      <w:r w:rsidR="00D476D7">
        <w:t>516</w:t>
      </w:r>
      <w:r w:rsidR="00A8579E">
        <w:t xml:space="preserve"> </w:t>
      </w:r>
      <w:r w:rsidR="00D476D7">
        <w:t>59</w:t>
      </w:r>
      <w:r w:rsidR="00A8579E">
        <w:t>43</w:t>
      </w:r>
    </w:p>
    <w:sectPr w:rsidR="002D113C" w:rsidSect="000B3B80">
      <w:footerReference w:type="default" r:id="rId12"/>
      <w:headerReference w:type="first" r:id="rId13"/>
      <w:footerReference w:type="first" r:id="rId14"/>
      <w:pgSz w:w="11907" w:h="16840" w:code="9"/>
      <w:pgMar w:top="1134" w:right="1418" w:bottom="851" w:left="1701" w:header="567" w:footer="602"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567C" w14:textId="77777777" w:rsidR="00114BC5" w:rsidRDefault="00114BC5" w:rsidP="00D476D7">
      <w:r>
        <w:separator/>
      </w:r>
    </w:p>
  </w:endnote>
  <w:endnote w:type="continuationSeparator" w:id="0">
    <w:p w14:paraId="630DEEA5" w14:textId="77777777" w:rsidR="00114BC5" w:rsidRDefault="00114BC5" w:rsidP="00D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CC48" w14:textId="77777777" w:rsidR="000B3B80" w:rsidRPr="00335DE6" w:rsidRDefault="003F3BA2" w:rsidP="000B3B80">
    <w:pPr>
      <w:pStyle w:val="Footer"/>
      <w:jc w:val="right"/>
    </w:pPr>
    <w:r>
      <w:rPr>
        <w:noProof/>
        <w:lang w:eastAsia="et-EE"/>
      </w:rPr>
      <w:drawing>
        <wp:inline distT="0" distB="0" distL="0" distR="0" wp14:anchorId="2A1E85EF" wp14:editId="7004E64E">
          <wp:extent cx="571500" cy="266700"/>
          <wp:effectExtent l="19050" t="0" r="0" b="0"/>
          <wp:docPr id="1" name="Picture 1" descr="Noo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oled"/>
                  <pic:cNvPicPr>
                    <a:picLocks noChangeAspect="1" noChangeArrowheads="1"/>
                  </pic:cNvPicPr>
                </pic:nvPicPr>
                <pic:blipFill>
                  <a:blip r:embed="rId1"/>
                  <a:srcRect/>
                  <a:stretch>
                    <a:fillRect/>
                  </a:stretch>
                </pic:blipFill>
                <pic:spPr bwMode="auto">
                  <a:xfrm>
                    <a:off x="0" y="0"/>
                    <a:ext cx="571500" cy="2667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4CBD" w14:textId="7D18C0BB" w:rsidR="000B3B80" w:rsidRDefault="003F3BA2" w:rsidP="000B3B80">
    <w:pPr>
      <w:pStyle w:val="Footer"/>
      <w:tabs>
        <w:tab w:val="clear" w:pos="4153"/>
        <w:tab w:val="clear" w:pos="8306"/>
      </w:tabs>
      <w:rPr>
        <w:color w:val="000080"/>
        <w:sz w:val="18"/>
      </w:rPr>
    </w:pPr>
    <w:r>
      <w:rPr>
        <w:color w:val="000080"/>
        <w:sz w:val="18"/>
      </w:rPr>
      <w:t>Büroo:</w:t>
    </w:r>
    <w:r>
      <w:rPr>
        <w:color w:val="000080"/>
        <w:sz w:val="18"/>
      </w:rPr>
      <w:tab/>
    </w:r>
    <w:r w:rsidR="00682B57">
      <w:rPr>
        <w:color w:val="000080"/>
        <w:sz w:val="18"/>
      </w:rPr>
      <w:t>Maakri 19/1, 10145</w:t>
    </w:r>
    <w:r>
      <w:rPr>
        <w:color w:val="000080"/>
        <w:sz w:val="18"/>
      </w:rPr>
      <w:t xml:space="preserve"> Tallinn</w:t>
    </w:r>
  </w:p>
  <w:p w14:paraId="3C0FBD09" w14:textId="77777777" w:rsidR="000B3B80" w:rsidRDefault="003F3BA2" w:rsidP="000B3B80">
    <w:pPr>
      <w:pStyle w:val="Footer"/>
      <w:tabs>
        <w:tab w:val="clear" w:pos="4153"/>
        <w:tab w:val="clear" w:pos="8306"/>
      </w:tabs>
      <w:rPr>
        <w:color w:val="000080"/>
        <w:sz w:val="18"/>
      </w:rPr>
    </w:pPr>
    <w:r>
      <w:rPr>
        <w:color w:val="000080"/>
        <w:sz w:val="18"/>
      </w:rPr>
      <w:t>Tel:</w:t>
    </w:r>
    <w:r>
      <w:rPr>
        <w:color w:val="000080"/>
        <w:sz w:val="18"/>
      </w:rPr>
      <w:tab/>
      <w:t>6556 275</w:t>
    </w:r>
  </w:p>
  <w:p w14:paraId="42D3DBF5" w14:textId="77777777" w:rsidR="000B3B80" w:rsidRDefault="003F3BA2" w:rsidP="000B3B80">
    <w:pPr>
      <w:pStyle w:val="Footer"/>
      <w:tabs>
        <w:tab w:val="clear" w:pos="4153"/>
        <w:tab w:val="clear" w:pos="8306"/>
      </w:tabs>
      <w:rPr>
        <w:color w:val="000080"/>
        <w:sz w:val="18"/>
      </w:rPr>
    </w:pPr>
    <w:r>
      <w:rPr>
        <w:color w:val="000080"/>
        <w:sz w:val="18"/>
      </w:rPr>
      <w:t>E-post:</w:t>
    </w:r>
    <w:r>
      <w:rPr>
        <w:color w:val="000080"/>
        <w:sz w:val="18"/>
      </w:rPr>
      <w:tab/>
    </w:r>
    <w:hyperlink r:id="rId1" w:history="1">
      <w:r w:rsidRPr="0019728F">
        <w:rPr>
          <w:rStyle w:val="Hyperlink"/>
          <w:color w:val="000099"/>
          <w:sz w:val="18"/>
        </w:rPr>
        <w:t>epha@epha.ee</w:t>
      </w:r>
    </w:hyperlink>
  </w:p>
  <w:p w14:paraId="54AA301A" w14:textId="77777777" w:rsidR="000B3B80" w:rsidRDefault="003F3BA2" w:rsidP="000B3B80">
    <w:pPr>
      <w:pStyle w:val="Footer"/>
      <w:tabs>
        <w:tab w:val="clear" w:pos="4153"/>
        <w:tab w:val="clear" w:pos="8306"/>
      </w:tabs>
      <w:rPr>
        <w:color w:val="000080"/>
        <w:sz w:val="18"/>
      </w:rPr>
    </w:pPr>
    <w:r>
      <w:rPr>
        <w:color w:val="000080"/>
        <w:sz w:val="18"/>
      </w:rPr>
      <w:t>Internet:</w:t>
    </w:r>
    <w:r>
      <w:rPr>
        <w:color w:val="000080"/>
        <w:sz w:val="18"/>
      </w:rPr>
      <w:tab/>
    </w:r>
    <w:hyperlink r:id="rId2" w:history="1">
      <w:r>
        <w:rPr>
          <w:rStyle w:val="Hyperlink"/>
          <w:color w:val="000080"/>
          <w:sz w:val="18"/>
        </w:rPr>
        <w:t>www.epha.ee</w:t>
      </w:r>
    </w:hyperlink>
  </w:p>
  <w:p w14:paraId="20043714" w14:textId="77777777" w:rsidR="000B3B80" w:rsidRDefault="003F3BA2" w:rsidP="000B3B80">
    <w:pPr>
      <w:pStyle w:val="Footer"/>
      <w:tabs>
        <w:tab w:val="clear" w:pos="4153"/>
        <w:tab w:val="clear" w:pos="8306"/>
      </w:tabs>
      <w:rPr>
        <w:color w:val="000080"/>
        <w:sz w:val="18"/>
      </w:rPr>
    </w:pPr>
    <w:r>
      <w:rPr>
        <w:noProof/>
        <w:color w:val="000080"/>
        <w:sz w:val="20"/>
        <w:lang w:eastAsia="et-EE"/>
      </w:rPr>
      <mc:AlternateContent>
        <mc:Choice Requires="wps">
          <w:drawing>
            <wp:anchor distT="0" distB="0" distL="114300" distR="114300" simplePos="0" relativeHeight="251659264" behindDoc="0" locked="0" layoutInCell="1" allowOverlap="1" wp14:anchorId="240E8C01" wp14:editId="5D1DD036">
              <wp:simplePos x="0" y="0"/>
              <wp:positionH relativeFrom="column">
                <wp:posOffset>5320665</wp:posOffset>
              </wp:positionH>
              <wp:positionV relativeFrom="paragraph">
                <wp:posOffset>77470</wp:posOffset>
              </wp:positionV>
              <wp:extent cx="760095" cy="365125"/>
              <wp:effectExtent l="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6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5301E" w14:textId="77777777" w:rsidR="000B3B80" w:rsidRDefault="003F3BA2" w:rsidP="000B3B80">
                          <w:r>
                            <w:rPr>
                              <w:noProof/>
                              <w:lang w:eastAsia="et-EE"/>
                            </w:rPr>
                            <w:drawing>
                              <wp:inline distT="0" distB="0" distL="0" distR="0" wp14:anchorId="4FA28179" wp14:editId="284DEE01">
                                <wp:extent cx="571500" cy="266700"/>
                                <wp:effectExtent l="19050" t="0" r="0" b="0"/>
                                <wp:docPr id="2" name="Picture 2" descr="Noo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oled"/>
                                        <pic:cNvPicPr>
                                          <a:picLocks noChangeAspect="1" noChangeArrowheads="1"/>
                                        </pic:cNvPicPr>
                                      </pic:nvPicPr>
                                      <pic:blipFill>
                                        <a:blip r:embed="rId3"/>
                                        <a:srcRect/>
                                        <a:stretch>
                                          <a:fillRect/>
                                        </a:stretch>
                                      </pic:blipFill>
                                      <pic:spPr bwMode="auto">
                                        <a:xfrm>
                                          <a:off x="0" y="0"/>
                                          <a:ext cx="571500" cy="266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E8C01" id="_x0000_t202" coordsize="21600,21600" o:spt="202" path="m,l,21600r21600,l21600,xe">
              <v:stroke joinstyle="miter"/>
              <v:path gradientshapeok="t" o:connecttype="rect"/>
            </v:shapetype>
            <v:shape id="Text Box 4" o:spid="_x0000_s1026" type="#_x0000_t202" style="position:absolute;margin-left:418.95pt;margin-top:6.1pt;width:59.85pt;height: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Fu8wEAAMkDAAAOAAAAZHJzL2Uyb0RvYy54bWysU8GO0zAQvSPxD5bvNGlpu2zUdLV0VYS0&#10;LEgLH+A4TmLheMzYbbJ8PWOn2y1wQ+RgeTz2m3lvXjY3Y2/YUaHXYEs+n+WcKSuh1rYt+bev+zfv&#10;OPNB2FoYsKrkT8rzm+3rV5vBFWoBHZhaISMQ64vBlbwLwRVZ5mWneuFn4JSlZAPYi0AhtlmNYiD0&#10;3mSLPF9nA2DtEKTynk7vpiTfJvymUTJ8bhqvAjMlp95CWjGtVVyz7UYULQrXaXlqQ/xDF73Qloqe&#10;oe5EEOyA+i+oXksED02YSegzaBotVeJAbOb5H2weO+FU4kLieHeWyf8/WPlwfHRfkIXxPYw0wETC&#10;u3uQ3z2zsOuEbdUtIgydEjUVnkfJssH54vQ0Su0LH0Gq4RPUNGRxCJCAxgb7qArxZIROA3g6i67G&#10;wCQdXq3z/HrFmaTU2/VqvlilCqJ4fuzQhw8KehY3JUeaaQIXx3sfYjOieL4Sa3kwut5rY1KAbbUz&#10;yI6C5r9P3wn9t2vGxssW4rMJMZ4klpHYRDGM1UjJyLaC+on4Ikx+Iv/TpgP8ydlAXiq5/3EQqDgz&#10;Hy1pdj1fLqP5UrBcXS0owMtMdZkRVhJUyQNn03YXJsMeHOq2o0rTlCzcks6NThq8dHXqm/ySpDl5&#10;OxryMk63Xv7A7S8AAAD//wMAUEsDBBQABgAIAAAAIQD/HmGy3QAAAAkBAAAPAAAAZHJzL2Rvd25y&#10;ZXYueG1sTI9BTsMwEEX3SNzBGiQ2iDoEGjchTgVIILYtPcAkniYRsR3FbpPenmEFy9F/+v9NuV3s&#10;IM40hd47DQ+rBAS5xpvetRoOX+/3GxAhojM4eEcaLhRgW11flVgYP7sdnfexFVziQoEauhjHQsrQ&#10;dGQxrPxIjrOjnyxGPqdWmglnLreDTJMkkxZ7xwsdjvTWUfO9P1kNx8/5bp3P9Uc8qN1T9oq9qv1F&#10;69ub5eUZRKQl/sHwq8/qULFT7U/OBDFo2DyqnFEO0hQEA/laZSBqDVmuQFal/P9B9QMAAP//AwBQ&#10;SwECLQAUAAYACAAAACEAtoM4kv4AAADhAQAAEwAAAAAAAAAAAAAAAAAAAAAAW0NvbnRlbnRfVHlw&#10;ZXNdLnhtbFBLAQItABQABgAIAAAAIQA4/SH/1gAAAJQBAAALAAAAAAAAAAAAAAAAAC8BAABfcmVs&#10;cy8ucmVsc1BLAQItABQABgAIAAAAIQBkcoFu8wEAAMkDAAAOAAAAAAAAAAAAAAAAAC4CAABkcnMv&#10;ZTJvRG9jLnhtbFBLAQItABQABgAIAAAAIQD/HmGy3QAAAAkBAAAPAAAAAAAAAAAAAAAAAE0EAABk&#10;cnMvZG93bnJldi54bWxQSwUGAAAAAAQABADzAAAAVwUAAAAA&#10;" stroked="f">
              <v:textbox>
                <w:txbxContent>
                  <w:p w14:paraId="1F25301E" w14:textId="77777777" w:rsidR="000B3B80" w:rsidRDefault="003F3BA2" w:rsidP="000B3B80">
                    <w:r>
                      <w:rPr>
                        <w:noProof/>
                        <w:lang w:eastAsia="et-EE"/>
                      </w:rPr>
                      <w:drawing>
                        <wp:inline distT="0" distB="0" distL="0" distR="0" wp14:anchorId="4FA28179" wp14:editId="284DEE01">
                          <wp:extent cx="571500" cy="266700"/>
                          <wp:effectExtent l="19050" t="0" r="0" b="0"/>
                          <wp:docPr id="2" name="Picture 2" descr="Noo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oled"/>
                                  <pic:cNvPicPr>
                                    <a:picLocks noChangeAspect="1" noChangeArrowheads="1"/>
                                  </pic:cNvPicPr>
                                </pic:nvPicPr>
                                <pic:blipFill>
                                  <a:blip r:embed="rId3"/>
                                  <a:srcRect/>
                                  <a:stretch>
                                    <a:fillRect/>
                                  </a:stretch>
                                </pic:blipFill>
                                <pic:spPr bwMode="auto">
                                  <a:xfrm>
                                    <a:off x="0" y="0"/>
                                    <a:ext cx="571500" cy="266700"/>
                                  </a:xfrm>
                                  <a:prstGeom prst="rect">
                                    <a:avLst/>
                                  </a:prstGeom>
                                  <a:noFill/>
                                  <a:ln w="9525">
                                    <a:noFill/>
                                    <a:miter lim="800000"/>
                                    <a:headEnd/>
                                    <a:tailEnd/>
                                  </a:ln>
                                </pic:spPr>
                              </pic:pic>
                            </a:graphicData>
                          </a:graphic>
                        </wp:inline>
                      </w:drawing>
                    </w:r>
                  </w:p>
                </w:txbxContent>
              </v:textbox>
            </v:shape>
          </w:pict>
        </mc:Fallback>
      </mc:AlternateContent>
    </w:r>
    <w:r>
      <w:rPr>
        <w:color w:val="000080"/>
        <w:sz w:val="18"/>
      </w:rPr>
      <w:t>Pank:</w:t>
    </w:r>
    <w:r>
      <w:rPr>
        <w:color w:val="000080"/>
        <w:sz w:val="18"/>
      </w:rPr>
      <w:tab/>
      <w:t xml:space="preserve">Swedbank, </w:t>
    </w:r>
    <w:r w:rsidRPr="00AC77CA">
      <w:rPr>
        <w:color w:val="000080"/>
        <w:sz w:val="18"/>
      </w:rPr>
      <w:t>EE192200001120117924</w:t>
    </w:r>
  </w:p>
  <w:p w14:paraId="5CC1C7BD" w14:textId="77777777" w:rsidR="000B3B80" w:rsidRDefault="003F3BA2" w:rsidP="000B3B80">
    <w:pPr>
      <w:pStyle w:val="Footer"/>
      <w:tabs>
        <w:tab w:val="clear" w:pos="4153"/>
        <w:tab w:val="clear" w:pos="8306"/>
      </w:tabs>
      <w:rPr>
        <w:color w:val="000080"/>
        <w:sz w:val="18"/>
      </w:rPr>
    </w:pPr>
    <w:r>
      <w:rPr>
        <w:color w:val="000080"/>
        <w:sz w:val="18"/>
      </w:rPr>
      <w:t>Reg.nr:</w:t>
    </w:r>
    <w:r>
      <w:rPr>
        <w:color w:val="000080"/>
        <w:sz w:val="18"/>
      </w:rPr>
      <w:tab/>
      <w:t>80027237</w:t>
    </w:r>
  </w:p>
  <w:p w14:paraId="111896D3" w14:textId="77777777" w:rsidR="000B3B80" w:rsidRDefault="000B3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7618" w14:textId="77777777" w:rsidR="00114BC5" w:rsidRDefault="00114BC5" w:rsidP="00D476D7">
      <w:r>
        <w:separator/>
      </w:r>
    </w:p>
  </w:footnote>
  <w:footnote w:type="continuationSeparator" w:id="0">
    <w:p w14:paraId="4E6DACCB" w14:textId="77777777" w:rsidR="00114BC5" w:rsidRDefault="00114BC5" w:rsidP="00D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A482" w14:textId="77777777" w:rsidR="000B3B80" w:rsidRDefault="003F3BA2">
    <w:pPr>
      <w:pStyle w:val="Header"/>
    </w:pPr>
    <w:r>
      <w:rPr>
        <w:noProof/>
        <w:lang w:eastAsia="et-EE"/>
      </w:rPr>
      <w:drawing>
        <wp:inline distT="0" distB="0" distL="0" distR="0" wp14:anchorId="07043F4B" wp14:editId="48FCC496">
          <wp:extent cx="3190875" cy="400050"/>
          <wp:effectExtent l="19050" t="0" r="9525" b="0"/>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3190875" cy="4000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620"/>
    <w:multiLevelType w:val="hybridMultilevel"/>
    <w:tmpl w:val="310849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1D07F58"/>
    <w:multiLevelType w:val="hybridMultilevel"/>
    <w:tmpl w:val="46022EE6"/>
    <w:lvl w:ilvl="0" w:tplc="0425000F">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915820882">
    <w:abstractNumId w:val="0"/>
  </w:num>
  <w:num w:numId="2" w16cid:durableId="2072994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D7"/>
    <w:rsid w:val="000002A6"/>
    <w:rsid w:val="00054C40"/>
    <w:rsid w:val="000A6AFA"/>
    <w:rsid w:val="000B3B80"/>
    <w:rsid w:val="000F5CC7"/>
    <w:rsid w:val="00110423"/>
    <w:rsid w:val="00114BC5"/>
    <w:rsid w:val="00123F05"/>
    <w:rsid w:val="00131921"/>
    <w:rsid w:val="00135FB7"/>
    <w:rsid w:val="001376F4"/>
    <w:rsid w:val="00167A9E"/>
    <w:rsid w:val="00170E95"/>
    <w:rsid w:val="001B005B"/>
    <w:rsid w:val="00210611"/>
    <w:rsid w:val="00241377"/>
    <w:rsid w:val="00251024"/>
    <w:rsid w:val="00270537"/>
    <w:rsid w:val="0027176B"/>
    <w:rsid w:val="00280A14"/>
    <w:rsid w:val="002B0BF0"/>
    <w:rsid w:val="002D113C"/>
    <w:rsid w:val="0030699D"/>
    <w:rsid w:val="0033713D"/>
    <w:rsid w:val="003430BC"/>
    <w:rsid w:val="00391605"/>
    <w:rsid w:val="003C0751"/>
    <w:rsid w:val="003D7D51"/>
    <w:rsid w:val="003F3BA2"/>
    <w:rsid w:val="00447E44"/>
    <w:rsid w:val="00471C59"/>
    <w:rsid w:val="004A1B8B"/>
    <w:rsid w:val="004C1C64"/>
    <w:rsid w:val="004C3374"/>
    <w:rsid w:val="004C497E"/>
    <w:rsid w:val="004D126A"/>
    <w:rsid w:val="004F4CDE"/>
    <w:rsid w:val="0051025C"/>
    <w:rsid w:val="00526531"/>
    <w:rsid w:val="00567387"/>
    <w:rsid w:val="005835A1"/>
    <w:rsid w:val="005932F1"/>
    <w:rsid w:val="005938B9"/>
    <w:rsid w:val="005A0E46"/>
    <w:rsid w:val="005C11D2"/>
    <w:rsid w:val="005C3964"/>
    <w:rsid w:val="0061208B"/>
    <w:rsid w:val="00623606"/>
    <w:rsid w:val="006375C1"/>
    <w:rsid w:val="006604D3"/>
    <w:rsid w:val="00682B57"/>
    <w:rsid w:val="006D0072"/>
    <w:rsid w:val="006E0D4A"/>
    <w:rsid w:val="00750DE3"/>
    <w:rsid w:val="007A422B"/>
    <w:rsid w:val="007A7FFE"/>
    <w:rsid w:val="007D0C4C"/>
    <w:rsid w:val="00827118"/>
    <w:rsid w:val="00847C88"/>
    <w:rsid w:val="00862522"/>
    <w:rsid w:val="00866821"/>
    <w:rsid w:val="00892DAE"/>
    <w:rsid w:val="008A685B"/>
    <w:rsid w:val="008F49A0"/>
    <w:rsid w:val="00950D1C"/>
    <w:rsid w:val="009B4DCF"/>
    <w:rsid w:val="009C3FC8"/>
    <w:rsid w:val="009C5897"/>
    <w:rsid w:val="00A55422"/>
    <w:rsid w:val="00A73CE7"/>
    <w:rsid w:val="00A8579E"/>
    <w:rsid w:val="00A96D98"/>
    <w:rsid w:val="00AA13AB"/>
    <w:rsid w:val="00AA60A0"/>
    <w:rsid w:val="00AB2D9A"/>
    <w:rsid w:val="00B2689A"/>
    <w:rsid w:val="00BB4208"/>
    <w:rsid w:val="00BC17B8"/>
    <w:rsid w:val="00BD09A5"/>
    <w:rsid w:val="00BE59A2"/>
    <w:rsid w:val="00C43542"/>
    <w:rsid w:val="00C95A14"/>
    <w:rsid w:val="00CC5944"/>
    <w:rsid w:val="00D02F5F"/>
    <w:rsid w:val="00D07B1C"/>
    <w:rsid w:val="00D113D4"/>
    <w:rsid w:val="00D476D7"/>
    <w:rsid w:val="00D61B4D"/>
    <w:rsid w:val="00D94297"/>
    <w:rsid w:val="00DD4C98"/>
    <w:rsid w:val="00E2244F"/>
    <w:rsid w:val="00E278AE"/>
    <w:rsid w:val="00E3743E"/>
    <w:rsid w:val="00E42C4F"/>
    <w:rsid w:val="00E65577"/>
    <w:rsid w:val="00EA4812"/>
    <w:rsid w:val="00EF21E4"/>
    <w:rsid w:val="00F04B05"/>
    <w:rsid w:val="00F40803"/>
    <w:rsid w:val="00F535F4"/>
    <w:rsid w:val="00F60009"/>
    <w:rsid w:val="00FA3C67"/>
    <w:rsid w:val="00FF12A0"/>
    <w:rsid w:val="00FF5F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701B"/>
  <w15:docId w15:val="{C02E3793-FBFB-40FA-94FE-4113ECB1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F05"/>
    <w:pPr>
      <w:spacing w:after="0" w:line="240" w:lineRule="auto"/>
    </w:pPr>
    <w:rPr>
      <w:rFonts w:ascii="Times New Roman" w:eastAsia="Times New Roman" w:hAnsi="Times New Roman" w:cs="Times New Roman"/>
      <w:szCs w:val="20"/>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76D7"/>
    <w:pPr>
      <w:tabs>
        <w:tab w:val="center" w:pos="4153"/>
        <w:tab w:val="right" w:pos="8306"/>
      </w:tabs>
    </w:pPr>
  </w:style>
  <w:style w:type="character" w:customStyle="1" w:styleId="HeaderChar">
    <w:name w:val="Header Char"/>
    <w:basedOn w:val="DefaultParagraphFont"/>
    <w:link w:val="Header"/>
    <w:rsid w:val="00D476D7"/>
    <w:rPr>
      <w:rFonts w:ascii="Times New Roman" w:eastAsia="Times New Roman" w:hAnsi="Times New Roman" w:cs="Times New Roman"/>
      <w:szCs w:val="20"/>
      <w:lang w:val="et-EE"/>
    </w:rPr>
  </w:style>
  <w:style w:type="paragraph" w:styleId="Footer">
    <w:name w:val="footer"/>
    <w:basedOn w:val="Normal"/>
    <w:link w:val="FooterChar"/>
    <w:rsid w:val="00D476D7"/>
    <w:pPr>
      <w:tabs>
        <w:tab w:val="center" w:pos="4153"/>
        <w:tab w:val="right" w:pos="8306"/>
      </w:tabs>
    </w:pPr>
  </w:style>
  <w:style w:type="character" w:customStyle="1" w:styleId="FooterChar">
    <w:name w:val="Footer Char"/>
    <w:basedOn w:val="DefaultParagraphFont"/>
    <w:link w:val="Footer"/>
    <w:rsid w:val="00D476D7"/>
    <w:rPr>
      <w:rFonts w:ascii="Times New Roman" w:eastAsia="Times New Roman" w:hAnsi="Times New Roman" w:cs="Times New Roman"/>
      <w:szCs w:val="20"/>
      <w:lang w:val="et-EE"/>
    </w:rPr>
  </w:style>
  <w:style w:type="character" w:styleId="Hyperlink">
    <w:name w:val="Hyperlink"/>
    <w:basedOn w:val="DefaultParagraphFont"/>
    <w:rsid w:val="00D476D7"/>
    <w:rPr>
      <w:color w:val="0000FF"/>
      <w:u w:val="single"/>
    </w:rPr>
  </w:style>
  <w:style w:type="paragraph" w:styleId="FootnoteText">
    <w:name w:val="footnote text"/>
    <w:basedOn w:val="Normal"/>
    <w:link w:val="FootnoteTextChar"/>
    <w:semiHidden/>
    <w:unhideWhenUsed/>
    <w:rsid w:val="00D476D7"/>
    <w:rPr>
      <w:sz w:val="20"/>
    </w:rPr>
  </w:style>
  <w:style w:type="character" w:customStyle="1" w:styleId="FootnoteTextChar">
    <w:name w:val="Footnote Text Char"/>
    <w:basedOn w:val="DefaultParagraphFont"/>
    <w:link w:val="FootnoteText"/>
    <w:semiHidden/>
    <w:rsid w:val="00D476D7"/>
    <w:rPr>
      <w:rFonts w:ascii="Times New Roman" w:eastAsia="Times New Roman" w:hAnsi="Times New Roman" w:cs="Times New Roman"/>
      <w:sz w:val="20"/>
      <w:szCs w:val="20"/>
      <w:lang w:val="et-EE"/>
    </w:rPr>
  </w:style>
  <w:style w:type="character" w:styleId="FootnoteReference">
    <w:name w:val="footnote reference"/>
    <w:basedOn w:val="DefaultParagraphFont"/>
    <w:semiHidden/>
    <w:unhideWhenUsed/>
    <w:rsid w:val="00D476D7"/>
    <w:rPr>
      <w:vertAlign w:val="superscript"/>
    </w:rPr>
  </w:style>
  <w:style w:type="paragraph" w:styleId="BalloonText">
    <w:name w:val="Balloon Text"/>
    <w:basedOn w:val="Normal"/>
    <w:link w:val="BalloonTextChar"/>
    <w:uiPriority w:val="99"/>
    <w:semiHidden/>
    <w:unhideWhenUsed/>
    <w:rsid w:val="00D476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6D7"/>
    <w:rPr>
      <w:rFonts w:ascii="Segoe UI" w:eastAsia="Times New Roman" w:hAnsi="Segoe UI" w:cs="Segoe UI"/>
      <w:sz w:val="18"/>
      <w:szCs w:val="18"/>
      <w:lang w:val="et-EE"/>
    </w:rPr>
  </w:style>
  <w:style w:type="paragraph" w:styleId="ListParagraph">
    <w:name w:val="List Paragraph"/>
    <w:basedOn w:val="Normal"/>
    <w:uiPriority w:val="34"/>
    <w:qFormat/>
    <w:rsid w:val="001376F4"/>
    <w:pPr>
      <w:ind w:left="720"/>
      <w:contextualSpacing/>
    </w:pPr>
  </w:style>
  <w:style w:type="paragraph" w:styleId="Revision">
    <w:name w:val="Revision"/>
    <w:hidden/>
    <w:uiPriority w:val="99"/>
    <w:semiHidden/>
    <w:rsid w:val="00682B57"/>
    <w:pPr>
      <w:spacing w:after="0" w:line="240" w:lineRule="auto"/>
    </w:pPr>
    <w:rPr>
      <w:rFonts w:ascii="Times New Roman" w:eastAsia="Times New Roman" w:hAnsi="Times New Roman" w:cs="Times New Roman"/>
      <w:szCs w:val="20"/>
      <w:lang w:val="et-EE"/>
    </w:rPr>
  </w:style>
  <w:style w:type="character" w:styleId="CommentReference">
    <w:name w:val="annotation reference"/>
    <w:basedOn w:val="DefaultParagraphFont"/>
    <w:uiPriority w:val="99"/>
    <w:semiHidden/>
    <w:unhideWhenUsed/>
    <w:rsid w:val="00950D1C"/>
    <w:rPr>
      <w:sz w:val="16"/>
      <w:szCs w:val="16"/>
    </w:rPr>
  </w:style>
  <w:style w:type="paragraph" w:styleId="CommentText">
    <w:name w:val="annotation text"/>
    <w:basedOn w:val="Normal"/>
    <w:link w:val="CommentTextChar"/>
    <w:uiPriority w:val="99"/>
    <w:unhideWhenUsed/>
    <w:rsid w:val="00950D1C"/>
    <w:rPr>
      <w:rFonts w:ascii="Calibri" w:eastAsiaTheme="minorHAnsi" w:hAnsi="Calibri" w:cs="Calibri"/>
      <w:sz w:val="20"/>
    </w:rPr>
  </w:style>
  <w:style w:type="character" w:customStyle="1" w:styleId="CommentTextChar">
    <w:name w:val="Comment Text Char"/>
    <w:basedOn w:val="DefaultParagraphFont"/>
    <w:link w:val="CommentText"/>
    <w:uiPriority w:val="99"/>
    <w:rsid w:val="00950D1C"/>
    <w:rPr>
      <w:rFonts w:ascii="Calibri" w:hAnsi="Calibri" w:cs="Calibri"/>
      <w:sz w:val="20"/>
      <w:szCs w:val="20"/>
      <w:lang w:val="et-EE"/>
    </w:rPr>
  </w:style>
  <w:style w:type="paragraph" w:styleId="CommentSubject">
    <w:name w:val="annotation subject"/>
    <w:basedOn w:val="CommentText"/>
    <w:next w:val="CommentText"/>
    <w:link w:val="CommentSubjectChar"/>
    <w:uiPriority w:val="99"/>
    <w:semiHidden/>
    <w:unhideWhenUsed/>
    <w:rsid w:val="00135FB7"/>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135FB7"/>
    <w:rPr>
      <w:rFonts w:ascii="Times New Roman" w:eastAsia="Times New Roman" w:hAnsi="Times New Roman" w:cs="Times New Roman"/>
      <w:b/>
      <w:bCs/>
      <w:sz w:val="20"/>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im.umbleja@epha.e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konkurentsiame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epha.ee" TargetMode="External"/><Relationship Id="rId1" Type="http://schemas.openxmlformats.org/officeDocument/2006/relationships/hyperlink" Target="mailto:epha@eph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F790520391B648AA95DC849690A24C" ma:contentTypeVersion="4" ma:contentTypeDescription="Create a new document." ma:contentTypeScope="" ma:versionID="907db3dc5e22625425e70e2e7d3f964a">
  <xsd:schema xmlns:xsd="http://www.w3.org/2001/XMLSchema" xmlns:xs="http://www.w3.org/2001/XMLSchema" xmlns:p="http://schemas.microsoft.com/office/2006/metadata/properties" xmlns:ns2="e0f1ccbe-6078-4056-b88c-0f79eae022a6" xmlns:ns3="24a779e1-4182-4c03-8085-57f5b53673a9" targetNamespace="http://schemas.microsoft.com/office/2006/metadata/properties" ma:root="true" ma:fieldsID="e97e05a97f843c22262c954efc3e62f9" ns2:_="" ns3:_="">
    <xsd:import namespace="e0f1ccbe-6078-4056-b88c-0f79eae022a6"/>
    <xsd:import namespace="24a779e1-4182-4c03-8085-57f5b53673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1ccbe-6078-4056-b88c-0f79eae02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a779e1-4182-4c03-8085-57f5b53673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EC1F56-CB8D-4EBB-8234-F65978FB72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5B7E5-ED49-4507-BA0C-F981468B5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1ccbe-6078-4056-b88c-0f79eae022a6"/>
    <ds:schemaRef ds:uri="24a779e1-4182-4c03-8085-57f5b5367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F5485-5AFA-46C9-AC5A-FB7BC89B7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1400</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Siim</dc:creator>
  <cp:keywords/>
  <dc:description/>
  <cp:lastModifiedBy>Siim Umbleja</cp:lastModifiedBy>
  <cp:revision>6</cp:revision>
  <dcterms:created xsi:type="dcterms:W3CDTF">2023-03-27T07:32:00Z</dcterms:created>
  <dcterms:modified xsi:type="dcterms:W3CDTF">2023-03-27T17:21:00Z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0x01010047F790520391B648AA95DC849690A24C</vt:lpwstr>
  </property>
</Properties>
</file>