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3C70" w14:textId="4FDF51D8" w:rsidR="007B7ACA" w:rsidRDefault="007B7ACA"/>
    <w:p w14:paraId="4553A6CE" w14:textId="77777777" w:rsidR="00E2172B" w:rsidRDefault="00E2172B"/>
    <w:p w14:paraId="6E1A6F22" w14:textId="0460C829" w:rsidR="00C92526" w:rsidRPr="00D02782" w:rsidRDefault="00C92526" w:rsidP="00375987">
      <w:pPr>
        <w:pStyle w:val="kastitekst"/>
        <w:rPr>
          <w:sz w:val="18"/>
          <w:szCs w:val="18"/>
        </w:rPr>
      </w:pPr>
      <w:r w:rsidRPr="00D02782">
        <w:rPr>
          <w:sz w:val="18"/>
          <w:szCs w:val="18"/>
        </w:rPr>
        <w:t>ASUTUSESISESEKS KASUTAMISEKS</w:t>
      </w:r>
    </w:p>
    <w:p w14:paraId="0726656A" w14:textId="77777777" w:rsidR="00C92526" w:rsidRPr="00D02782" w:rsidRDefault="00C92526" w:rsidP="00375987">
      <w:pPr>
        <w:pStyle w:val="kastitekst"/>
        <w:rPr>
          <w:sz w:val="18"/>
          <w:szCs w:val="18"/>
        </w:rPr>
      </w:pPr>
      <w:r w:rsidRPr="00D02782">
        <w:rPr>
          <w:sz w:val="18"/>
          <w:szCs w:val="18"/>
        </w:rPr>
        <w:t>Teabevaldaja: SMIT</w:t>
      </w:r>
    </w:p>
    <w:p w14:paraId="670D42EF" w14:textId="54DFB94F" w:rsidR="00C92526" w:rsidRPr="00D02782" w:rsidRDefault="00C92526" w:rsidP="00375987">
      <w:pPr>
        <w:pStyle w:val="kastitekst"/>
        <w:rPr>
          <w:sz w:val="18"/>
          <w:szCs w:val="18"/>
        </w:rPr>
      </w:pPr>
      <w:r w:rsidRPr="00D02782">
        <w:rPr>
          <w:sz w:val="18"/>
          <w:szCs w:val="18"/>
        </w:rPr>
        <w:t xml:space="preserve">Märge tehtud: </w:t>
      </w:r>
    </w:p>
    <w:p w14:paraId="02CDCA35" w14:textId="3C30C799" w:rsidR="00C92526" w:rsidRPr="00D02782" w:rsidRDefault="00C92526" w:rsidP="00375987">
      <w:pPr>
        <w:pStyle w:val="kastitekst"/>
        <w:rPr>
          <w:sz w:val="18"/>
          <w:szCs w:val="18"/>
        </w:rPr>
      </w:pPr>
      <w:r w:rsidRPr="00D02782">
        <w:rPr>
          <w:sz w:val="18"/>
          <w:szCs w:val="18"/>
        </w:rPr>
        <w:t xml:space="preserve">Kehtib kuni: </w:t>
      </w:r>
    </w:p>
    <w:p w14:paraId="2BD2FEA4" w14:textId="25D4FF64" w:rsidR="00C92526" w:rsidRPr="00D02782" w:rsidRDefault="00C92526" w:rsidP="00375987">
      <w:pPr>
        <w:pStyle w:val="kastitekst"/>
        <w:rPr>
          <w:sz w:val="18"/>
          <w:szCs w:val="18"/>
        </w:rPr>
      </w:pPr>
      <w:r w:rsidRPr="00D02782">
        <w:rPr>
          <w:sz w:val="18"/>
          <w:szCs w:val="18"/>
        </w:rPr>
        <w:t xml:space="preserve">Juurdepääsupiirangu alus: </w:t>
      </w:r>
      <w:r w:rsidR="00285CA9">
        <w:rPr>
          <w:sz w:val="18"/>
          <w:szCs w:val="18"/>
        </w:rPr>
        <w:t xml:space="preserve"> </w:t>
      </w:r>
    </w:p>
    <w:p w14:paraId="49CF0D63" w14:textId="77777777" w:rsidR="008C4248" w:rsidRDefault="008C4248" w:rsidP="00375987">
      <w:pPr>
        <w:jc w:val="right"/>
        <w:rPr>
          <w:b/>
          <w:szCs w:val="24"/>
        </w:rPr>
      </w:pPr>
    </w:p>
    <w:p w14:paraId="13F111EA" w14:textId="77777777" w:rsidR="008C4248" w:rsidRDefault="008C4248" w:rsidP="00EE446C">
      <w:pPr>
        <w:rPr>
          <w:b/>
          <w:szCs w:val="24"/>
        </w:rPr>
      </w:pPr>
    </w:p>
    <w:p w14:paraId="665331F6" w14:textId="77777777" w:rsidR="008C4248" w:rsidRDefault="008C4248" w:rsidP="00EE446C">
      <w:pPr>
        <w:rPr>
          <w:b/>
          <w:szCs w:val="24"/>
        </w:rPr>
      </w:pPr>
    </w:p>
    <w:p w14:paraId="3D26E020" w14:textId="587D8CA4" w:rsidR="00EE446C" w:rsidRPr="00605906" w:rsidRDefault="00725D1B" w:rsidP="00EE446C">
      <w:pPr>
        <w:rPr>
          <w:b/>
          <w:i/>
          <w:szCs w:val="24"/>
        </w:rPr>
      </w:pPr>
      <w:r>
        <w:rPr>
          <w:b/>
          <w:szCs w:val="24"/>
        </w:rPr>
        <w:t>TÖÖVÕTU</w:t>
      </w:r>
      <w:r w:rsidR="00EE446C">
        <w:rPr>
          <w:b/>
          <w:szCs w:val="24"/>
        </w:rPr>
        <w:t>LEPING</w:t>
      </w:r>
    </w:p>
    <w:p w14:paraId="1770F50F" w14:textId="77777777" w:rsidR="00EE446C" w:rsidRPr="00605906" w:rsidRDefault="00EE446C" w:rsidP="00EE446C">
      <w:pPr>
        <w:rPr>
          <w:b/>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E446C" w:rsidRPr="00605906" w14:paraId="3F271C41" w14:textId="77777777" w:rsidTr="009E7A69">
        <w:tc>
          <w:tcPr>
            <w:tcW w:w="9322" w:type="dxa"/>
            <w:tcBorders>
              <w:bottom w:val="single" w:sz="4" w:space="0" w:color="auto"/>
            </w:tcBorders>
          </w:tcPr>
          <w:p w14:paraId="6375F439" w14:textId="20B2ED23" w:rsidR="00EE446C" w:rsidRPr="00605906" w:rsidRDefault="00EE446C" w:rsidP="009E7A69">
            <w:pPr>
              <w:rPr>
                <w:b/>
                <w:szCs w:val="24"/>
              </w:rPr>
            </w:pPr>
            <w:r w:rsidRPr="00605906">
              <w:rPr>
                <w:b/>
                <w:szCs w:val="24"/>
              </w:rPr>
              <w:t xml:space="preserve">Lepingu number </w:t>
            </w:r>
          </w:p>
        </w:tc>
      </w:tr>
    </w:tbl>
    <w:p w14:paraId="5A73B284" w14:textId="77777777" w:rsidR="00EE446C" w:rsidRPr="00605906" w:rsidRDefault="00EE446C" w:rsidP="00EE446C">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EE446C" w:rsidRPr="00605906" w14:paraId="0F682BAA" w14:textId="77777777" w:rsidTr="009E7A69">
        <w:tc>
          <w:tcPr>
            <w:tcW w:w="9322" w:type="dxa"/>
            <w:gridSpan w:val="2"/>
            <w:tcBorders>
              <w:top w:val="single" w:sz="4" w:space="0" w:color="auto"/>
              <w:left w:val="single" w:sz="4" w:space="0" w:color="auto"/>
              <w:bottom w:val="single" w:sz="4" w:space="0" w:color="auto"/>
              <w:right w:val="single" w:sz="4" w:space="0" w:color="auto"/>
            </w:tcBorders>
          </w:tcPr>
          <w:p w14:paraId="2394680B" w14:textId="77777777" w:rsidR="00EE446C" w:rsidRPr="00605906" w:rsidRDefault="00EE446C" w:rsidP="009E7A69">
            <w:pPr>
              <w:rPr>
                <w:b/>
                <w:szCs w:val="24"/>
              </w:rPr>
            </w:pPr>
            <w:r w:rsidRPr="00605906">
              <w:rPr>
                <w:b/>
                <w:szCs w:val="24"/>
              </w:rPr>
              <w:t>Poolte andmed</w:t>
            </w:r>
          </w:p>
        </w:tc>
      </w:tr>
      <w:tr w:rsidR="00EE446C" w:rsidRPr="00605906" w14:paraId="00A2068B" w14:textId="77777777" w:rsidTr="009E7A69">
        <w:tc>
          <w:tcPr>
            <w:tcW w:w="2325" w:type="dxa"/>
            <w:tcBorders>
              <w:top w:val="single" w:sz="4" w:space="0" w:color="auto"/>
            </w:tcBorders>
          </w:tcPr>
          <w:p w14:paraId="2A5FDF0B" w14:textId="77777777" w:rsidR="00EE446C" w:rsidRPr="00605906" w:rsidRDefault="00EE446C" w:rsidP="009E7A69">
            <w:pPr>
              <w:rPr>
                <w:b/>
                <w:szCs w:val="24"/>
              </w:rPr>
            </w:pPr>
            <w:r w:rsidRPr="00605906">
              <w:rPr>
                <w:b/>
                <w:szCs w:val="24"/>
              </w:rPr>
              <w:t>Tellija</w:t>
            </w:r>
          </w:p>
        </w:tc>
        <w:tc>
          <w:tcPr>
            <w:tcW w:w="6997" w:type="dxa"/>
            <w:tcBorders>
              <w:top w:val="single" w:sz="4" w:space="0" w:color="auto"/>
            </w:tcBorders>
          </w:tcPr>
          <w:p w14:paraId="3AFC6B02" w14:textId="230C52EE" w:rsidR="00EE446C" w:rsidRPr="00605906" w:rsidRDefault="00EE446C" w:rsidP="009E7A69">
            <w:pPr>
              <w:rPr>
                <w:b/>
                <w:szCs w:val="24"/>
              </w:rPr>
            </w:pPr>
            <w:r w:rsidRPr="00605906">
              <w:rPr>
                <w:b/>
                <w:szCs w:val="24"/>
              </w:rPr>
              <w:t>Siseministeeriumi infotehnoloogia- ja arenduskeskus</w:t>
            </w:r>
            <w:r w:rsidR="00D46BBD">
              <w:rPr>
                <w:b/>
                <w:szCs w:val="24"/>
              </w:rPr>
              <w:t xml:space="preserve"> </w:t>
            </w:r>
          </w:p>
        </w:tc>
      </w:tr>
      <w:tr w:rsidR="00EE446C" w:rsidRPr="00605906" w14:paraId="7B13BD87" w14:textId="77777777" w:rsidTr="009E7A69">
        <w:tc>
          <w:tcPr>
            <w:tcW w:w="2325" w:type="dxa"/>
          </w:tcPr>
          <w:p w14:paraId="62E1BBAA" w14:textId="77777777" w:rsidR="00EE446C" w:rsidRPr="00605906" w:rsidRDefault="00EE446C" w:rsidP="009E7A69">
            <w:pPr>
              <w:rPr>
                <w:szCs w:val="24"/>
              </w:rPr>
            </w:pPr>
            <w:r w:rsidRPr="00605906">
              <w:rPr>
                <w:szCs w:val="24"/>
              </w:rPr>
              <w:t>Registrikood</w:t>
            </w:r>
          </w:p>
        </w:tc>
        <w:tc>
          <w:tcPr>
            <w:tcW w:w="6997" w:type="dxa"/>
          </w:tcPr>
          <w:p w14:paraId="08E9594E" w14:textId="77777777" w:rsidR="00EE446C" w:rsidRPr="00605906" w:rsidRDefault="00EE446C" w:rsidP="009E7A69">
            <w:pPr>
              <w:rPr>
                <w:szCs w:val="24"/>
              </w:rPr>
            </w:pPr>
            <w:r w:rsidRPr="00605906">
              <w:rPr>
                <w:szCs w:val="24"/>
              </w:rPr>
              <w:t>70008440</w:t>
            </w:r>
          </w:p>
        </w:tc>
      </w:tr>
      <w:tr w:rsidR="00EE446C" w:rsidRPr="00605906" w14:paraId="092CF450" w14:textId="77777777" w:rsidTr="009E7A69">
        <w:tc>
          <w:tcPr>
            <w:tcW w:w="2325" w:type="dxa"/>
          </w:tcPr>
          <w:p w14:paraId="3F5AED16" w14:textId="77777777" w:rsidR="00EE446C" w:rsidRPr="00605906" w:rsidRDefault="00EE446C" w:rsidP="009E7A69">
            <w:pPr>
              <w:rPr>
                <w:szCs w:val="24"/>
              </w:rPr>
            </w:pPr>
            <w:r w:rsidRPr="00605906">
              <w:rPr>
                <w:szCs w:val="24"/>
              </w:rPr>
              <w:t>Aadress</w:t>
            </w:r>
          </w:p>
        </w:tc>
        <w:tc>
          <w:tcPr>
            <w:tcW w:w="6997" w:type="dxa"/>
          </w:tcPr>
          <w:p w14:paraId="1E464760" w14:textId="77777777" w:rsidR="00EE446C" w:rsidRPr="00605906" w:rsidRDefault="00EE446C" w:rsidP="009E7A69">
            <w:pPr>
              <w:rPr>
                <w:szCs w:val="24"/>
              </w:rPr>
            </w:pPr>
            <w:r w:rsidRPr="00605906">
              <w:rPr>
                <w:szCs w:val="24"/>
              </w:rPr>
              <w:t>Mäealuse 2/2, 12618 Tallinn, Eesti Vabariik</w:t>
            </w:r>
          </w:p>
        </w:tc>
      </w:tr>
      <w:tr w:rsidR="00EE446C" w:rsidRPr="00605906" w14:paraId="4BB535A8" w14:textId="77777777" w:rsidTr="009E7A69">
        <w:tc>
          <w:tcPr>
            <w:tcW w:w="2325" w:type="dxa"/>
          </w:tcPr>
          <w:p w14:paraId="1CA54AA6" w14:textId="77777777" w:rsidR="00EE446C" w:rsidRPr="00243EBE" w:rsidRDefault="00EE446C" w:rsidP="009E7A69">
            <w:pPr>
              <w:rPr>
                <w:szCs w:val="24"/>
              </w:rPr>
            </w:pPr>
            <w:r w:rsidRPr="00243EBE">
              <w:rPr>
                <w:szCs w:val="24"/>
              </w:rPr>
              <w:t>Tellija esindaja</w:t>
            </w:r>
          </w:p>
        </w:tc>
        <w:tc>
          <w:tcPr>
            <w:tcW w:w="6997" w:type="dxa"/>
          </w:tcPr>
          <w:p w14:paraId="0C2D94E1" w14:textId="750C7142" w:rsidR="00EE446C" w:rsidRPr="00605906" w:rsidRDefault="00C450AC" w:rsidP="009E7A69">
            <w:pPr>
              <w:rPr>
                <w:szCs w:val="24"/>
              </w:rPr>
            </w:pPr>
            <w:r>
              <w:rPr>
                <w:szCs w:val="24"/>
              </w:rPr>
              <w:t>Pirgit Kahro</w:t>
            </w:r>
            <w:r w:rsidR="006D4EE5">
              <w:rPr>
                <w:szCs w:val="24"/>
              </w:rPr>
              <w:t>,</w:t>
            </w:r>
            <w:r w:rsidR="009A3A03">
              <w:rPr>
                <w:szCs w:val="24"/>
              </w:rPr>
              <w:t xml:space="preserve"> </w:t>
            </w:r>
            <w:r>
              <w:rPr>
                <w:szCs w:val="24"/>
              </w:rPr>
              <w:t>strateegiajuht</w:t>
            </w:r>
          </w:p>
        </w:tc>
      </w:tr>
      <w:tr w:rsidR="00EE446C" w:rsidRPr="00605906" w14:paraId="7792111D" w14:textId="77777777" w:rsidTr="009E7A69">
        <w:tc>
          <w:tcPr>
            <w:tcW w:w="2325" w:type="dxa"/>
          </w:tcPr>
          <w:p w14:paraId="01D85789" w14:textId="77777777" w:rsidR="00EE446C" w:rsidRPr="00243EBE" w:rsidRDefault="00EE446C" w:rsidP="009E7A69">
            <w:pPr>
              <w:rPr>
                <w:szCs w:val="24"/>
              </w:rPr>
            </w:pPr>
            <w:r w:rsidRPr="00243EBE">
              <w:rPr>
                <w:szCs w:val="24"/>
              </w:rPr>
              <w:t>Esinduse alus</w:t>
            </w:r>
          </w:p>
        </w:tc>
        <w:tc>
          <w:tcPr>
            <w:tcW w:w="6997" w:type="dxa"/>
          </w:tcPr>
          <w:p w14:paraId="63A2CCA7" w14:textId="498BB4CF" w:rsidR="00EE446C" w:rsidRPr="00F14B3F" w:rsidRDefault="00BD32E7" w:rsidP="00EE446C">
            <w:pPr>
              <w:rPr>
                <w:szCs w:val="24"/>
              </w:rPr>
            </w:pPr>
            <w:r>
              <w:rPr>
                <w:szCs w:val="24"/>
              </w:rPr>
              <w:t>Peadirektori 3. novembri 202</w:t>
            </w:r>
            <w:r w:rsidR="003C0FAA">
              <w:rPr>
                <w:szCs w:val="24"/>
              </w:rPr>
              <w:t>0</w:t>
            </w:r>
            <w:r>
              <w:rPr>
                <w:szCs w:val="24"/>
              </w:rPr>
              <w:t>. aasta käskkiri nr 1-1/7</w:t>
            </w:r>
            <w:r w:rsidR="003C0FAA">
              <w:rPr>
                <w:szCs w:val="24"/>
              </w:rPr>
              <w:t>7</w:t>
            </w:r>
            <w:r>
              <w:rPr>
                <w:szCs w:val="24"/>
              </w:rPr>
              <w:t xml:space="preserve"> „</w:t>
            </w:r>
            <w:r w:rsidR="003C0FAA">
              <w:rPr>
                <w:szCs w:val="24"/>
              </w:rPr>
              <w:t>Strateegia</w:t>
            </w:r>
            <w:r w:rsidR="003C0FAA" w:rsidRPr="00F14B3F">
              <w:rPr>
                <w:szCs w:val="24"/>
              </w:rPr>
              <w:t xml:space="preserve">osakonna </w:t>
            </w:r>
            <w:r w:rsidR="00C542B6" w:rsidRPr="00F14B3F">
              <w:rPr>
                <w:szCs w:val="24"/>
              </w:rPr>
              <w:t>põhimäärus</w:t>
            </w:r>
            <w:r>
              <w:rPr>
                <w:szCs w:val="24"/>
              </w:rPr>
              <w:t>“</w:t>
            </w:r>
          </w:p>
        </w:tc>
      </w:tr>
      <w:tr w:rsidR="00EE446C" w:rsidRPr="00605906" w14:paraId="0FA74B8F" w14:textId="77777777" w:rsidTr="009E7A69">
        <w:tc>
          <w:tcPr>
            <w:tcW w:w="2325" w:type="dxa"/>
            <w:tcBorders>
              <w:bottom w:val="single" w:sz="4" w:space="0" w:color="auto"/>
            </w:tcBorders>
          </w:tcPr>
          <w:p w14:paraId="39A76C56" w14:textId="77777777" w:rsidR="00EE446C" w:rsidRPr="00605906" w:rsidRDefault="00EE446C" w:rsidP="009E7A69">
            <w:pPr>
              <w:rPr>
                <w:szCs w:val="24"/>
              </w:rPr>
            </w:pPr>
            <w:r w:rsidRPr="00605906">
              <w:rPr>
                <w:szCs w:val="24"/>
              </w:rPr>
              <w:t>Kontaktisikud</w:t>
            </w:r>
          </w:p>
        </w:tc>
        <w:tc>
          <w:tcPr>
            <w:tcW w:w="6997" w:type="dxa"/>
            <w:tcBorders>
              <w:bottom w:val="single" w:sz="4" w:space="0" w:color="auto"/>
            </w:tcBorders>
          </w:tcPr>
          <w:p w14:paraId="201E7BED" w14:textId="77777777" w:rsidR="004312B3" w:rsidRDefault="004312B3" w:rsidP="007D4032">
            <w:pPr>
              <w:rPr>
                <w:szCs w:val="24"/>
              </w:rPr>
            </w:pPr>
            <w:r>
              <w:rPr>
                <w:szCs w:val="24"/>
              </w:rPr>
              <w:t xml:space="preserve">Pirgit Kahro, </w:t>
            </w:r>
            <w:proofErr w:type="spellStart"/>
            <w:r>
              <w:rPr>
                <w:szCs w:val="24"/>
              </w:rPr>
              <w:t>SMIT’i</w:t>
            </w:r>
            <w:proofErr w:type="spellEnd"/>
            <w:r>
              <w:rPr>
                <w:szCs w:val="24"/>
              </w:rPr>
              <w:t xml:space="preserve"> strateegiaosakonna juhataja</w:t>
            </w:r>
          </w:p>
          <w:p w14:paraId="39DDDE56" w14:textId="2B41361B" w:rsidR="007D4032" w:rsidRPr="00605906" w:rsidRDefault="006E569C" w:rsidP="007D4032">
            <w:pPr>
              <w:rPr>
                <w:szCs w:val="24"/>
              </w:rPr>
            </w:pPr>
            <w:r>
              <w:rPr>
                <w:szCs w:val="24"/>
              </w:rPr>
              <w:t>Grigori Ošomkov</w:t>
            </w:r>
            <w:r w:rsidR="009A3A03">
              <w:rPr>
                <w:szCs w:val="24"/>
              </w:rPr>
              <w:t xml:space="preserve">, </w:t>
            </w:r>
            <w:proofErr w:type="spellStart"/>
            <w:r>
              <w:rPr>
                <w:szCs w:val="24"/>
              </w:rPr>
              <w:t>SMIT’i</w:t>
            </w:r>
            <w:proofErr w:type="spellEnd"/>
            <w:r>
              <w:rPr>
                <w:szCs w:val="24"/>
              </w:rPr>
              <w:t xml:space="preserve"> teenuste portfelli</w:t>
            </w:r>
            <w:r w:rsidR="00095CE0">
              <w:rPr>
                <w:szCs w:val="24"/>
              </w:rPr>
              <w:t xml:space="preserve"> juht</w:t>
            </w:r>
            <w:r w:rsidR="009A3A03">
              <w:rPr>
                <w:szCs w:val="24"/>
              </w:rPr>
              <w:t xml:space="preserve">, </w:t>
            </w:r>
            <w:hyperlink r:id="rId8" w:history="1">
              <w:r w:rsidRPr="005F199D">
                <w:rPr>
                  <w:rStyle w:val="Hyperlink"/>
                </w:rPr>
                <w:t>grigori.osomkov</w:t>
              </w:r>
              <w:r w:rsidRPr="005F199D">
                <w:rPr>
                  <w:rStyle w:val="Hyperlink"/>
                  <w:szCs w:val="24"/>
                </w:rPr>
                <w:t>@smit.ee</w:t>
              </w:r>
            </w:hyperlink>
            <w:r>
              <w:t xml:space="preserve"> </w:t>
            </w:r>
            <w:r w:rsidR="00CB3C8C">
              <w:rPr>
                <w:szCs w:val="24"/>
              </w:rPr>
              <w:t>või tema asendaja</w:t>
            </w:r>
          </w:p>
        </w:tc>
      </w:tr>
      <w:tr w:rsidR="00EE446C" w:rsidRPr="00605906" w14:paraId="048F3358" w14:textId="77777777" w:rsidTr="009E7A69">
        <w:tc>
          <w:tcPr>
            <w:tcW w:w="2325" w:type="dxa"/>
            <w:tcBorders>
              <w:top w:val="single" w:sz="4" w:space="0" w:color="auto"/>
              <w:left w:val="single" w:sz="4" w:space="0" w:color="auto"/>
              <w:bottom w:val="single" w:sz="4" w:space="0" w:color="auto"/>
              <w:right w:val="nil"/>
            </w:tcBorders>
          </w:tcPr>
          <w:p w14:paraId="200A56E9" w14:textId="77777777" w:rsidR="00EE446C" w:rsidRPr="00243EBE" w:rsidRDefault="00EE446C" w:rsidP="009E7A69">
            <w:pPr>
              <w:rPr>
                <w:szCs w:val="24"/>
              </w:rPr>
            </w:pPr>
          </w:p>
        </w:tc>
        <w:tc>
          <w:tcPr>
            <w:tcW w:w="6997" w:type="dxa"/>
            <w:tcBorders>
              <w:top w:val="single" w:sz="4" w:space="0" w:color="auto"/>
              <w:left w:val="nil"/>
              <w:bottom w:val="single" w:sz="4" w:space="0" w:color="auto"/>
              <w:right w:val="single" w:sz="4" w:space="0" w:color="auto"/>
            </w:tcBorders>
          </w:tcPr>
          <w:p w14:paraId="47B4F7B2" w14:textId="77777777" w:rsidR="00EE446C" w:rsidRPr="00243EBE" w:rsidRDefault="00EE446C" w:rsidP="009E7A69">
            <w:pPr>
              <w:ind w:left="360"/>
              <w:rPr>
                <w:szCs w:val="24"/>
              </w:rPr>
            </w:pPr>
          </w:p>
        </w:tc>
      </w:tr>
      <w:tr w:rsidR="00243EBE" w:rsidRPr="00605906" w14:paraId="722214CB" w14:textId="77777777" w:rsidTr="009E7A69">
        <w:tc>
          <w:tcPr>
            <w:tcW w:w="2325" w:type="dxa"/>
            <w:tcBorders>
              <w:top w:val="single" w:sz="4" w:space="0" w:color="auto"/>
            </w:tcBorders>
          </w:tcPr>
          <w:p w14:paraId="04B17BFB" w14:textId="77777777" w:rsidR="00243EBE" w:rsidRPr="00243EBE" w:rsidRDefault="00243EBE" w:rsidP="00243EBE">
            <w:pPr>
              <w:rPr>
                <w:b/>
                <w:szCs w:val="24"/>
              </w:rPr>
            </w:pPr>
            <w:r w:rsidRPr="00243EBE">
              <w:rPr>
                <w:b/>
                <w:szCs w:val="24"/>
              </w:rPr>
              <w:t>Täitja</w:t>
            </w:r>
          </w:p>
        </w:tc>
        <w:tc>
          <w:tcPr>
            <w:tcW w:w="6997" w:type="dxa"/>
            <w:tcBorders>
              <w:top w:val="single" w:sz="4" w:space="0" w:color="auto"/>
            </w:tcBorders>
          </w:tcPr>
          <w:p w14:paraId="27EE0AD3" w14:textId="663EC4A6" w:rsidR="00243EBE" w:rsidRPr="00243EBE" w:rsidRDefault="00243EBE" w:rsidP="00243EBE">
            <w:pPr>
              <w:rPr>
                <w:b/>
                <w:szCs w:val="24"/>
              </w:rPr>
            </w:pPr>
          </w:p>
        </w:tc>
      </w:tr>
      <w:tr w:rsidR="00243EBE" w:rsidRPr="00605906" w14:paraId="78C22064" w14:textId="77777777" w:rsidTr="009E7A69">
        <w:tc>
          <w:tcPr>
            <w:tcW w:w="2325" w:type="dxa"/>
          </w:tcPr>
          <w:p w14:paraId="2084AF47" w14:textId="77777777" w:rsidR="00243EBE" w:rsidRPr="00243EBE" w:rsidRDefault="00243EBE" w:rsidP="00243EBE">
            <w:pPr>
              <w:rPr>
                <w:szCs w:val="24"/>
              </w:rPr>
            </w:pPr>
            <w:r w:rsidRPr="00243EBE">
              <w:rPr>
                <w:szCs w:val="24"/>
              </w:rPr>
              <w:t>Registrikood</w:t>
            </w:r>
          </w:p>
        </w:tc>
        <w:tc>
          <w:tcPr>
            <w:tcW w:w="6997" w:type="dxa"/>
          </w:tcPr>
          <w:p w14:paraId="1D44F044" w14:textId="110AF49F" w:rsidR="00243EBE" w:rsidRPr="00243EBE" w:rsidRDefault="00243EBE" w:rsidP="00243EBE">
            <w:pPr>
              <w:rPr>
                <w:szCs w:val="24"/>
              </w:rPr>
            </w:pPr>
          </w:p>
        </w:tc>
      </w:tr>
      <w:tr w:rsidR="00243EBE" w:rsidRPr="00605906" w14:paraId="353F816C" w14:textId="77777777" w:rsidTr="009E7A69">
        <w:tc>
          <w:tcPr>
            <w:tcW w:w="2325" w:type="dxa"/>
          </w:tcPr>
          <w:p w14:paraId="4A61854D" w14:textId="77777777" w:rsidR="00243EBE" w:rsidRPr="00243EBE" w:rsidRDefault="00243EBE" w:rsidP="00243EBE">
            <w:pPr>
              <w:rPr>
                <w:szCs w:val="24"/>
              </w:rPr>
            </w:pPr>
            <w:r w:rsidRPr="00243EBE">
              <w:rPr>
                <w:szCs w:val="24"/>
              </w:rPr>
              <w:t>Aadress</w:t>
            </w:r>
          </w:p>
        </w:tc>
        <w:tc>
          <w:tcPr>
            <w:tcW w:w="6997" w:type="dxa"/>
          </w:tcPr>
          <w:p w14:paraId="1A43C73F" w14:textId="6C57276A" w:rsidR="00243EBE" w:rsidRPr="00243EBE" w:rsidRDefault="00243EBE" w:rsidP="00243EBE">
            <w:pPr>
              <w:rPr>
                <w:szCs w:val="24"/>
              </w:rPr>
            </w:pPr>
          </w:p>
        </w:tc>
      </w:tr>
      <w:tr w:rsidR="00243EBE" w:rsidRPr="00605906" w14:paraId="2FE99149" w14:textId="77777777" w:rsidTr="009E7A69">
        <w:tc>
          <w:tcPr>
            <w:tcW w:w="2325" w:type="dxa"/>
          </w:tcPr>
          <w:p w14:paraId="6054D54A" w14:textId="77777777" w:rsidR="00243EBE" w:rsidRPr="00243EBE" w:rsidRDefault="00243EBE" w:rsidP="00243EBE">
            <w:pPr>
              <w:rPr>
                <w:szCs w:val="24"/>
              </w:rPr>
            </w:pPr>
            <w:r w:rsidRPr="00243EBE">
              <w:rPr>
                <w:szCs w:val="24"/>
              </w:rPr>
              <w:t>Täitja esindaja</w:t>
            </w:r>
          </w:p>
        </w:tc>
        <w:tc>
          <w:tcPr>
            <w:tcW w:w="6997" w:type="dxa"/>
          </w:tcPr>
          <w:p w14:paraId="3187558B" w14:textId="668FFB6D" w:rsidR="00243EBE" w:rsidRPr="00243EBE" w:rsidRDefault="00243EBE" w:rsidP="00243EBE">
            <w:pPr>
              <w:rPr>
                <w:szCs w:val="24"/>
              </w:rPr>
            </w:pPr>
          </w:p>
        </w:tc>
      </w:tr>
      <w:tr w:rsidR="00243EBE" w:rsidRPr="00605906" w14:paraId="3F5A5D8D" w14:textId="77777777" w:rsidTr="009E7A69">
        <w:tc>
          <w:tcPr>
            <w:tcW w:w="2325" w:type="dxa"/>
            <w:tcBorders>
              <w:bottom w:val="single" w:sz="4" w:space="0" w:color="auto"/>
            </w:tcBorders>
          </w:tcPr>
          <w:p w14:paraId="2E77648E" w14:textId="77777777" w:rsidR="00243EBE" w:rsidRPr="00243EBE" w:rsidRDefault="00243EBE" w:rsidP="00243EBE">
            <w:pPr>
              <w:rPr>
                <w:szCs w:val="24"/>
              </w:rPr>
            </w:pPr>
            <w:r w:rsidRPr="00243EBE">
              <w:rPr>
                <w:szCs w:val="24"/>
              </w:rPr>
              <w:t>Esinduse alus</w:t>
            </w:r>
          </w:p>
        </w:tc>
        <w:tc>
          <w:tcPr>
            <w:tcW w:w="6997" w:type="dxa"/>
            <w:tcBorders>
              <w:bottom w:val="single" w:sz="4" w:space="0" w:color="auto"/>
            </w:tcBorders>
          </w:tcPr>
          <w:p w14:paraId="3559568E" w14:textId="64BEA152" w:rsidR="00243EBE" w:rsidRPr="00243EBE" w:rsidRDefault="00243EBE" w:rsidP="00243EBE">
            <w:pPr>
              <w:rPr>
                <w:szCs w:val="24"/>
              </w:rPr>
            </w:pPr>
          </w:p>
        </w:tc>
      </w:tr>
      <w:tr w:rsidR="00243EBE" w:rsidRPr="00605906" w14:paraId="6BEC0975" w14:textId="77777777" w:rsidTr="009E7A69">
        <w:tc>
          <w:tcPr>
            <w:tcW w:w="2325" w:type="dxa"/>
            <w:tcBorders>
              <w:top w:val="single" w:sz="4" w:space="0" w:color="auto"/>
              <w:left w:val="single" w:sz="4" w:space="0" w:color="auto"/>
              <w:bottom w:val="single" w:sz="4" w:space="0" w:color="auto"/>
              <w:right w:val="single" w:sz="4" w:space="0" w:color="auto"/>
            </w:tcBorders>
          </w:tcPr>
          <w:p w14:paraId="08C3CD82" w14:textId="77777777" w:rsidR="00243EBE" w:rsidRPr="00243EBE" w:rsidRDefault="00243EBE" w:rsidP="00243EBE">
            <w:pPr>
              <w:rPr>
                <w:szCs w:val="24"/>
              </w:rPr>
            </w:pPr>
            <w:r w:rsidRPr="00243EBE">
              <w:rPr>
                <w:szCs w:val="24"/>
              </w:rPr>
              <w:t>Kontaktisikud</w:t>
            </w:r>
          </w:p>
        </w:tc>
        <w:tc>
          <w:tcPr>
            <w:tcW w:w="6997" w:type="dxa"/>
            <w:tcBorders>
              <w:top w:val="single" w:sz="4" w:space="0" w:color="auto"/>
              <w:left w:val="single" w:sz="4" w:space="0" w:color="auto"/>
              <w:bottom w:val="single" w:sz="4" w:space="0" w:color="auto"/>
              <w:right w:val="single" w:sz="4" w:space="0" w:color="auto"/>
            </w:tcBorders>
          </w:tcPr>
          <w:p w14:paraId="1DE16BAA" w14:textId="3CAD706C" w:rsidR="00243EBE" w:rsidRPr="00243EBE" w:rsidRDefault="00243EBE" w:rsidP="009A3A03">
            <w:pPr>
              <w:rPr>
                <w:szCs w:val="24"/>
              </w:rPr>
            </w:pPr>
          </w:p>
        </w:tc>
      </w:tr>
    </w:tbl>
    <w:p w14:paraId="5933D041" w14:textId="77777777" w:rsidR="00EE446C" w:rsidRPr="00605906" w:rsidRDefault="00EE446C" w:rsidP="00EE446C">
      <w:pPr>
        <w:rPr>
          <w:szCs w:val="24"/>
        </w:rPr>
      </w:pPr>
    </w:p>
    <w:p w14:paraId="33C9261B" w14:textId="77777777" w:rsidR="00EE446C" w:rsidRPr="00605906" w:rsidRDefault="00EE446C" w:rsidP="00EE446C">
      <w:pPr>
        <w:pStyle w:val="ListParagraph"/>
        <w:numPr>
          <w:ilvl w:val="0"/>
          <w:numId w:val="9"/>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b/>
          <w:sz w:val="24"/>
          <w:szCs w:val="24"/>
        </w:rPr>
        <w:t>Lepingu üldised tingimused</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EE446C" w:rsidRPr="00605906" w14:paraId="392BFD37" w14:textId="77777777" w:rsidTr="009E7A69">
        <w:tc>
          <w:tcPr>
            <w:tcW w:w="3108" w:type="dxa"/>
            <w:tcBorders>
              <w:top w:val="single" w:sz="4" w:space="0" w:color="auto"/>
              <w:left w:val="single" w:sz="4" w:space="0" w:color="auto"/>
              <w:bottom w:val="single" w:sz="4" w:space="0" w:color="auto"/>
              <w:right w:val="single" w:sz="4" w:space="0" w:color="auto"/>
            </w:tcBorders>
          </w:tcPr>
          <w:p w14:paraId="46C7A124" w14:textId="77777777" w:rsidR="00EE446C" w:rsidRPr="00256671" w:rsidRDefault="00EE446C" w:rsidP="009E7A69">
            <w:pPr>
              <w:rPr>
                <w:b/>
                <w:szCs w:val="24"/>
              </w:rPr>
            </w:pPr>
            <w:r w:rsidRPr="00256671">
              <w:rPr>
                <w:b/>
                <w:szCs w:val="24"/>
              </w:rPr>
              <w:t>Lepingu sõlmimise alus</w:t>
            </w:r>
          </w:p>
        </w:tc>
        <w:tc>
          <w:tcPr>
            <w:tcW w:w="6214" w:type="dxa"/>
            <w:tcBorders>
              <w:top w:val="single" w:sz="4" w:space="0" w:color="auto"/>
              <w:left w:val="single" w:sz="4" w:space="0" w:color="auto"/>
              <w:bottom w:val="single" w:sz="4" w:space="0" w:color="auto"/>
              <w:right w:val="single" w:sz="4" w:space="0" w:color="auto"/>
            </w:tcBorders>
          </w:tcPr>
          <w:p w14:paraId="737DB8EB" w14:textId="4F4CAF05" w:rsidR="00EE446C" w:rsidRPr="00256671" w:rsidRDefault="00095CE0" w:rsidP="00EE446C">
            <w:pPr>
              <w:rPr>
                <w:szCs w:val="24"/>
              </w:rPr>
            </w:pPr>
            <w:r>
              <w:rPr>
                <w:szCs w:val="24"/>
              </w:rPr>
              <w:t>{Pakkuja}</w:t>
            </w:r>
            <w:r w:rsidR="009A3A03">
              <w:rPr>
                <w:szCs w:val="24"/>
              </w:rPr>
              <w:t xml:space="preserve"> pakkum</w:t>
            </w:r>
            <w:r w:rsidR="000C3F6A">
              <w:rPr>
                <w:szCs w:val="24"/>
              </w:rPr>
              <w:t>us</w:t>
            </w:r>
          </w:p>
        </w:tc>
      </w:tr>
      <w:tr w:rsidR="00EE446C" w:rsidRPr="00605906" w14:paraId="4EE17393" w14:textId="77777777" w:rsidTr="009E7A69">
        <w:tc>
          <w:tcPr>
            <w:tcW w:w="3108" w:type="dxa"/>
            <w:tcBorders>
              <w:top w:val="single" w:sz="4" w:space="0" w:color="auto"/>
              <w:left w:val="single" w:sz="4" w:space="0" w:color="auto"/>
              <w:bottom w:val="single" w:sz="4" w:space="0" w:color="auto"/>
              <w:right w:val="single" w:sz="4" w:space="0" w:color="auto"/>
            </w:tcBorders>
          </w:tcPr>
          <w:p w14:paraId="679E0BE8" w14:textId="77777777" w:rsidR="00EE446C" w:rsidRPr="00605906" w:rsidRDefault="00EE446C" w:rsidP="009E7A69">
            <w:pPr>
              <w:rPr>
                <w:b/>
                <w:szCs w:val="24"/>
              </w:rPr>
            </w:pPr>
            <w:r w:rsidRPr="00605906">
              <w:rPr>
                <w:b/>
                <w:szCs w:val="24"/>
              </w:rPr>
              <w:t>Lepingu ese</w:t>
            </w:r>
          </w:p>
        </w:tc>
        <w:tc>
          <w:tcPr>
            <w:tcW w:w="6214" w:type="dxa"/>
            <w:tcBorders>
              <w:top w:val="single" w:sz="4" w:space="0" w:color="auto"/>
              <w:left w:val="single" w:sz="4" w:space="0" w:color="auto"/>
              <w:bottom w:val="single" w:sz="4" w:space="0" w:color="auto"/>
              <w:right w:val="single" w:sz="4" w:space="0" w:color="auto"/>
            </w:tcBorders>
          </w:tcPr>
          <w:p w14:paraId="353BB6D2" w14:textId="2B0B93F5" w:rsidR="00EE446C" w:rsidRPr="00605906" w:rsidRDefault="00543CE2" w:rsidP="009E7A69">
            <w:pPr>
              <w:pStyle w:val="Default"/>
              <w:jc w:val="both"/>
            </w:pPr>
            <w:r w:rsidRPr="00D77385">
              <w:rPr>
                <w:color w:val="auto"/>
              </w:rPr>
              <w:t>Siseministeeriumi infotehnoloogia- ja arenduskeskuse klientide rahulolu</w:t>
            </w:r>
            <w:r w:rsidR="00095CE0">
              <w:rPr>
                <w:color w:val="auto"/>
              </w:rPr>
              <w:t>-</w:t>
            </w:r>
            <w:r w:rsidRPr="00D77385">
              <w:rPr>
                <w:color w:val="auto"/>
              </w:rPr>
              <w:t>uuring</w:t>
            </w:r>
            <w:r w:rsidR="00095CE0">
              <w:rPr>
                <w:color w:val="auto"/>
              </w:rPr>
              <w:t xml:space="preserve"> 202</w:t>
            </w:r>
            <w:r w:rsidR="006E569C">
              <w:rPr>
                <w:color w:val="auto"/>
              </w:rPr>
              <w:t>5</w:t>
            </w:r>
            <w:r w:rsidR="000C3F6A">
              <w:rPr>
                <w:color w:val="auto"/>
              </w:rPr>
              <w:t>. Lepingu eseme täpsem kirjeldus on esitatud lepingu lisades 2 ja 3.</w:t>
            </w:r>
          </w:p>
        </w:tc>
      </w:tr>
      <w:tr w:rsidR="00EE446C" w:rsidRPr="00605906" w14:paraId="0F179D93" w14:textId="77777777" w:rsidTr="009E7A69">
        <w:tc>
          <w:tcPr>
            <w:tcW w:w="3108" w:type="dxa"/>
            <w:tcBorders>
              <w:top w:val="single" w:sz="4" w:space="0" w:color="auto"/>
              <w:left w:val="single" w:sz="4" w:space="0" w:color="auto"/>
              <w:bottom w:val="single" w:sz="4" w:space="0" w:color="auto"/>
              <w:right w:val="single" w:sz="4" w:space="0" w:color="auto"/>
            </w:tcBorders>
          </w:tcPr>
          <w:p w14:paraId="3A1BADB6" w14:textId="77777777" w:rsidR="00EE446C" w:rsidRPr="00605906" w:rsidRDefault="00EE446C" w:rsidP="009E7A69">
            <w:pPr>
              <w:rPr>
                <w:b/>
                <w:szCs w:val="24"/>
              </w:rPr>
            </w:pPr>
            <w:r w:rsidRPr="00605906">
              <w:rPr>
                <w:b/>
                <w:szCs w:val="24"/>
              </w:rPr>
              <w:t>Rahastamisallikas</w:t>
            </w:r>
          </w:p>
        </w:tc>
        <w:tc>
          <w:tcPr>
            <w:tcW w:w="6214" w:type="dxa"/>
            <w:tcBorders>
              <w:top w:val="single" w:sz="4" w:space="0" w:color="auto"/>
              <w:left w:val="single" w:sz="4" w:space="0" w:color="auto"/>
              <w:bottom w:val="single" w:sz="4" w:space="0" w:color="auto"/>
              <w:right w:val="single" w:sz="4" w:space="0" w:color="auto"/>
            </w:tcBorders>
          </w:tcPr>
          <w:p w14:paraId="52E3FAC1" w14:textId="77777777" w:rsidR="00EE446C" w:rsidRPr="00605906" w:rsidRDefault="00EE446C" w:rsidP="009E7A69">
            <w:pPr>
              <w:rPr>
                <w:szCs w:val="24"/>
              </w:rPr>
            </w:pPr>
            <w:r w:rsidRPr="00605906">
              <w:rPr>
                <w:szCs w:val="24"/>
              </w:rPr>
              <w:t>Riigieelarve</w:t>
            </w:r>
          </w:p>
        </w:tc>
      </w:tr>
      <w:tr w:rsidR="00EE446C" w:rsidRPr="00913B70" w14:paraId="35D15293" w14:textId="77777777" w:rsidTr="009E7A69">
        <w:tc>
          <w:tcPr>
            <w:tcW w:w="3108" w:type="dxa"/>
            <w:tcBorders>
              <w:top w:val="single" w:sz="4" w:space="0" w:color="auto"/>
              <w:left w:val="single" w:sz="4" w:space="0" w:color="auto"/>
              <w:bottom w:val="single" w:sz="4" w:space="0" w:color="auto"/>
              <w:right w:val="single" w:sz="4" w:space="0" w:color="auto"/>
            </w:tcBorders>
          </w:tcPr>
          <w:p w14:paraId="1804D39E" w14:textId="77777777" w:rsidR="00EE446C" w:rsidRPr="00913B70" w:rsidRDefault="00EE446C" w:rsidP="009E7A69">
            <w:pPr>
              <w:rPr>
                <w:b/>
                <w:szCs w:val="24"/>
              </w:rPr>
            </w:pPr>
            <w:r w:rsidRPr="00913B70">
              <w:rPr>
                <w:b/>
                <w:szCs w:val="24"/>
              </w:rPr>
              <w:t xml:space="preserve">Lepingu täitmise tähtaeg </w:t>
            </w:r>
          </w:p>
        </w:tc>
        <w:tc>
          <w:tcPr>
            <w:tcW w:w="6214" w:type="dxa"/>
            <w:tcBorders>
              <w:top w:val="single" w:sz="4" w:space="0" w:color="auto"/>
              <w:left w:val="single" w:sz="4" w:space="0" w:color="auto"/>
              <w:bottom w:val="single" w:sz="4" w:space="0" w:color="auto"/>
              <w:right w:val="single" w:sz="4" w:space="0" w:color="auto"/>
            </w:tcBorders>
          </w:tcPr>
          <w:p w14:paraId="0C370541" w14:textId="77A1DD78" w:rsidR="00EE446C" w:rsidRPr="00913B70" w:rsidRDefault="009A3A03" w:rsidP="009E7A69">
            <w:pPr>
              <w:rPr>
                <w:szCs w:val="24"/>
              </w:rPr>
            </w:pPr>
            <w:r>
              <w:rPr>
                <w:szCs w:val="24"/>
              </w:rPr>
              <w:t>30.09.202</w:t>
            </w:r>
            <w:r w:rsidR="006E569C">
              <w:rPr>
                <w:szCs w:val="24"/>
              </w:rPr>
              <w:t>5</w:t>
            </w:r>
          </w:p>
        </w:tc>
      </w:tr>
      <w:tr w:rsidR="00EE446C" w:rsidRPr="00913B70" w14:paraId="62BD4E78" w14:textId="77777777" w:rsidTr="009E7A69">
        <w:tc>
          <w:tcPr>
            <w:tcW w:w="3108" w:type="dxa"/>
            <w:tcBorders>
              <w:top w:val="single" w:sz="4" w:space="0" w:color="auto"/>
              <w:left w:val="single" w:sz="4" w:space="0" w:color="auto"/>
              <w:bottom w:val="single" w:sz="4" w:space="0" w:color="auto"/>
              <w:right w:val="single" w:sz="4" w:space="0" w:color="auto"/>
            </w:tcBorders>
          </w:tcPr>
          <w:p w14:paraId="3A59A194" w14:textId="77777777" w:rsidR="00EE446C" w:rsidRPr="00913B70" w:rsidRDefault="00EE446C" w:rsidP="009E7A69">
            <w:pPr>
              <w:rPr>
                <w:b/>
                <w:szCs w:val="24"/>
              </w:rPr>
            </w:pPr>
            <w:r w:rsidRPr="00913B70">
              <w:rPr>
                <w:b/>
                <w:szCs w:val="24"/>
              </w:rPr>
              <w:t>Lepingu lisad</w:t>
            </w:r>
          </w:p>
        </w:tc>
        <w:tc>
          <w:tcPr>
            <w:tcW w:w="6214" w:type="dxa"/>
            <w:tcBorders>
              <w:top w:val="single" w:sz="4" w:space="0" w:color="auto"/>
              <w:left w:val="single" w:sz="4" w:space="0" w:color="auto"/>
              <w:bottom w:val="single" w:sz="4" w:space="0" w:color="auto"/>
              <w:right w:val="single" w:sz="4" w:space="0" w:color="auto"/>
            </w:tcBorders>
          </w:tcPr>
          <w:p w14:paraId="1B986BE2" w14:textId="12F16F4E" w:rsidR="00EE446C" w:rsidRDefault="00EE446C" w:rsidP="009E7A69">
            <w:pPr>
              <w:rPr>
                <w:szCs w:val="24"/>
              </w:rPr>
            </w:pPr>
            <w:bookmarkStart w:id="0" w:name="_Hlk101775144"/>
            <w:r w:rsidRPr="00913B70">
              <w:rPr>
                <w:szCs w:val="24"/>
              </w:rPr>
              <w:t>Lisa 1 –</w:t>
            </w:r>
            <w:r w:rsidR="00725D1B">
              <w:rPr>
                <w:szCs w:val="24"/>
              </w:rPr>
              <w:t xml:space="preserve"> </w:t>
            </w:r>
            <w:r w:rsidR="00725D1B" w:rsidRPr="00725D1B">
              <w:rPr>
                <w:szCs w:val="24"/>
              </w:rPr>
              <w:t>Siseministeeriumi infotehnoloogia- ja arenduskeskuse</w:t>
            </w:r>
            <w:r w:rsidR="00FC6394">
              <w:rPr>
                <w:szCs w:val="24"/>
              </w:rPr>
              <w:t xml:space="preserve"> </w:t>
            </w:r>
            <w:r w:rsidR="005F01DE" w:rsidRPr="00913B70">
              <w:rPr>
                <w:szCs w:val="24"/>
              </w:rPr>
              <w:t>töövõtulepingu</w:t>
            </w:r>
            <w:r w:rsidR="00ED2238">
              <w:rPr>
                <w:szCs w:val="24"/>
              </w:rPr>
              <w:t>te</w:t>
            </w:r>
            <w:r w:rsidR="005F01DE" w:rsidRPr="00913B70">
              <w:rPr>
                <w:szCs w:val="24"/>
              </w:rPr>
              <w:t xml:space="preserve"> üldtingimused</w:t>
            </w:r>
            <w:bookmarkEnd w:id="0"/>
            <w:r w:rsidR="005F01DE" w:rsidRPr="00913B70">
              <w:rPr>
                <w:szCs w:val="24"/>
              </w:rPr>
              <w:t>;</w:t>
            </w:r>
          </w:p>
          <w:p w14:paraId="614186FD" w14:textId="0A096A5A" w:rsidR="000C3F6A" w:rsidRDefault="00EE446C" w:rsidP="009A3A03">
            <w:pPr>
              <w:rPr>
                <w:szCs w:val="24"/>
              </w:rPr>
            </w:pPr>
            <w:r w:rsidRPr="00913B70">
              <w:rPr>
                <w:szCs w:val="24"/>
              </w:rPr>
              <w:t>Lisa 2 –</w:t>
            </w:r>
            <w:r w:rsidR="00095CE0">
              <w:rPr>
                <w:szCs w:val="24"/>
              </w:rPr>
              <w:t xml:space="preserve"> Pakkum</w:t>
            </w:r>
            <w:r w:rsidR="000C3F6A">
              <w:rPr>
                <w:szCs w:val="24"/>
              </w:rPr>
              <w:t>us</w:t>
            </w:r>
            <w:r w:rsidR="00DE7DAD">
              <w:rPr>
                <w:szCs w:val="24"/>
              </w:rPr>
              <w:t>;</w:t>
            </w:r>
          </w:p>
          <w:p w14:paraId="124F6FEB" w14:textId="3C69D495" w:rsidR="000C3F6A" w:rsidRDefault="00DE7DAD" w:rsidP="00DB58D6">
            <w:pPr>
              <w:rPr>
                <w:szCs w:val="24"/>
              </w:rPr>
            </w:pPr>
            <w:r>
              <w:rPr>
                <w:szCs w:val="24"/>
              </w:rPr>
              <w:t xml:space="preserve">Lisa 3 </w:t>
            </w:r>
            <w:r w:rsidR="00725D1B">
              <w:rPr>
                <w:szCs w:val="24"/>
              </w:rPr>
              <w:t>–</w:t>
            </w:r>
            <w:r>
              <w:rPr>
                <w:szCs w:val="24"/>
              </w:rPr>
              <w:t xml:space="preserve"> </w:t>
            </w:r>
            <w:r w:rsidR="000C3F6A">
              <w:rPr>
                <w:szCs w:val="24"/>
              </w:rPr>
              <w:t>Tehniline kirjeldus;</w:t>
            </w:r>
          </w:p>
          <w:p w14:paraId="572287B7" w14:textId="435FBF75" w:rsidR="00DE7DAD" w:rsidRPr="00913B70" w:rsidRDefault="000C3F6A" w:rsidP="00DB58D6">
            <w:pPr>
              <w:rPr>
                <w:szCs w:val="24"/>
              </w:rPr>
            </w:pPr>
            <w:r>
              <w:rPr>
                <w:szCs w:val="24"/>
              </w:rPr>
              <w:t xml:space="preserve">Lisa 4 – </w:t>
            </w:r>
            <w:r w:rsidR="00DE7DAD" w:rsidRPr="00DE7DAD">
              <w:rPr>
                <w:szCs w:val="24"/>
              </w:rPr>
              <w:t>Üleandmise-vastuvõtmise akt</w:t>
            </w:r>
          </w:p>
        </w:tc>
      </w:tr>
    </w:tbl>
    <w:p w14:paraId="13784D61" w14:textId="77777777" w:rsidR="00EE446C" w:rsidRPr="00913B70" w:rsidRDefault="00EE446C" w:rsidP="00EE446C">
      <w:pPr>
        <w:pStyle w:val="ListParagraph"/>
        <w:spacing w:after="0" w:line="240" w:lineRule="auto"/>
        <w:jc w:val="both"/>
        <w:rPr>
          <w:rFonts w:ascii="Times New Roman" w:hAnsi="Times New Roman" w:cs="Times New Roman"/>
          <w:sz w:val="24"/>
          <w:szCs w:val="24"/>
        </w:rPr>
      </w:pPr>
    </w:p>
    <w:p w14:paraId="093D386A" w14:textId="77777777" w:rsidR="00EE446C" w:rsidRPr="00913B70" w:rsidRDefault="00EE446C" w:rsidP="00EE446C">
      <w:pPr>
        <w:pStyle w:val="ListParagraph"/>
        <w:numPr>
          <w:ilvl w:val="0"/>
          <w:numId w:val="9"/>
        </w:numPr>
        <w:spacing w:after="0" w:line="240" w:lineRule="auto"/>
        <w:ind w:left="426" w:hanging="426"/>
        <w:jc w:val="both"/>
        <w:rPr>
          <w:rFonts w:ascii="Times New Roman" w:hAnsi="Times New Roman" w:cs="Times New Roman"/>
          <w:b/>
          <w:sz w:val="24"/>
          <w:szCs w:val="24"/>
        </w:rPr>
      </w:pPr>
      <w:r w:rsidRPr="00913B70">
        <w:rPr>
          <w:rFonts w:ascii="Times New Roman" w:hAnsi="Times New Roman" w:cs="Times New Roman"/>
          <w:b/>
          <w:sz w:val="24"/>
          <w:szCs w:val="24"/>
        </w:rPr>
        <w:t>Lepingu ese</w:t>
      </w:r>
    </w:p>
    <w:p w14:paraId="0CA9FA80" w14:textId="2BB8D856" w:rsidR="00EE446C" w:rsidRPr="00913B70" w:rsidRDefault="00EE446C" w:rsidP="00EE446C">
      <w:pPr>
        <w:numPr>
          <w:ilvl w:val="1"/>
          <w:numId w:val="11"/>
        </w:numPr>
        <w:tabs>
          <w:tab w:val="left" w:pos="426"/>
        </w:tabs>
        <w:ind w:left="426" w:hanging="426"/>
        <w:rPr>
          <w:szCs w:val="24"/>
        </w:rPr>
      </w:pPr>
      <w:r w:rsidRPr="00913B70">
        <w:rPr>
          <w:szCs w:val="24"/>
        </w:rPr>
        <w:t xml:space="preserve">Lepingu alusel teostab </w:t>
      </w:r>
      <w:r w:rsidRPr="00D77385">
        <w:rPr>
          <w:szCs w:val="24"/>
        </w:rPr>
        <w:t xml:space="preserve">täitja </w:t>
      </w:r>
      <w:r w:rsidR="00A0713F" w:rsidRPr="00D77385">
        <w:rPr>
          <w:szCs w:val="24"/>
        </w:rPr>
        <w:t xml:space="preserve">Siseministeeriumi infotehnoloogia- ja arenduskeskuse </w:t>
      </w:r>
      <w:r w:rsidR="00D77385" w:rsidRPr="00D77385">
        <w:rPr>
          <w:szCs w:val="24"/>
        </w:rPr>
        <w:t>klientide</w:t>
      </w:r>
      <w:r w:rsidR="00D77385">
        <w:rPr>
          <w:szCs w:val="24"/>
        </w:rPr>
        <w:t xml:space="preserve"> </w:t>
      </w:r>
      <w:r w:rsidR="00D77385" w:rsidRPr="00D77385">
        <w:rPr>
          <w:szCs w:val="24"/>
        </w:rPr>
        <w:t>rahulolu</w:t>
      </w:r>
      <w:r w:rsidR="00095CE0">
        <w:rPr>
          <w:szCs w:val="24"/>
        </w:rPr>
        <w:t>-</w:t>
      </w:r>
      <w:r w:rsidR="00A0713F" w:rsidRPr="00D77385">
        <w:rPr>
          <w:szCs w:val="24"/>
        </w:rPr>
        <w:t>uuringu läbiviimiseks</w:t>
      </w:r>
      <w:r w:rsidR="0077378F" w:rsidRPr="00D77385">
        <w:rPr>
          <w:szCs w:val="24"/>
        </w:rPr>
        <w:t xml:space="preserve"> </w:t>
      </w:r>
      <w:r w:rsidRPr="00D77385">
        <w:rPr>
          <w:szCs w:val="24"/>
        </w:rPr>
        <w:t>töid vastavalt lepingu lisa</w:t>
      </w:r>
      <w:r w:rsidR="000C3F6A">
        <w:rPr>
          <w:szCs w:val="24"/>
        </w:rPr>
        <w:t>des</w:t>
      </w:r>
      <w:r w:rsidRPr="00D77385">
        <w:rPr>
          <w:szCs w:val="24"/>
        </w:rPr>
        <w:t xml:space="preserve"> 2</w:t>
      </w:r>
      <w:r w:rsidR="000C3F6A">
        <w:rPr>
          <w:szCs w:val="24"/>
        </w:rPr>
        <w:t xml:space="preserve"> ja 3</w:t>
      </w:r>
      <w:r w:rsidRPr="00D77385">
        <w:rPr>
          <w:szCs w:val="24"/>
        </w:rPr>
        <w:t xml:space="preserve"> sätestatule ning tellija tasub nende eest vastavalt lepingule. </w:t>
      </w:r>
    </w:p>
    <w:p w14:paraId="6FFBB89E" w14:textId="5EF1233C" w:rsidR="00EE446C" w:rsidRDefault="00A31081" w:rsidP="00EE446C">
      <w:pPr>
        <w:numPr>
          <w:ilvl w:val="1"/>
          <w:numId w:val="11"/>
        </w:numPr>
        <w:tabs>
          <w:tab w:val="left" w:pos="426"/>
        </w:tabs>
        <w:ind w:left="426" w:hanging="426"/>
        <w:rPr>
          <w:szCs w:val="24"/>
        </w:rPr>
      </w:pPr>
      <w:r>
        <w:rPr>
          <w:szCs w:val="24"/>
        </w:rPr>
        <w:t>T</w:t>
      </w:r>
      <w:r w:rsidR="001D0A0E">
        <w:rPr>
          <w:szCs w:val="24"/>
        </w:rPr>
        <w:t xml:space="preserve">ööde teostamise tähtaeg on </w:t>
      </w:r>
      <w:r w:rsidR="009A3A03" w:rsidRPr="00237BE6">
        <w:rPr>
          <w:szCs w:val="24"/>
        </w:rPr>
        <w:t>30.09.202</w:t>
      </w:r>
      <w:r w:rsidR="006E569C">
        <w:rPr>
          <w:szCs w:val="24"/>
        </w:rPr>
        <w:t>5</w:t>
      </w:r>
      <w:r w:rsidR="00C70307" w:rsidRPr="00237BE6">
        <w:rPr>
          <w:szCs w:val="24"/>
        </w:rPr>
        <w:t>.</w:t>
      </w:r>
    </w:p>
    <w:p w14:paraId="07B622B0" w14:textId="5ADF3FE3" w:rsidR="001D03A7" w:rsidRPr="00AD5322" w:rsidRDefault="001D03A7" w:rsidP="001D03A7">
      <w:pPr>
        <w:numPr>
          <w:ilvl w:val="1"/>
          <w:numId w:val="11"/>
        </w:numPr>
        <w:tabs>
          <w:tab w:val="left" w:pos="426"/>
        </w:tabs>
        <w:ind w:left="426" w:hanging="426"/>
        <w:rPr>
          <w:szCs w:val="24"/>
        </w:rPr>
      </w:pPr>
      <w:r w:rsidRPr="00AD5322">
        <w:rPr>
          <w:szCs w:val="24"/>
        </w:rPr>
        <w:t xml:space="preserve">Detailne tööde ajakava ja projektiplaan on sätestatud </w:t>
      </w:r>
      <w:r w:rsidRPr="00237BE6">
        <w:rPr>
          <w:szCs w:val="24"/>
        </w:rPr>
        <w:t xml:space="preserve">lisas </w:t>
      </w:r>
      <w:r w:rsidR="000C3F6A">
        <w:rPr>
          <w:szCs w:val="24"/>
        </w:rPr>
        <w:t xml:space="preserve">2. </w:t>
      </w:r>
    </w:p>
    <w:p w14:paraId="26E6877A" w14:textId="4D0659F6" w:rsidR="00EE446C" w:rsidRPr="001D03A7" w:rsidRDefault="00EE446C" w:rsidP="001D03A7">
      <w:pPr>
        <w:numPr>
          <w:ilvl w:val="1"/>
          <w:numId w:val="11"/>
        </w:numPr>
        <w:tabs>
          <w:tab w:val="left" w:pos="426"/>
        </w:tabs>
        <w:ind w:left="426" w:hanging="426"/>
        <w:rPr>
          <w:szCs w:val="24"/>
        </w:rPr>
      </w:pPr>
      <w:r w:rsidRPr="001D03A7">
        <w:rPr>
          <w:szCs w:val="24"/>
        </w:rPr>
        <w:t>Töö</w:t>
      </w:r>
      <w:r w:rsidR="00513FA9" w:rsidRPr="001D03A7">
        <w:rPr>
          <w:szCs w:val="24"/>
        </w:rPr>
        <w:t xml:space="preserve"> peab sisaldama järgmisi tegevusi</w:t>
      </w:r>
      <w:r w:rsidRPr="001D03A7">
        <w:rPr>
          <w:szCs w:val="24"/>
        </w:rPr>
        <w:t>:</w:t>
      </w:r>
    </w:p>
    <w:p w14:paraId="309AFE55" w14:textId="14052FF1" w:rsidR="00513FA9" w:rsidRDefault="00DA0156" w:rsidP="00513FA9">
      <w:pPr>
        <w:numPr>
          <w:ilvl w:val="2"/>
          <w:numId w:val="11"/>
        </w:numPr>
        <w:rPr>
          <w:szCs w:val="24"/>
        </w:rPr>
      </w:pPr>
      <w:r>
        <w:rPr>
          <w:szCs w:val="24"/>
        </w:rPr>
        <w:t>küsimustiku kohandamine ja ettevalmistamine;</w:t>
      </w:r>
    </w:p>
    <w:p w14:paraId="062DA9CD" w14:textId="12D0AE0C" w:rsidR="009A3A03" w:rsidRDefault="009A3A03" w:rsidP="00513FA9">
      <w:pPr>
        <w:numPr>
          <w:ilvl w:val="2"/>
          <w:numId w:val="11"/>
        </w:numPr>
        <w:rPr>
          <w:szCs w:val="24"/>
        </w:rPr>
      </w:pPr>
      <w:r w:rsidRPr="009A3A03">
        <w:rPr>
          <w:szCs w:val="24"/>
        </w:rPr>
        <w:t xml:space="preserve">küsimustiku </w:t>
      </w:r>
      <w:proofErr w:type="spellStart"/>
      <w:r w:rsidRPr="009A3A03">
        <w:rPr>
          <w:szCs w:val="24"/>
        </w:rPr>
        <w:t>veebistamine</w:t>
      </w:r>
      <w:proofErr w:type="spellEnd"/>
      <w:r>
        <w:rPr>
          <w:szCs w:val="24"/>
        </w:rPr>
        <w:t>;</w:t>
      </w:r>
    </w:p>
    <w:p w14:paraId="5A6D1D03" w14:textId="4B8756B1" w:rsidR="00513FA9" w:rsidRDefault="00DA0156" w:rsidP="00513FA9">
      <w:pPr>
        <w:numPr>
          <w:ilvl w:val="2"/>
          <w:numId w:val="11"/>
        </w:numPr>
        <w:rPr>
          <w:szCs w:val="24"/>
        </w:rPr>
      </w:pPr>
      <w:r>
        <w:rPr>
          <w:szCs w:val="24"/>
        </w:rPr>
        <w:t xml:space="preserve">uuringu (elektrooniline küsitlus) läbiviimine Siseministeeriumi infotehnoloogia- ja arenduskeskuse </w:t>
      </w:r>
      <w:r w:rsidR="00D77385">
        <w:rPr>
          <w:szCs w:val="24"/>
        </w:rPr>
        <w:t>klientide</w:t>
      </w:r>
      <w:r>
        <w:rPr>
          <w:szCs w:val="24"/>
        </w:rPr>
        <w:t xml:space="preserve"> seas;</w:t>
      </w:r>
    </w:p>
    <w:p w14:paraId="431903D6" w14:textId="7316EAC8" w:rsidR="00DA0156" w:rsidRDefault="00DA0156" w:rsidP="00513FA9">
      <w:pPr>
        <w:numPr>
          <w:ilvl w:val="2"/>
          <w:numId w:val="11"/>
        </w:numPr>
        <w:rPr>
          <w:szCs w:val="24"/>
        </w:rPr>
      </w:pPr>
      <w:r>
        <w:rPr>
          <w:szCs w:val="24"/>
        </w:rPr>
        <w:lastRenderedPageBreak/>
        <w:t>tulemuste analüüs, sealhulgas võrdlus varasemate uuringutulemustega ning raportite koostamine;</w:t>
      </w:r>
    </w:p>
    <w:p w14:paraId="583F30E6" w14:textId="5139E9A0" w:rsidR="001706F5" w:rsidRDefault="00DA0156" w:rsidP="00DA0156">
      <w:pPr>
        <w:numPr>
          <w:ilvl w:val="2"/>
          <w:numId w:val="11"/>
        </w:numPr>
        <w:rPr>
          <w:szCs w:val="24"/>
        </w:rPr>
      </w:pPr>
      <w:r>
        <w:rPr>
          <w:szCs w:val="24"/>
        </w:rPr>
        <w:t>tulemuste esitlus</w:t>
      </w:r>
      <w:r w:rsidR="001706F5">
        <w:rPr>
          <w:szCs w:val="24"/>
        </w:rPr>
        <w:t>;</w:t>
      </w:r>
    </w:p>
    <w:p w14:paraId="1F513400" w14:textId="7E02F231" w:rsidR="00DA0156" w:rsidRPr="00B34CD8" w:rsidRDefault="001706F5" w:rsidP="00DA0156">
      <w:pPr>
        <w:numPr>
          <w:ilvl w:val="2"/>
          <w:numId w:val="11"/>
        </w:numPr>
        <w:rPr>
          <w:szCs w:val="24"/>
        </w:rPr>
      </w:pPr>
      <w:r>
        <w:rPr>
          <w:szCs w:val="24"/>
        </w:rPr>
        <w:t>t</w:t>
      </w:r>
      <w:r w:rsidRPr="001706F5">
        <w:rPr>
          <w:szCs w:val="24"/>
        </w:rPr>
        <w:t>ellija konsulteerimine projekti kestel jooksvates küsimustes</w:t>
      </w:r>
      <w:r w:rsidR="00DA0156">
        <w:rPr>
          <w:szCs w:val="24"/>
        </w:rPr>
        <w:t xml:space="preserve">. </w:t>
      </w:r>
    </w:p>
    <w:p w14:paraId="50A63297" w14:textId="1114FFA3" w:rsidR="00513FA9" w:rsidRPr="00AD5322" w:rsidRDefault="001D03A7" w:rsidP="00513FA9">
      <w:pPr>
        <w:numPr>
          <w:ilvl w:val="1"/>
          <w:numId w:val="11"/>
        </w:numPr>
        <w:ind w:left="426" w:hanging="426"/>
        <w:rPr>
          <w:szCs w:val="24"/>
        </w:rPr>
      </w:pPr>
      <w:r w:rsidRPr="00AD5322">
        <w:rPr>
          <w:szCs w:val="24"/>
        </w:rPr>
        <w:t>Tulem</w:t>
      </w:r>
      <w:r w:rsidR="008C73D5" w:rsidRPr="00AD5322">
        <w:rPr>
          <w:szCs w:val="24"/>
        </w:rPr>
        <w:t>i</w:t>
      </w:r>
      <w:r w:rsidRPr="00AD5322">
        <w:rPr>
          <w:szCs w:val="24"/>
        </w:rPr>
        <w:t xml:space="preserve"> analüüs</w:t>
      </w:r>
      <w:r w:rsidR="00EE446C" w:rsidRPr="00AD5322">
        <w:rPr>
          <w:szCs w:val="24"/>
        </w:rPr>
        <w:t xml:space="preserve"> antakse täitjalt tellijale üle üleandmis-vastuvõtmisakti alusel</w:t>
      </w:r>
      <w:r w:rsidRPr="00AD5322">
        <w:rPr>
          <w:szCs w:val="24"/>
        </w:rPr>
        <w:t xml:space="preserve"> pärast projekti lõppu.</w:t>
      </w:r>
    </w:p>
    <w:p w14:paraId="7A3CD12F" w14:textId="7942015F" w:rsidR="00513FA9" w:rsidRDefault="00513FA9" w:rsidP="00513FA9">
      <w:pPr>
        <w:numPr>
          <w:ilvl w:val="1"/>
          <w:numId w:val="11"/>
        </w:numPr>
        <w:ind w:left="426" w:hanging="426"/>
        <w:rPr>
          <w:szCs w:val="24"/>
        </w:rPr>
      </w:pPr>
      <w:r w:rsidRPr="00513FA9">
        <w:rPr>
          <w:szCs w:val="24"/>
        </w:rPr>
        <w:t xml:space="preserve">Täitja on kohustatud tegema lepingu punktis 2.1 nimetatud töö isiklikult. Teised isikud võib töö tegemisse kaasata </w:t>
      </w:r>
      <w:r w:rsidR="000C3F6A">
        <w:rPr>
          <w:szCs w:val="24"/>
        </w:rPr>
        <w:t>üksnes</w:t>
      </w:r>
      <w:r w:rsidR="000C3F6A" w:rsidRPr="00513FA9">
        <w:rPr>
          <w:szCs w:val="24"/>
        </w:rPr>
        <w:t xml:space="preserve"> </w:t>
      </w:r>
      <w:r w:rsidR="00C11AAF">
        <w:rPr>
          <w:szCs w:val="24"/>
        </w:rPr>
        <w:t xml:space="preserve">tellija poolt </w:t>
      </w:r>
      <w:r w:rsidR="000C3F6A">
        <w:rPr>
          <w:szCs w:val="24"/>
        </w:rPr>
        <w:t>kirjalikku taasesitamist võimaldavas vormis antud nõusolekul</w:t>
      </w:r>
      <w:r w:rsidRPr="00513FA9">
        <w:rPr>
          <w:szCs w:val="24"/>
        </w:rPr>
        <w:t>.</w:t>
      </w:r>
    </w:p>
    <w:p w14:paraId="1C32CA5A" w14:textId="109333F4" w:rsidR="00513FA9" w:rsidRPr="00513FA9" w:rsidRDefault="00513FA9" w:rsidP="00513FA9">
      <w:pPr>
        <w:numPr>
          <w:ilvl w:val="1"/>
          <w:numId w:val="11"/>
        </w:numPr>
        <w:ind w:left="426" w:hanging="426"/>
        <w:rPr>
          <w:szCs w:val="24"/>
        </w:rPr>
      </w:pPr>
      <w:r w:rsidRPr="00513FA9">
        <w:rPr>
          <w:szCs w:val="24"/>
        </w:rPr>
        <w:t>Lepingus ja selle lisades sätestatud tähtajad ja tähtpäevad on lõplikud ning võivad muutuda üksnes poolte eelneval kirjalikul kokkuleppel.</w:t>
      </w:r>
    </w:p>
    <w:p w14:paraId="38431F64" w14:textId="77777777" w:rsidR="00EE446C" w:rsidRPr="00605906" w:rsidRDefault="00EE446C" w:rsidP="00EE446C">
      <w:pPr>
        <w:ind w:left="1080"/>
        <w:rPr>
          <w:szCs w:val="24"/>
        </w:rPr>
      </w:pPr>
    </w:p>
    <w:p w14:paraId="02181905" w14:textId="77777777" w:rsidR="00EE446C" w:rsidRPr="00605906" w:rsidRDefault="00EE446C" w:rsidP="00EE446C">
      <w:pPr>
        <w:pStyle w:val="ListParagraph"/>
        <w:numPr>
          <w:ilvl w:val="0"/>
          <w:numId w:val="10"/>
        </w:numPr>
        <w:spacing w:after="0" w:line="240" w:lineRule="auto"/>
        <w:ind w:left="426" w:hanging="426"/>
        <w:jc w:val="both"/>
        <w:rPr>
          <w:rFonts w:ascii="Times New Roman" w:hAnsi="Times New Roman" w:cs="Times New Roman"/>
          <w:b/>
          <w:sz w:val="24"/>
          <w:szCs w:val="24"/>
        </w:rPr>
      </w:pPr>
      <w:r w:rsidRPr="00605906">
        <w:rPr>
          <w:rFonts w:ascii="Times New Roman" w:hAnsi="Times New Roman" w:cs="Times New Roman"/>
          <w:b/>
          <w:sz w:val="24"/>
          <w:szCs w:val="24"/>
        </w:rPr>
        <w:t>Lepingu täitmise üldised põhimõtted</w:t>
      </w:r>
    </w:p>
    <w:p w14:paraId="7184988D" w14:textId="77777777" w:rsidR="00EE446C" w:rsidRPr="00605906"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 xml:space="preserve">Tellijal on õigus igal ajal lepingu täitmise käigus kokku kutsuda koosolekuid, kus täpsustatakse  töökorraldust, projektijuhtimist, tellija ja täitja ootuseid </w:t>
      </w:r>
      <w:proofErr w:type="spellStart"/>
      <w:r w:rsidRPr="00605906">
        <w:rPr>
          <w:rFonts w:ascii="Times New Roman" w:hAnsi="Times New Roman" w:cs="Times New Roman"/>
          <w:sz w:val="24"/>
          <w:szCs w:val="24"/>
        </w:rPr>
        <w:t>vmt</w:t>
      </w:r>
      <w:proofErr w:type="spellEnd"/>
      <w:r w:rsidRPr="00605906">
        <w:rPr>
          <w:rFonts w:ascii="Times New Roman" w:hAnsi="Times New Roman" w:cs="Times New Roman"/>
          <w:sz w:val="24"/>
          <w:szCs w:val="24"/>
        </w:rPr>
        <w:t>.</w:t>
      </w:r>
    </w:p>
    <w:p w14:paraId="06DD3ADC" w14:textId="77777777" w:rsidR="00EE446C" w:rsidRPr="00605906"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Tellija on kohustatud kõikidele täitja lepingu täitmisega seotud põhjendatud küsimustele vastama mõistliku aja jooksul. Juhul, kui küsimusele vastamine nõuab tellijalt pikemat analüüsimist, on tellija kohustatud andma täpse kuupäeva, millal tagasisidet antakse.</w:t>
      </w:r>
    </w:p>
    <w:p w14:paraId="7027C809" w14:textId="1DD9E7E3" w:rsidR="00EE446C"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Täitja peab lepingu täitmisel juhinduma tellija poolt edastatud juhistest. Vastuolude tekkimisel peab täitja sellest koheselt teavitama tellija kontaktisikut ning lepingu täitmisel lähtuma tellija vastavatest juhistest.</w:t>
      </w:r>
    </w:p>
    <w:p w14:paraId="3EE29A30" w14:textId="10539498" w:rsidR="00BC415B" w:rsidRPr="00BC415B" w:rsidRDefault="00BC415B" w:rsidP="00BC415B">
      <w:pPr>
        <w:pStyle w:val="ListParagraph"/>
        <w:numPr>
          <w:ilvl w:val="1"/>
          <w:numId w:val="10"/>
        </w:numPr>
        <w:rPr>
          <w:rFonts w:ascii="Times New Roman" w:hAnsi="Times New Roman" w:cs="Times New Roman"/>
          <w:sz w:val="24"/>
          <w:szCs w:val="24"/>
        </w:rPr>
      </w:pPr>
      <w:r w:rsidRPr="00BC415B">
        <w:rPr>
          <w:rFonts w:ascii="Times New Roman" w:hAnsi="Times New Roman" w:cs="Times New Roman"/>
          <w:sz w:val="24"/>
          <w:szCs w:val="24"/>
        </w:rPr>
        <w:t xml:space="preserve">Täitja on kohustatud: </w:t>
      </w:r>
    </w:p>
    <w:p w14:paraId="7A5118F9" w14:textId="5017913D" w:rsidR="00BC415B" w:rsidRPr="00BC415B" w:rsidRDefault="00BC415B" w:rsidP="00F14B3F">
      <w:pPr>
        <w:pStyle w:val="ListParagraph"/>
        <w:numPr>
          <w:ilvl w:val="2"/>
          <w:numId w:val="10"/>
        </w:numPr>
        <w:jc w:val="both"/>
        <w:rPr>
          <w:rFonts w:ascii="Times New Roman" w:hAnsi="Times New Roman" w:cs="Times New Roman"/>
          <w:sz w:val="24"/>
          <w:szCs w:val="24"/>
        </w:rPr>
      </w:pPr>
      <w:r w:rsidRPr="00BC415B">
        <w:rPr>
          <w:rFonts w:ascii="Times New Roman" w:hAnsi="Times New Roman" w:cs="Times New Roman"/>
          <w:sz w:val="24"/>
          <w:szCs w:val="24"/>
        </w:rPr>
        <w:t xml:space="preserve">koguma ja hoidma talle uuringu läbiviimiseks edastatud klientide kontaktlisti, vastuseid ja isikustatud ankeete </w:t>
      </w:r>
      <w:r w:rsidR="00C450AC">
        <w:rPr>
          <w:rFonts w:ascii="Times New Roman" w:hAnsi="Times New Roman" w:cs="Times New Roman"/>
          <w:sz w:val="24"/>
          <w:szCs w:val="24"/>
        </w:rPr>
        <w:t>turvalises keskkonnas. Otsene</w:t>
      </w:r>
      <w:r w:rsidRPr="00BC415B">
        <w:rPr>
          <w:rFonts w:ascii="Times New Roman" w:hAnsi="Times New Roman" w:cs="Times New Roman"/>
          <w:sz w:val="24"/>
          <w:szCs w:val="24"/>
        </w:rPr>
        <w:t xml:space="preserve"> juurdepääs andmetele on üksnes projektiga otseselt seotud töötajatel;</w:t>
      </w:r>
    </w:p>
    <w:p w14:paraId="4BA1BE10" w14:textId="1FBD632B" w:rsidR="00BC415B" w:rsidRDefault="00BC415B" w:rsidP="00F14B3F">
      <w:pPr>
        <w:pStyle w:val="ListParagraph"/>
        <w:numPr>
          <w:ilvl w:val="2"/>
          <w:numId w:val="10"/>
        </w:numPr>
        <w:spacing w:after="0" w:line="240" w:lineRule="auto"/>
        <w:jc w:val="both"/>
        <w:rPr>
          <w:rFonts w:ascii="Times New Roman" w:hAnsi="Times New Roman" w:cs="Times New Roman"/>
          <w:sz w:val="24"/>
          <w:szCs w:val="24"/>
        </w:rPr>
      </w:pPr>
      <w:r w:rsidRPr="00BC415B">
        <w:rPr>
          <w:rFonts w:ascii="Times New Roman" w:hAnsi="Times New Roman" w:cs="Times New Roman"/>
          <w:sz w:val="24"/>
          <w:szCs w:val="24"/>
        </w:rPr>
        <w:t>tagama analüüsitavate andmete kaitstuse</w:t>
      </w:r>
      <w:r w:rsidR="00237BE6">
        <w:rPr>
          <w:rFonts w:ascii="Times New Roman" w:hAnsi="Times New Roman" w:cs="Times New Roman"/>
          <w:sz w:val="24"/>
          <w:szCs w:val="24"/>
        </w:rPr>
        <w:t>;</w:t>
      </w:r>
    </w:p>
    <w:p w14:paraId="2746B2FB" w14:textId="423FBCDB" w:rsidR="00BC415B" w:rsidRPr="00605906" w:rsidRDefault="007A2AEF" w:rsidP="00F14B3F">
      <w:pPr>
        <w:pStyle w:val="ListParagraph"/>
        <w:numPr>
          <w:ilvl w:val="2"/>
          <w:numId w:val="10"/>
        </w:numPr>
        <w:spacing w:after="0" w:line="240" w:lineRule="auto"/>
        <w:jc w:val="both"/>
        <w:rPr>
          <w:rFonts w:ascii="Times New Roman" w:hAnsi="Times New Roman" w:cs="Times New Roman"/>
          <w:sz w:val="24"/>
          <w:szCs w:val="24"/>
        </w:rPr>
      </w:pPr>
      <w:r w:rsidRPr="007A2AEF">
        <w:rPr>
          <w:rFonts w:ascii="Times New Roman" w:hAnsi="Times New Roman" w:cs="Times New Roman"/>
          <w:sz w:val="24"/>
          <w:szCs w:val="24"/>
        </w:rPr>
        <w:t>kustutama talle uuringu läbiviimiseks edastatud klientide kontaktlisti, vastused ja isikustatud ankeedid 1 kuu jooksul pärast lepingu lõppemist</w:t>
      </w:r>
      <w:r>
        <w:rPr>
          <w:rFonts w:ascii="Times New Roman" w:hAnsi="Times New Roman" w:cs="Times New Roman"/>
          <w:sz w:val="24"/>
          <w:szCs w:val="24"/>
        </w:rPr>
        <w:t>.</w:t>
      </w:r>
    </w:p>
    <w:p w14:paraId="4131F15D" w14:textId="7C207661" w:rsidR="00EE446C" w:rsidRPr="00605906"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 xml:space="preserve">Tellijal on õigus igal ajal kontrollida tööde vastavust lepingule ning nõuda täitjalt informatsiooni lepingu täitmise kohta. Tellija nõudmisel kohustub täitja jooksvalt andma ülevaate ja esitlema juba teostatud või teostamisel olevaid töid.  </w:t>
      </w:r>
    </w:p>
    <w:p w14:paraId="3785A872" w14:textId="02CD97EE" w:rsidR="00F50E8C" w:rsidRDefault="00EE446C" w:rsidP="00F50E8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 xml:space="preserve">Pretensioonid töö teostamise efektiivsuse ja kvaliteedi kohta annab tellija teada täitja kontaktisikule. Olulises ulatuses või korduvaid kõrvalekaldeid tellija juhiste järgimata jätmisel või ülesannete teostamisel loetakse lepingu rikkumiseks. </w:t>
      </w:r>
    </w:p>
    <w:p w14:paraId="08C0AD54" w14:textId="23601155" w:rsidR="00F50E8C" w:rsidRPr="00F50E8C" w:rsidRDefault="00F50E8C" w:rsidP="00F50E8C">
      <w:pPr>
        <w:pStyle w:val="ListParagraph"/>
        <w:numPr>
          <w:ilvl w:val="1"/>
          <w:numId w:val="10"/>
        </w:numPr>
        <w:spacing w:after="0" w:line="240" w:lineRule="auto"/>
        <w:ind w:left="426" w:hanging="426"/>
        <w:jc w:val="both"/>
        <w:rPr>
          <w:rFonts w:ascii="Times New Roman" w:hAnsi="Times New Roman" w:cs="Times New Roman"/>
          <w:sz w:val="24"/>
          <w:szCs w:val="24"/>
        </w:rPr>
      </w:pPr>
      <w:r w:rsidRPr="00F50E8C">
        <w:rPr>
          <w:rFonts w:ascii="Times New Roman" w:hAnsi="Times New Roman" w:cs="Times New Roman"/>
          <w:sz w:val="24"/>
          <w:szCs w:val="24"/>
        </w:rPr>
        <w:t>Teenuse osutaja kohustub tagama veebipõhise küsitlussüsteemi tõrgeteta töötamise küsitluse ajal. Rikete ilmnemisel kohustub teenuse osutaja korraldama nende kõrvaldamise võimalikult kiiresti ning korraldama uuringu lõpuleviimise tellija jaoks optimaalsel viisil.</w:t>
      </w:r>
    </w:p>
    <w:p w14:paraId="2F3DEEA3" w14:textId="0EFB00BD" w:rsidR="00F50E8C" w:rsidRPr="00F50E8C" w:rsidRDefault="00F50E8C" w:rsidP="00F50E8C">
      <w:pPr>
        <w:pStyle w:val="ListParagraph"/>
        <w:numPr>
          <w:ilvl w:val="1"/>
          <w:numId w:val="10"/>
        </w:numPr>
        <w:ind w:left="426" w:hanging="426"/>
        <w:jc w:val="both"/>
        <w:rPr>
          <w:rFonts w:ascii="Times New Roman" w:hAnsi="Times New Roman" w:cs="Times New Roman"/>
          <w:sz w:val="24"/>
          <w:szCs w:val="24"/>
        </w:rPr>
      </w:pPr>
      <w:r w:rsidRPr="00F50E8C">
        <w:rPr>
          <w:rFonts w:ascii="Times New Roman" w:hAnsi="Times New Roman" w:cs="Times New Roman"/>
          <w:sz w:val="24"/>
          <w:szCs w:val="24"/>
        </w:rPr>
        <w:t>Tellija kontaktisik annab juhiseid töö tegemiseks, tagab täitjale vajaliku teabe, kontrollib töö kvaliteeti, allkirjastab</w:t>
      </w:r>
      <w:r w:rsidR="008A3FD2">
        <w:rPr>
          <w:rFonts w:ascii="Times New Roman" w:hAnsi="Times New Roman" w:cs="Times New Roman"/>
          <w:sz w:val="24"/>
          <w:szCs w:val="24"/>
        </w:rPr>
        <w:t xml:space="preserve"> pärast projekti lõppu</w:t>
      </w:r>
      <w:r w:rsidRPr="00F50E8C">
        <w:rPr>
          <w:rFonts w:ascii="Times New Roman" w:hAnsi="Times New Roman" w:cs="Times New Roman"/>
          <w:sz w:val="24"/>
          <w:szCs w:val="24"/>
        </w:rPr>
        <w:t xml:space="preserve"> üleandmise-vastuvõtmise akti.</w:t>
      </w:r>
    </w:p>
    <w:p w14:paraId="53C7CB10" w14:textId="5417C719" w:rsidR="00EE446C" w:rsidRPr="00F50E8C" w:rsidRDefault="00EE446C" w:rsidP="007E20E1">
      <w:pPr>
        <w:pStyle w:val="ListParagraph"/>
        <w:numPr>
          <w:ilvl w:val="1"/>
          <w:numId w:val="10"/>
        </w:numPr>
        <w:spacing w:after="0" w:line="240" w:lineRule="auto"/>
        <w:ind w:left="426" w:hanging="426"/>
        <w:jc w:val="both"/>
        <w:rPr>
          <w:rFonts w:ascii="Times New Roman" w:hAnsi="Times New Roman" w:cs="Times New Roman"/>
          <w:sz w:val="24"/>
          <w:szCs w:val="24"/>
        </w:rPr>
      </w:pPr>
      <w:r w:rsidRPr="00F50E8C">
        <w:rPr>
          <w:rFonts w:ascii="Times New Roman" w:hAnsi="Times New Roman" w:cs="Times New Roman"/>
          <w:sz w:val="24"/>
          <w:szCs w:val="24"/>
        </w:rPr>
        <w:t>Kõik kokkulepped lepingu täitmise osas sõlmitakse kirjalikku taasesitamist võimaldavas vormis lepingu kontaktisikute vahel.</w:t>
      </w:r>
    </w:p>
    <w:p w14:paraId="32C60A6B" w14:textId="77777777" w:rsidR="00EE446C" w:rsidRPr="00605906" w:rsidRDefault="00EE446C" w:rsidP="00EE446C">
      <w:pPr>
        <w:rPr>
          <w:szCs w:val="24"/>
        </w:rPr>
      </w:pPr>
    </w:p>
    <w:p w14:paraId="4312B9D4" w14:textId="0386608B" w:rsidR="00EE446C" w:rsidRPr="002B0D3B" w:rsidRDefault="00EE446C" w:rsidP="002B0D3B">
      <w:pPr>
        <w:pStyle w:val="ListParagraph"/>
        <w:numPr>
          <w:ilvl w:val="0"/>
          <w:numId w:val="10"/>
        </w:numPr>
        <w:spacing w:after="0" w:line="240" w:lineRule="auto"/>
        <w:ind w:left="426" w:hanging="426"/>
        <w:jc w:val="both"/>
        <w:rPr>
          <w:rFonts w:ascii="Times New Roman" w:hAnsi="Times New Roman" w:cs="Times New Roman"/>
          <w:b/>
          <w:sz w:val="24"/>
          <w:szCs w:val="24"/>
        </w:rPr>
      </w:pPr>
      <w:r w:rsidRPr="00605906">
        <w:rPr>
          <w:rFonts w:ascii="Times New Roman" w:hAnsi="Times New Roman" w:cs="Times New Roman"/>
          <w:b/>
          <w:sz w:val="24"/>
          <w:szCs w:val="24"/>
        </w:rPr>
        <w:t>Maksumus ja arveldamine</w:t>
      </w:r>
    </w:p>
    <w:p w14:paraId="21B6542C" w14:textId="4C521990" w:rsidR="002B0D3B" w:rsidRDefault="002B0D3B" w:rsidP="0058405F">
      <w:pPr>
        <w:pStyle w:val="ListParagraph"/>
        <w:numPr>
          <w:ilvl w:val="1"/>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Lepingu kogumaksumus on </w:t>
      </w:r>
      <w:r w:rsidR="001A3A6C" w:rsidRPr="001A3A6C">
        <w:rPr>
          <w:rFonts w:ascii="Times New Roman" w:hAnsi="Times New Roman" w:cs="Times New Roman"/>
          <w:b/>
          <w:bCs/>
          <w:sz w:val="24"/>
          <w:szCs w:val="24"/>
        </w:rPr>
        <w:t>{Summa}</w:t>
      </w:r>
      <w:r w:rsidR="001A3A6C" w:rsidRPr="001A3A6C">
        <w:rPr>
          <w:rFonts w:ascii="Times New Roman" w:hAnsi="Times New Roman" w:cs="Times New Roman"/>
          <w:sz w:val="24"/>
          <w:szCs w:val="24"/>
        </w:rPr>
        <w:t xml:space="preserve"> </w:t>
      </w:r>
      <w:r w:rsidRPr="002B0D3B">
        <w:rPr>
          <w:rFonts w:ascii="Times New Roman" w:hAnsi="Times New Roman" w:cs="Times New Roman"/>
          <w:b/>
          <w:bCs/>
          <w:sz w:val="24"/>
          <w:szCs w:val="24"/>
        </w:rPr>
        <w:t>eurot</w:t>
      </w:r>
      <w:r w:rsidRPr="002B0D3B">
        <w:rPr>
          <w:rFonts w:ascii="Times New Roman" w:hAnsi="Times New Roman" w:cs="Times New Roman"/>
          <w:sz w:val="24"/>
          <w:szCs w:val="24"/>
        </w:rPr>
        <w:t xml:space="preserve"> (lisandub käibemaks), sisaldades ka kõiki intellektuaalomandiga seotud tasusid</w:t>
      </w:r>
      <w:r w:rsidR="00E31652">
        <w:rPr>
          <w:rFonts w:ascii="Times New Roman" w:hAnsi="Times New Roman" w:cs="Times New Roman"/>
          <w:sz w:val="24"/>
          <w:szCs w:val="24"/>
        </w:rPr>
        <w:t>.</w:t>
      </w:r>
    </w:p>
    <w:p w14:paraId="7DF61F4C" w14:textId="06661AF1" w:rsidR="0058405F" w:rsidRDefault="00EE446C" w:rsidP="0058405F">
      <w:pPr>
        <w:pStyle w:val="ListParagraph"/>
        <w:numPr>
          <w:ilvl w:val="1"/>
          <w:numId w:val="10"/>
        </w:numPr>
        <w:spacing w:after="0" w:line="240" w:lineRule="auto"/>
        <w:ind w:left="426" w:hanging="426"/>
        <w:jc w:val="both"/>
        <w:rPr>
          <w:rFonts w:ascii="Times New Roman" w:hAnsi="Times New Roman" w:cs="Times New Roman"/>
          <w:sz w:val="24"/>
          <w:szCs w:val="24"/>
        </w:rPr>
      </w:pPr>
      <w:r w:rsidRPr="0058405F">
        <w:rPr>
          <w:rFonts w:ascii="Times New Roman" w:hAnsi="Times New Roman" w:cs="Times New Roman"/>
          <w:sz w:val="24"/>
          <w:szCs w:val="24"/>
        </w:rPr>
        <w:t xml:space="preserve">Tasumine toimub </w:t>
      </w:r>
      <w:r w:rsidR="004846BD" w:rsidRPr="0058405F">
        <w:rPr>
          <w:rFonts w:ascii="Times New Roman" w:hAnsi="Times New Roman" w:cs="Times New Roman"/>
          <w:sz w:val="24"/>
          <w:szCs w:val="24"/>
        </w:rPr>
        <w:t>töö</w:t>
      </w:r>
      <w:r w:rsidRPr="0058405F">
        <w:rPr>
          <w:rFonts w:ascii="Times New Roman" w:hAnsi="Times New Roman" w:cs="Times New Roman"/>
          <w:sz w:val="24"/>
          <w:szCs w:val="24"/>
        </w:rPr>
        <w:t xml:space="preserve"> üleandmisel pärast tellija ja täitja poolset tööde üleandmis-vastuvõtmisakti allkirjastamist, täitja sellekohase arve alusel.</w:t>
      </w:r>
    </w:p>
    <w:p w14:paraId="09098B43" w14:textId="77777777" w:rsidR="00EA31F3" w:rsidRPr="00AE67BE" w:rsidRDefault="00EA31F3" w:rsidP="00EA31F3">
      <w:pPr>
        <w:pStyle w:val="ListParagraph"/>
        <w:numPr>
          <w:ilvl w:val="1"/>
          <w:numId w:val="10"/>
        </w:numPr>
        <w:rPr>
          <w:rFonts w:ascii="Times New Roman" w:hAnsi="Times New Roman" w:cs="Times New Roman"/>
          <w:sz w:val="24"/>
          <w:szCs w:val="24"/>
        </w:rPr>
      </w:pPr>
      <w:r w:rsidRPr="00AE67BE">
        <w:rPr>
          <w:rFonts w:ascii="Times New Roman" w:hAnsi="Times New Roman" w:cs="Times New Roman"/>
          <w:sz w:val="24"/>
          <w:szCs w:val="24"/>
        </w:rPr>
        <w:t xml:space="preserve">Tellija tasub teostatud tööde eest järgmiselt: </w:t>
      </w:r>
    </w:p>
    <w:p w14:paraId="4E3031F3" w14:textId="5946BE95" w:rsidR="00EA31F3" w:rsidRPr="00AE67BE" w:rsidRDefault="00EA31F3" w:rsidP="00EA31F3">
      <w:pPr>
        <w:pStyle w:val="ListParagraph"/>
        <w:numPr>
          <w:ilvl w:val="2"/>
          <w:numId w:val="10"/>
        </w:numPr>
        <w:rPr>
          <w:rFonts w:ascii="Times New Roman" w:hAnsi="Times New Roman" w:cs="Times New Roman"/>
          <w:sz w:val="24"/>
          <w:szCs w:val="24"/>
        </w:rPr>
      </w:pPr>
      <w:r w:rsidRPr="00FD2CFE">
        <w:rPr>
          <w:rFonts w:ascii="Times New Roman" w:hAnsi="Times New Roman" w:cs="Times New Roman"/>
          <w:sz w:val="24"/>
          <w:szCs w:val="24"/>
        </w:rPr>
        <w:t>pärast veebiankeetide väljasaatmist</w:t>
      </w:r>
      <w:r w:rsidR="004312B3">
        <w:rPr>
          <w:rFonts w:ascii="Times New Roman" w:hAnsi="Times New Roman" w:cs="Times New Roman"/>
          <w:sz w:val="24"/>
          <w:szCs w:val="24"/>
        </w:rPr>
        <w:t xml:space="preserve"> ja küsitluse vastamise tähtaja lõppu </w:t>
      </w:r>
      <w:r w:rsidR="00C11AAF">
        <w:rPr>
          <w:rFonts w:ascii="Times New Roman" w:hAnsi="Times New Roman" w:cs="Times New Roman"/>
          <w:sz w:val="24"/>
          <w:szCs w:val="24"/>
        </w:rPr>
        <w:t xml:space="preserve"> 50% lepingu kogumaksumusest</w:t>
      </w:r>
      <w:r w:rsidRPr="00FD2CFE">
        <w:rPr>
          <w:rFonts w:ascii="Times New Roman" w:hAnsi="Times New Roman" w:cs="Times New Roman"/>
          <w:sz w:val="24"/>
          <w:szCs w:val="24"/>
        </w:rPr>
        <w:t xml:space="preserve">, s.o </w:t>
      </w:r>
      <w:r>
        <w:rPr>
          <w:rFonts w:ascii="Times New Roman" w:hAnsi="Times New Roman" w:cs="Times New Roman"/>
          <w:color w:val="FF0000"/>
          <w:sz w:val="24"/>
          <w:szCs w:val="24"/>
        </w:rPr>
        <w:t>…</w:t>
      </w:r>
      <w:r w:rsidRPr="00EA31F3">
        <w:rPr>
          <w:rFonts w:ascii="Times New Roman" w:hAnsi="Times New Roman" w:cs="Times New Roman"/>
          <w:color w:val="FF0000"/>
          <w:sz w:val="24"/>
          <w:szCs w:val="24"/>
        </w:rPr>
        <w:t xml:space="preserve"> </w:t>
      </w:r>
      <w:r w:rsidRPr="00FD2CFE">
        <w:rPr>
          <w:rFonts w:ascii="Times New Roman" w:hAnsi="Times New Roman" w:cs="Times New Roman"/>
          <w:sz w:val="24"/>
          <w:szCs w:val="24"/>
        </w:rPr>
        <w:t>eurot (lisandub käibemaks);</w:t>
      </w:r>
    </w:p>
    <w:p w14:paraId="162448CD" w14:textId="4EA55C4E" w:rsidR="00EA31F3" w:rsidRPr="00EA31F3" w:rsidRDefault="00EA31F3" w:rsidP="00EA31F3">
      <w:pPr>
        <w:pStyle w:val="ListParagraph"/>
        <w:numPr>
          <w:ilvl w:val="2"/>
          <w:numId w:val="10"/>
        </w:numPr>
        <w:rPr>
          <w:rFonts w:ascii="Times New Roman" w:hAnsi="Times New Roman" w:cs="Times New Roman"/>
          <w:sz w:val="24"/>
          <w:szCs w:val="24"/>
        </w:rPr>
      </w:pPr>
      <w:r w:rsidRPr="00FD2CFE">
        <w:rPr>
          <w:rFonts w:ascii="Times New Roman" w:hAnsi="Times New Roman" w:cs="Times New Roman"/>
          <w:sz w:val="24"/>
          <w:szCs w:val="24"/>
        </w:rPr>
        <w:t>pärast tööde teostamist</w:t>
      </w:r>
      <w:r w:rsidR="00C11AAF">
        <w:rPr>
          <w:rFonts w:ascii="Times New Roman" w:hAnsi="Times New Roman" w:cs="Times New Roman"/>
          <w:sz w:val="24"/>
          <w:szCs w:val="24"/>
        </w:rPr>
        <w:t xml:space="preserve"> 50 % lepingu kogumaksumusest </w:t>
      </w:r>
      <w:r w:rsidRPr="00FD2CFE">
        <w:rPr>
          <w:rFonts w:ascii="Times New Roman" w:hAnsi="Times New Roman" w:cs="Times New Roman"/>
          <w:sz w:val="24"/>
          <w:szCs w:val="24"/>
        </w:rPr>
        <w:t xml:space="preserve">, s.o </w:t>
      </w:r>
      <w:r>
        <w:rPr>
          <w:rFonts w:ascii="Times New Roman" w:hAnsi="Times New Roman" w:cs="Times New Roman"/>
          <w:color w:val="FF0000"/>
          <w:sz w:val="24"/>
          <w:szCs w:val="24"/>
        </w:rPr>
        <w:t>…</w:t>
      </w:r>
      <w:r w:rsidRPr="00EA31F3">
        <w:rPr>
          <w:rFonts w:ascii="Times New Roman" w:hAnsi="Times New Roman" w:cs="Times New Roman"/>
          <w:color w:val="FF0000"/>
          <w:sz w:val="24"/>
          <w:szCs w:val="24"/>
        </w:rPr>
        <w:t xml:space="preserve"> </w:t>
      </w:r>
      <w:r w:rsidRPr="00FD2CFE">
        <w:rPr>
          <w:rFonts w:ascii="Times New Roman" w:hAnsi="Times New Roman" w:cs="Times New Roman"/>
          <w:sz w:val="24"/>
          <w:szCs w:val="24"/>
        </w:rPr>
        <w:t>eurot (lisandub käibemaks).</w:t>
      </w:r>
    </w:p>
    <w:p w14:paraId="58825C88" w14:textId="77777777" w:rsidR="0058405F" w:rsidRPr="0058405F" w:rsidRDefault="0058405F" w:rsidP="0058405F">
      <w:pPr>
        <w:pStyle w:val="ListParagraph"/>
        <w:numPr>
          <w:ilvl w:val="1"/>
          <w:numId w:val="10"/>
        </w:numPr>
        <w:spacing w:after="0" w:line="240" w:lineRule="auto"/>
        <w:ind w:left="426" w:hanging="426"/>
        <w:jc w:val="both"/>
        <w:rPr>
          <w:rFonts w:ascii="Times New Roman" w:hAnsi="Times New Roman" w:cs="Times New Roman"/>
          <w:sz w:val="24"/>
          <w:szCs w:val="24"/>
        </w:rPr>
      </w:pPr>
      <w:r w:rsidRPr="0058405F">
        <w:rPr>
          <w:rFonts w:ascii="Times New Roman" w:hAnsi="Times New Roman" w:cs="Times New Roman"/>
          <w:sz w:val="24"/>
          <w:szCs w:val="24"/>
        </w:rPr>
        <w:t xml:space="preserve">Teenuse osutaja saadab Siseministeeriumi infotehnoloogia- ja arenduskeskusele Eesti e-arve standardile vastavad e-arved. E-arves peab lisaks standardis nimetatud andmetele olema </w:t>
      </w:r>
      <w:r w:rsidRPr="0058405F">
        <w:rPr>
          <w:rFonts w:ascii="Times New Roman" w:hAnsi="Times New Roman" w:cs="Times New Roman"/>
          <w:sz w:val="24"/>
          <w:szCs w:val="24"/>
        </w:rPr>
        <w:lastRenderedPageBreak/>
        <w:t xml:space="preserve">toodud tellija kontaktisiku perekonnanimi ning lepingu number. E-arve tuleb saata e-arvete operaatori lahenduse kaudu ning loetakse laekunuks arve saaja e-arvete süsteemi laekumise kuupäevast. </w:t>
      </w:r>
    </w:p>
    <w:p w14:paraId="057135B5" w14:textId="1492A2F5" w:rsidR="00EE446C" w:rsidRPr="0058405F" w:rsidRDefault="0058405F" w:rsidP="0058405F">
      <w:pPr>
        <w:pStyle w:val="ListParagraph"/>
        <w:numPr>
          <w:ilvl w:val="1"/>
          <w:numId w:val="10"/>
        </w:numPr>
        <w:spacing w:after="0" w:line="240" w:lineRule="auto"/>
        <w:ind w:left="426" w:hanging="426"/>
        <w:jc w:val="both"/>
        <w:rPr>
          <w:rFonts w:ascii="Times New Roman" w:hAnsi="Times New Roman" w:cs="Times New Roman"/>
          <w:sz w:val="24"/>
          <w:szCs w:val="24"/>
        </w:rPr>
      </w:pPr>
      <w:r w:rsidRPr="0058405F">
        <w:rPr>
          <w:rFonts w:ascii="Times New Roman" w:hAnsi="Times New Roman" w:cs="Times New Roman"/>
          <w:sz w:val="24"/>
          <w:szCs w:val="24"/>
        </w:rPr>
        <w:t>Tingimustele mittevastav arve ei kuulu tasumisele.</w:t>
      </w:r>
    </w:p>
    <w:p w14:paraId="63260F35" w14:textId="34F1C0B3" w:rsidR="00EE446C" w:rsidRPr="0058405F"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58405F">
        <w:rPr>
          <w:rFonts w:ascii="Times New Roman" w:hAnsi="Times New Roman" w:cs="Times New Roman"/>
          <w:sz w:val="24"/>
          <w:szCs w:val="24"/>
        </w:rPr>
        <w:t xml:space="preserve">Arve tasumise tähtaeg on 21 </w:t>
      </w:r>
      <w:r w:rsidR="0058405F" w:rsidRPr="0058405F">
        <w:rPr>
          <w:rFonts w:ascii="Times New Roman" w:hAnsi="Times New Roman" w:cs="Times New Roman"/>
          <w:sz w:val="24"/>
          <w:szCs w:val="24"/>
        </w:rPr>
        <w:t xml:space="preserve">(kakskümmend üks) </w:t>
      </w:r>
      <w:r w:rsidRPr="0058405F">
        <w:rPr>
          <w:rFonts w:ascii="Times New Roman" w:hAnsi="Times New Roman" w:cs="Times New Roman"/>
          <w:sz w:val="24"/>
          <w:szCs w:val="24"/>
        </w:rPr>
        <w:t>kalendripäeva.</w:t>
      </w:r>
      <w:r w:rsidR="005F01DE" w:rsidRPr="0058405F">
        <w:rPr>
          <w:rFonts w:ascii="Times New Roman" w:hAnsi="Times New Roman" w:cs="Times New Roman"/>
          <w:sz w:val="24"/>
          <w:szCs w:val="24"/>
        </w:rPr>
        <w:t xml:space="preserve"> </w:t>
      </w:r>
    </w:p>
    <w:p w14:paraId="66CE80E4" w14:textId="77777777" w:rsidR="00EE446C" w:rsidRPr="00BA1145" w:rsidRDefault="00EE446C" w:rsidP="00BA1145">
      <w:pPr>
        <w:rPr>
          <w:szCs w:val="24"/>
        </w:rPr>
      </w:pPr>
    </w:p>
    <w:p w14:paraId="1B33A7A9" w14:textId="77777777" w:rsidR="00EE446C" w:rsidRPr="00913B70" w:rsidRDefault="00EE446C" w:rsidP="00EE446C">
      <w:pPr>
        <w:pStyle w:val="ListParagraph"/>
        <w:numPr>
          <w:ilvl w:val="0"/>
          <w:numId w:val="10"/>
        </w:numPr>
        <w:spacing w:after="0" w:line="240" w:lineRule="auto"/>
        <w:jc w:val="both"/>
        <w:rPr>
          <w:rFonts w:ascii="Times New Roman" w:hAnsi="Times New Roman" w:cs="Times New Roman"/>
          <w:sz w:val="24"/>
          <w:szCs w:val="24"/>
        </w:rPr>
      </w:pPr>
      <w:r w:rsidRPr="00913B70">
        <w:rPr>
          <w:rFonts w:ascii="Times New Roman" w:hAnsi="Times New Roman" w:cs="Times New Roman"/>
          <w:b/>
          <w:sz w:val="24"/>
          <w:szCs w:val="24"/>
        </w:rPr>
        <w:t>Intellektuaalne omand</w:t>
      </w:r>
    </w:p>
    <w:p w14:paraId="27B3C966" w14:textId="77777777" w:rsidR="00EE446C"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913B70">
        <w:rPr>
          <w:rFonts w:ascii="Times New Roman" w:hAnsi="Times New Roman" w:cs="Times New Roman"/>
          <w:sz w:val="24"/>
          <w:szCs w:val="24"/>
        </w:rPr>
        <w:t>Täitja loovutab tellijale kõik varalised õigused autoriõiguse seaduse tähenduses käesoleva</w:t>
      </w:r>
      <w:r w:rsidRPr="00605906">
        <w:rPr>
          <w:rFonts w:ascii="Times New Roman" w:hAnsi="Times New Roman" w:cs="Times New Roman"/>
          <w:sz w:val="24"/>
          <w:szCs w:val="24"/>
        </w:rPr>
        <w:t xml:space="preserve"> lepingu alusel üle antud tulemitele, kaasa arvatud õiguse neid reprodutseerida, levitada ja üldsusele kättesaadavaks teha mistahes vormis ja kandjal, ilma geograafiliste piiranguteta. Autori varalised õigused loetakse tellijale üle läinuks pärast tulemi lepingukohast vastuvõtmist tellija poolt.</w:t>
      </w:r>
    </w:p>
    <w:p w14:paraId="37422113" w14:textId="77777777" w:rsidR="00EE446C"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427D27">
        <w:rPr>
          <w:rFonts w:ascii="Times New Roman" w:hAnsi="Times New Roman" w:cs="Times New Roman"/>
          <w:sz w:val="24"/>
          <w:szCs w:val="24"/>
        </w:rPr>
        <w:t>Täitja annab tellijale ainulitsentsi isiklike õiguste kasutamiseks autoriõiguse seaduse tähenduses ja ulatuses, mis on vajalik, et tellija saaks täiel määral teostada talle lepinguga üle antud varalisi õigusi. Isiklike õiguste osas antav litsents on koos all-litsentseerimise õigusega ning kehtib ilma geograafiliste piiranguteta kogu autoriõiguste kehtivuse tähtajal alates tulemi lepingukohasest vastuvõtmisest tellija poolt. Tulemi üleandmisega tellijale kinnitab täitja, et tulem on üldsusele esitamiseks valmis ning täitja on loobunud õigusest seda ise avalikustada, välja arvatud tellija eelneval kirjalikul nõusolekul.</w:t>
      </w:r>
    </w:p>
    <w:p w14:paraId="7EFBB9A1" w14:textId="77777777" w:rsidR="00EE446C" w:rsidRPr="00427D27"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427D27">
        <w:rPr>
          <w:rFonts w:ascii="Times New Roman" w:hAnsi="Times New Roman" w:cs="Times New Roman"/>
          <w:sz w:val="24"/>
          <w:szCs w:val="24"/>
        </w:rPr>
        <w:t>Täitja kinnitab ja tagab, et:</w:t>
      </w:r>
    </w:p>
    <w:p w14:paraId="1A0D4CA0" w14:textId="77777777" w:rsidR="00EE446C" w:rsidRPr="00605906"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sz w:val="24"/>
          <w:szCs w:val="24"/>
        </w:rPr>
        <w:t>täitja on vastavad õigused täielikult omandanud oma töötajate, töövõtjate, alltöövõtjate või koostööpartneritega sõlmitud lepingute alusel ning täitjal on lepingu alusel õigus nimetatud varaliste õiguste võõrandamiseks ning isiklike õiguste litsentseerimiseks tellijale;</w:t>
      </w:r>
    </w:p>
    <w:p w14:paraId="0B4168C6" w14:textId="77777777" w:rsidR="00EE446C" w:rsidRPr="00605906"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sz w:val="24"/>
          <w:szCs w:val="24"/>
        </w:rPr>
        <w:t xml:space="preserve">alates lepingu sõlmimisest puuduvad temal, tema töötajatel, töövõtjatel, alltöövõtjatel, koostööpartneritel tellija vastu mistahes nõuded tulenevalt varaliste autoriõiguste ja litsentseeritud isiklike õiguste võimalikust rikkumisest; </w:t>
      </w:r>
    </w:p>
    <w:p w14:paraId="675D34D1" w14:textId="77777777" w:rsidR="00EE446C" w:rsidRPr="00605906"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sz w:val="24"/>
          <w:szCs w:val="24"/>
        </w:rPr>
        <w:t>juhul kui tulemi kasutamine on takistatud kolmandate isikute intellektuaalomandi õigustest või nende rikkumisest tulenevate nõuete tõttu, on täitja kohustatud nimetatud takistused omal kulul kõrvaldama.</w:t>
      </w:r>
    </w:p>
    <w:p w14:paraId="7DC01B4D" w14:textId="77777777" w:rsidR="00EE446C" w:rsidRPr="00605906"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 xml:space="preserve">Tulemi üleandmise järgselt ei ole täitjal õigust tulemit ja selle dokumentatsiooni konkreetse lepingu eseme spetsiifilisusest tulenevalt tellijast sõltumatult muuta ega täiendada või mistahes muul viisil kasutada. </w:t>
      </w:r>
    </w:p>
    <w:p w14:paraId="4DE44FF5" w14:textId="77777777" w:rsidR="00EE446C" w:rsidRPr="00605906" w:rsidRDefault="00EE446C" w:rsidP="00EE446C">
      <w:pPr>
        <w:ind w:left="720"/>
        <w:rPr>
          <w:szCs w:val="24"/>
        </w:rPr>
      </w:pPr>
    </w:p>
    <w:p w14:paraId="4ADC54ED" w14:textId="77777777" w:rsidR="00EE446C" w:rsidRPr="00605906" w:rsidRDefault="00EE446C" w:rsidP="00EE446C">
      <w:pPr>
        <w:pStyle w:val="ListParagraph"/>
        <w:numPr>
          <w:ilvl w:val="0"/>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b/>
          <w:sz w:val="24"/>
          <w:szCs w:val="24"/>
        </w:rPr>
        <w:t>Vastutus</w:t>
      </w:r>
    </w:p>
    <w:p w14:paraId="01B2E9A9" w14:textId="36BD3141" w:rsidR="00EE446C" w:rsidRPr="00605906"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Pooled vastutavad lepinguliste kohustuste rikkumisel</w:t>
      </w:r>
      <w:r w:rsidR="005F01DE">
        <w:rPr>
          <w:rFonts w:ascii="Times New Roman" w:hAnsi="Times New Roman" w:cs="Times New Roman"/>
          <w:sz w:val="24"/>
          <w:szCs w:val="24"/>
        </w:rPr>
        <w:t xml:space="preserve"> vastavalt lisale 1</w:t>
      </w:r>
      <w:r w:rsidRPr="00605906">
        <w:rPr>
          <w:rFonts w:ascii="Times New Roman" w:hAnsi="Times New Roman" w:cs="Times New Roman"/>
          <w:sz w:val="24"/>
          <w:szCs w:val="24"/>
        </w:rPr>
        <w:t>.</w:t>
      </w:r>
    </w:p>
    <w:p w14:paraId="47BA988A" w14:textId="77777777" w:rsidR="00EE446C" w:rsidRPr="00605906" w:rsidRDefault="00EE446C" w:rsidP="00EE446C">
      <w:pPr>
        <w:rPr>
          <w:szCs w:val="24"/>
        </w:rPr>
      </w:pPr>
    </w:p>
    <w:p w14:paraId="5C7ABD0D" w14:textId="77777777" w:rsidR="00EE446C" w:rsidRPr="00605906" w:rsidRDefault="00EE446C" w:rsidP="00EE446C">
      <w:pPr>
        <w:pStyle w:val="ListParagraph"/>
        <w:numPr>
          <w:ilvl w:val="0"/>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b/>
          <w:sz w:val="24"/>
          <w:szCs w:val="24"/>
        </w:rPr>
        <w:t>Konfidentsiaalsus</w:t>
      </w:r>
    </w:p>
    <w:p w14:paraId="6BB3812C" w14:textId="525BD246" w:rsidR="00EE446C" w:rsidRPr="00605906"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605906">
        <w:rPr>
          <w:rFonts w:ascii="Times New Roman" w:hAnsi="Times New Roman" w:cs="Times New Roman"/>
          <w:sz w:val="24"/>
          <w:szCs w:val="24"/>
        </w:rPr>
        <w:t>Lisaks S</w:t>
      </w:r>
      <w:r w:rsidR="005A6BFE">
        <w:rPr>
          <w:rFonts w:ascii="Times New Roman" w:hAnsi="Times New Roman" w:cs="Times New Roman"/>
          <w:sz w:val="24"/>
          <w:szCs w:val="24"/>
        </w:rPr>
        <w:t>iseministeeriumi infotehnoloog</w:t>
      </w:r>
      <w:r w:rsidRPr="00605906">
        <w:rPr>
          <w:rFonts w:ascii="Times New Roman" w:hAnsi="Times New Roman" w:cs="Times New Roman"/>
          <w:sz w:val="24"/>
          <w:szCs w:val="24"/>
        </w:rPr>
        <w:t>i</w:t>
      </w:r>
      <w:r w:rsidR="005A6BFE">
        <w:rPr>
          <w:rFonts w:ascii="Times New Roman" w:hAnsi="Times New Roman" w:cs="Times New Roman"/>
          <w:sz w:val="24"/>
          <w:szCs w:val="24"/>
        </w:rPr>
        <w:t>a- ja arenduskeskuse</w:t>
      </w:r>
      <w:r w:rsidRPr="00605906">
        <w:rPr>
          <w:rFonts w:ascii="Times New Roman" w:hAnsi="Times New Roman" w:cs="Times New Roman"/>
          <w:sz w:val="24"/>
          <w:szCs w:val="24"/>
        </w:rPr>
        <w:t xml:space="preserve"> lepingu üldtingimustes sätestatule, kohustub täitja lepingu täitmisel arvestama alljärgnevat:</w:t>
      </w:r>
    </w:p>
    <w:p w14:paraId="606F72F0" w14:textId="77777777" w:rsidR="00EE446C" w:rsidRPr="00605906"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sz w:val="24"/>
          <w:szCs w:val="24"/>
        </w:rPr>
        <w:t>piirama ettevõtte-siseselt lepingu ja selle täitmisega seotud teabe kättesaadavuse üksnes isikute ringiga, kel on oma tööülesannetest tulenevalt otsene vajadus teabega kokku puutuda;</w:t>
      </w:r>
    </w:p>
    <w:p w14:paraId="2E994811" w14:textId="77777777" w:rsidR="00EE446C" w:rsidRPr="00605906"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sz w:val="24"/>
          <w:szCs w:val="24"/>
        </w:rPr>
        <w:t>juhul, kui täitjal või meeskonnaliikmel on põhjendatud vajadus viidata käesolevale lepingule või selle täitmisele referentslepingute või –tööde loetelus, kohustub täitja kooskõlastama sõnastuse tellijaga ning arvestama tellija vastavate juhistega.</w:t>
      </w:r>
    </w:p>
    <w:p w14:paraId="1ECC6E25" w14:textId="592817E5" w:rsidR="007A2AEF" w:rsidRPr="007E20E1" w:rsidRDefault="00EE446C" w:rsidP="007E20E1">
      <w:pPr>
        <w:pStyle w:val="ListParagraph"/>
        <w:numPr>
          <w:ilvl w:val="1"/>
          <w:numId w:val="10"/>
        </w:numPr>
        <w:spacing w:after="0" w:line="240" w:lineRule="auto"/>
        <w:ind w:left="426" w:hanging="426"/>
        <w:jc w:val="both"/>
        <w:rPr>
          <w:szCs w:val="24"/>
        </w:rPr>
      </w:pPr>
      <w:r w:rsidRPr="007A2AEF">
        <w:rPr>
          <w:rFonts w:ascii="Times New Roman" w:hAnsi="Times New Roman" w:cs="Times New Roman"/>
          <w:sz w:val="24"/>
          <w:szCs w:val="24"/>
        </w:rPr>
        <w:t>Täitja kohustub tagama, et kõik lepingu täitmisele kaasatud meeskonnaliikmed on teadlikud konfidentsiaalseks tunnistatud informatsiooni ulatusest.</w:t>
      </w:r>
    </w:p>
    <w:p w14:paraId="551E7D23" w14:textId="77777777" w:rsidR="007A2AEF" w:rsidRPr="007A2AEF" w:rsidRDefault="007A2AEF" w:rsidP="007A2AEF">
      <w:pPr>
        <w:pStyle w:val="ListParagraph"/>
        <w:spacing w:after="0" w:line="240" w:lineRule="auto"/>
        <w:ind w:left="426"/>
        <w:jc w:val="both"/>
        <w:rPr>
          <w:szCs w:val="24"/>
        </w:rPr>
      </w:pPr>
    </w:p>
    <w:p w14:paraId="5FDFB29E" w14:textId="77777777" w:rsidR="00EE446C" w:rsidRPr="00605906" w:rsidRDefault="00EE446C" w:rsidP="00EE446C">
      <w:pPr>
        <w:pStyle w:val="ListParagraph"/>
        <w:numPr>
          <w:ilvl w:val="0"/>
          <w:numId w:val="10"/>
        </w:numPr>
        <w:spacing w:after="0" w:line="240" w:lineRule="auto"/>
        <w:jc w:val="both"/>
        <w:rPr>
          <w:rFonts w:ascii="Times New Roman" w:hAnsi="Times New Roman" w:cs="Times New Roman"/>
          <w:sz w:val="24"/>
          <w:szCs w:val="24"/>
        </w:rPr>
      </w:pPr>
      <w:r w:rsidRPr="00605906">
        <w:rPr>
          <w:rFonts w:ascii="Times New Roman" w:hAnsi="Times New Roman" w:cs="Times New Roman"/>
          <w:b/>
          <w:sz w:val="24"/>
          <w:szCs w:val="24"/>
        </w:rPr>
        <w:t>Täitja kinnitused</w:t>
      </w:r>
    </w:p>
    <w:p w14:paraId="23D43835" w14:textId="77777777" w:rsidR="00EE446C" w:rsidRPr="008C73D5" w:rsidRDefault="00EE446C" w:rsidP="00EE446C">
      <w:pPr>
        <w:pStyle w:val="ListParagraph"/>
        <w:numPr>
          <w:ilvl w:val="1"/>
          <w:numId w:val="10"/>
        </w:numPr>
        <w:spacing w:after="0" w:line="240" w:lineRule="auto"/>
        <w:ind w:left="426" w:hanging="426"/>
        <w:jc w:val="both"/>
        <w:rPr>
          <w:rFonts w:ascii="Times New Roman" w:hAnsi="Times New Roman" w:cs="Times New Roman"/>
          <w:sz w:val="24"/>
          <w:szCs w:val="24"/>
        </w:rPr>
      </w:pPr>
      <w:r w:rsidRPr="008C73D5">
        <w:rPr>
          <w:rFonts w:ascii="Times New Roman" w:hAnsi="Times New Roman" w:cs="Times New Roman"/>
          <w:sz w:val="24"/>
          <w:szCs w:val="24"/>
        </w:rPr>
        <w:t>Täitja avaldab ja kinnitab, et:</w:t>
      </w:r>
    </w:p>
    <w:p w14:paraId="1F7D16CF" w14:textId="77777777" w:rsidR="00EE446C" w:rsidRPr="008C73D5"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8C73D5">
        <w:rPr>
          <w:rFonts w:ascii="Times New Roman" w:hAnsi="Times New Roman" w:cs="Times New Roman"/>
          <w:sz w:val="24"/>
          <w:szCs w:val="24"/>
        </w:rPr>
        <w:t>ta on lepingu ja väikehanke dokumentidega tutvunud ning mõistab täielikult enesele võetavate kohustuste sisu ja tagajärgi ning on nõus nendes toodud tingimustega;</w:t>
      </w:r>
    </w:p>
    <w:p w14:paraId="1CE0B69A" w14:textId="77777777" w:rsidR="00EE446C" w:rsidRPr="008C73D5"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8C73D5">
        <w:rPr>
          <w:rFonts w:ascii="Times New Roman" w:hAnsi="Times New Roman" w:cs="Times New Roman"/>
          <w:sz w:val="24"/>
          <w:szCs w:val="24"/>
        </w:rPr>
        <w:lastRenderedPageBreak/>
        <w:t>lepingu täitmisega ei kahjustata kolmandate isikute õigusi ja huve ning puuduvad mistahes asjaolud, mis välistaksid tema õigusi sõlmida leping ja seda nõuetekohaselt täita;</w:t>
      </w:r>
    </w:p>
    <w:p w14:paraId="73C9FCA5" w14:textId="464D20BB" w:rsidR="00EE446C" w:rsidRPr="008C73D5" w:rsidRDefault="00EE446C" w:rsidP="00EE446C">
      <w:pPr>
        <w:pStyle w:val="ListParagraph"/>
        <w:numPr>
          <w:ilvl w:val="2"/>
          <w:numId w:val="10"/>
        </w:numPr>
        <w:spacing w:after="0" w:line="240" w:lineRule="auto"/>
        <w:jc w:val="both"/>
        <w:rPr>
          <w:rFonts w:ascii="Times New Roman" w:hAnsi="Times New Roman" w:cs="Times New Roman"/>
          <w:sz w:val="24"/>
          <w:szCs w:val="24"/>
        </w:rPr>
      </w:pPr>
      <w:r w:rsidRPr="008C73D5">
        <w:rPr>
          <w:rFonts w:ascii="Times New Roman" w:hAnsi="Times New Roman" w:cs="Times New Roman"/>
          <w:sz w:val="24"/>
          <w:szCs w:val="24"/>
        </w:rPr>
        <w:t xml:space="preserve">ta on tutvunud lepingu lahutamatuks osaks olevate </w:t>
      </w:r>
      <w:r w:rsidR="005F01DE" w:rsidRPr="008C73D5">
        <w:rPr>
          <w:rFonts w:ascii="Times New Roman" w:hAnsi="Times New Roman" w:cs="Times New Roman"/>
          <w:sz w:val="24"/>
          <w:szCs w:val="24"/>
        </w:rPr>
        <w:t>lisadega</w:t>
      </w:r>
      <w:r w:rsidRPr="008C73D5">
        <w:rPr>
          <w:rFonts w:ascii="Times New Roman" w:hAnsi="Times New Roman" w:cs="Times New Roman"/>
          <w:sz w:val="24"/>
          <w:szCs w:val="24"/>
        </w:rPr>
        <w:t>.</w:t>
      </w:r>
    </w:p>
    <w:p w14:paraId="17ED9162" w14:textId="77777777" w:rsidR="008C73D5" w:rsidRPr="008C73D5" w:rsidRDefault="008C73D5" w:rsidP="008C73D5">
      <w:pPr>
        <w:pStyle w:val="ListParagraph"/>
        <w:spacing w:after="0" w:line="240" w:lineRule="auto"/>
        <w:ind w:left="1440"/>
        <w:jc w:val="both"/>
        <w:rPr>
          <w:rFonts w:ascii="Times New Roman" w:hAnsi="Times New Roman" w:cs="Times New Roman"/>
          <w:sz w:val="24"/>
          <w:szCs w:val="24"/>
        </w:rPr>
      </w:pPr>
    </w:p>
    <w:p w14:paraId="0C7F4BCD" w14:textId="77777777" w:rsidR="008C73D5" w:rsidRPr="008C73D5" w:rsidRDefault="008C73D5" w:rsidP="008C73D5">
      <w:pPr>
        <w:pStyle w:val="ListParagraph"/>
        <w:numPr>
          <w:ilvl w:val="0"/>
          <w:numId w:val="10"/>
        </w:numPr>
        <w:spacing w:after="0" w:line="240" w:lineRule="auto"/>
        <w:jc w:val="both"/>
        <w:rPr>
          <w:rFonts w:ascii="Times New Roman" w:hAnsi="Times New Roman" w:cs="Times New Roman"/>
          <w:b/>
          <w:bCs/>
          <w:sz w:val="24"/>
          <w:szCs w:val="24"/>
        </w:rPr>
      </w:pPr>
      <w:r w:rsidRPr="008C73D5">
        <w:rPr>
          <w:rFonts w:ascii="Times New Roman" w:hAnsi="Times New Roman" w:cs="Times New Roman"/>
          <w:b/>
          <w:bCs/>
          <w:sz w:val="24"/>
          <w:szCs w:val="24"/>
        </w:rPr>
        <w:t>Muud tingimused</w:t>
      </w:r>
    </w:p>
    <w:p w14:paraId="6B549D9B" w14:textId="77777777" w:rsidR="008C73D5" w:rsidRPr="008C73D5" w:rsidRDefault="008C73D5" w:rsidP="008C73D5">
      <w:pPr>
        <w:pStyle w:val="ListParagraph"/>
        <w:numPr>
          <w:ilvl w:val="1"/>
          <w:numId w:val="10"/>
        </w:numPr>
        <w:spacing w:after="0" w:line="240" w:lineRule="auto"/>
        <w:jc w:val="both"/>
        <w:rPr>
          <w:rFonts w:ascii="Times New Roman" w:hAnsi="Times New Roman" w:cs="Times New Roman"/>
          <w:b/>
          <w:bCs/>
          <w:sz w:val="24"/>
          <w:szCs w:val="24"/>
        </w:rPr>
      </w:pPr>
      <w:r w:rsidRPr="008C73D5">
        <w:rPr>
          <w:rFonts w:ascii="Times New Roman" w:hAnsi="Times New Roman" w:cs="Times New Roman"/>
          <w:sz w:val="24"/>
          <w:szCs w:val="24"/>
        </w:rPr>
        <w:t xml:space="preserve">Lepingu täitmise käigus tekkinud lahkarvamused lahendatakse Poolte vaheliste läbirääkimiste teel. Kokkuleppe mittesaavutamisel lahendatakse erimeelsused </w:t>
      </w:r>
      <w:r w:rsidRPr="002B269E">
        <w:rPr>
          <w:rFonts w:ascii="Times New Roman" w:hAnsi="Times New Roman" w:cs="Times New Roman"/>
          <w:sz w:val="24"/>
          <w:szCs w:val="24"/>
        </w:rPr>
        <w:t>Harju Maakohtus.</w:t>
      </w:r>
    </w:p>
    <w:p w14:paraId="2EC8C0CA" w14:textId="570BB145" w:rsidR="008C73D5" w:rsidRPr="008A3FD2" w:rsidRDefault="008C73D5" w:rsidP="008A3FD2">
      <w:pPr>
        <w:pStyle w:val="ListParagraph"/>
        <w:numPr>
          <w:ilvl w:val="1"/>
          <w:numId w:val="10"/>
        </w:numPr>
        <w:spacing w:after="0" w:line="240" w:lineRule="auto"/>
        <w:jc w:val="both"/>
        <w:rPr>
          <w:rFonts w:ascii="Times New Roman" w:hAnsi="Times New Roman" w:cs="Times New Roman"/>
          <w:b/>
          <w:bCs/>
          <w:sz w:val="28"/>
          <w:szCs w:val="28"/>
        </w:rPr>
      </w:pPr>
      <w:r w:rsidRPr="008A3FD2">
        <w:rPr>
          <w:rFonts w:ascii="Times New Roman" w:hAnsi="Times New Roman" w:cs="Times New Roman"/>
          <w:sz w:val="24"/>
          <w:szCs w:val="28"/>
        </w:rPr>
        <w:t>Pooled ei tohi käesolevast Lepingust tulenevaid õigusi ja kohustusi üle anda</w:t>
      </w:r>
      <w:r w:rsidR="008A3FD2" w:rsidRPr="008A3FD2">
        <w:rPr>
          <w:rFonts w:ascii="Times New Roman" w:hAnsi="Times New Roman" w:cs="Times New Roman"/>
          <w:sz w:val="24"/>
          <w:szCs w:val="28"/>
        </w:rPr>
        <w:t xml:space="preserve"> </w:t>
      </w:r>
      <w:r w:rsidRPr="008A3FD2">
        <w:rPr>
          <w:rFonts w:ascii="Times New Roman" w:hAnsi="Times New Roman" w:cs="Times New Roman"/>
          <w:sz w:val="24"/>
          <w:szCs w:val="28"/>
        </w:rPr>
        <w:t>kolmandatele isikutele ilma teise Poole kirjaliku nõusolekuta.</w:t>
      </w:r>
    </w:p>
    <w:p w14:paraId="385A9BD3" w14:textId="7248A9B4" w:rsidR="008C73D5" w:rsidRDefault="008C73D5" w:rsidP="008C73D5">
      <w:pPr>
        <w:pStyle w:val="ListParagraph"/>
        <w:numPr>
          <w:ilvl w:val="1"/>
          <w:numId w:val="10"/>
        </w:numPr>
        <w:spacing w:after="0" w:line="240" w:lineRule="auto"/>
        <w:jc w:val="both"/>
        <w:rPr>
          <w:rFonts w:ascii="Times New Roman" w:hAnsi="Times New Roman" w:cs="Times New Roman"/>
          <w:sz w:val="24"/>
          <w:szCs w:val="24"/>
        </w:rPr>
      </w:pPr>
      <w:r w:rsidRPr="008C73D5">
        <w:rPr>
          <w:rFonts w:ascii="Times New Roman" w:hAnsi="Times New Roman" w:cs="Times New Roman"/>
          <w:sz w:val="24"/>
          <w:szCs w:val="24"/>
        </w:rPr>
        <w:t>Leping on koostatud eesti keeles ja allkirjastatud digitaalselt</w:t>
      </w:r>
      <w:r w:rsidR="008A3FD2">
        <w:rPr>
          <w:rFonts w:ascii="Times New Roman" w:hAnsi="Times New Roman" w:cs="Times New Roman"/>
          <w:sz w:val="24"/>
          <w:szCs w:val="24"/>
        </w:rPr>
        <w:t>.</w:t>
      </w:r>
    </w:p>
    <w:p w14:paraId="68A35959" w14:textId="00BCD45F" w:rsidR="008A3FD2" w:rsidRPr="008C73D5" w:rsidRDefault="008A3FD2" w:rsidP="008C73D5">
      <w:pPr>
        <w:pStyle w:val="ListParagraph"/>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Leping jõustub allkirjastamisest ja kehtib kuni </w:t>
      </w:r>
      <w:r w:rsidR="00343820">
        <w:rPr>
          <w:rFonts w:ascii="Times New Roman" w:hAnsi="Times New Roman" w:cs="Times New Roman"/>
          <w:sz w:val="24"/>
          <w:szCs w:val="24"/>
        </w:rPr>
        <w:t>kohase täitmiseni</w:t>
      </w:r>
      <w:r>
        <w:rPr>
          <w:rFonts w:ascii="Times New Roman" w:hAnsi="Times New Roman" w:cs="Times New Roman"/>
          <w:sz w:val="24"/>
          <w:szCs w:val="24"/>
        </w:rPr>
        <w:t>.</w:t>
      </w:r>
    </w:p>
    <w:p w14:paraId="6DBBDC42" w14:textId="77777777" w:rsidR="00EE446C" w:rsidRPr="00605906" w:rsidRDefault="00EE446C" w:rsidP="007E20E1">
      <w:pPr>
        <w:rPr>
          <w:szCs w:val="24"/>
        </w:rPr>
      </w:pPr>
    </w:p>
    <w:p w14:paraId="2E6CE34A" w14:textId="4C423D52" w:rsidR="006847DF" w:rsidRPr="007E20E1" w:rsidRDefault="00EE446C" w:rsidP="007E20E1">
      <w:pPr>
        <w:rPr>
          <w:i/>
          <w:iCs/>
          <w:szCs w:val="24"/>
        </w:rPr>
      </w:pPr>
      <w:r w:rsidRPr="005A6BFE">
        <w:rPr>
          <w:i/>
          <w:iCs/>
          <w:szCs w:val="24"/>
        </w:rPr>
        <w:t>Leping on allkirjastatud digitaalselt.</w:t>
      </w:r>
    </w:p>
    <w:sectPr w:rsidR="006847DF" w:rsidRPr="007E20E1" w:rsidSect="00792ECB">
      <w:headerReference w:type="default" r:id="rId9"/>
      <w:type w:val="continuous"/>
      <w:pgSz w:w="11906" w:h="16838" w:code="9"/>
      <w:pgMar w:top="454" w:right="680" w:bottom="510" w:left="181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CAF9" w14:textId="77777777" w:rsidR="00E94C0A" w:rsidRDefault="00E94C0A">
      <w:r>
        <w:separator/>
      </w:r>
    </w:p>
  </w:endnote>
  <w:endnote w:type="continuationSeparator" w:id="0">
    <w:p w14:paraId="49F5A786" w14:textId="77777777" w:rsidR="00E94C0A" w:rsidRDefault="00E9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0F77F" w14:textId="77777777" w:rsidR="00E94C0A" w:rsidRDefault="00E94C0A">
      <w:r>
        <w:separator/>
      </w:r>
    </w:p>
  </w:footnote>
  <w:footnote w:type="continuationSeparator" w:id="0">
    <w:p w14:paraId="2ACC00F7" w14:textId="77777777" w:rsidR="00E94C0A" w:rsidRDefault="00E9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3D25" w14:textId="6AD66612"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8501B6">
      <w:rPr>
        <w:rStyle w:val="PageNumber"/>
        <w:noProof/>
      </w:rPr>
      <w:t>4</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501B6">
      <w:rPr>
        <w:rStyle w:val="PageNumber"/>
        <w:noProof/>
      </w:rPr>
      <w:t>4</w:t>
    </w:r>
    <w:r>
      <w:rPr>
        <w:rStyle w:val="PageNumber"/>
      </w:rPr>
      <w:fldChar w:fldCharType="end"/>
    </w:r>
    <w:r w:rsidR="005A223E">
      <w:rPr>
        <w:rStyle w:val="PageNumber"/>
      </w:rPr>
      <w:t>)</w:t>
    </w:r>
  </w:p>
  <w:p w14:paraId="6A643D26"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EEC"/>
    <w:multiLevelType w:val="multilevel"/>
    <w:tmpl w:val="19343A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F34D74"/>
    <w:multiLevelType w:val="multilevel"/>
    <w:tmpl w:val="11AEB3B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444"/>
        </w:tabs>
        <w:ind w:left="444" w:hanging="444"/>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C864623"/>
    <w:multiLevelType w:val="hybridMultilevel"/>
    <w:tmpl w:val="7ABAC3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894711"/>
    <w:multiLevelType w:val="multilevel"/>
    <w:tmpl w:val="753C0658"/>
    <w:lvl w:ilvl="0">
      <w:start w:val="1"/>
      <w:numFmt w:val="decimal"/>
      <w:lvlText w:val="%1"/>
      <w:lvlJc w:val="left"/>
      <w:pPr>
        <w:ind w:left="720" w:hanging="360"/>
      </w:pPr>
      <w:rPr>
        <w:rFonts w:hint="default"/>
      </w:rPr>
    </w:lvl>
    <w:lvl w:ilvl="1">
      <w:start w:val="2"/>
      <w:numFmt w:val="decimal"/>
      <w:isLgl/>
      <w:lvlText w:val="%1.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7CF4074"/>
    <w:multiLevelType w:val="multilevel"/>
    <w:tmpl w:val="E78C747A"/>
    <w:lvl w:ilvl="0">
      <w:start w:val="3"/>
      <w:numFmt w:val="decimal"/>
      <w:lvlText w:val="%1"/>
      <w:lvlJc w:val="left"/>
      <w:pPr>
        <w:ind w:left="360" w:hanging="360"/>
      </w:pPr>
      <w:rPr>
        <w:rFonts w:hint="default"/>
        <w:b w:val="0"/>
        <w:bCs w:val="0"/>
      </w:rPr>
    </w:lvl>
    <w:lvl w:ilvl="1">
      <w:start w:val="1"/>
      <w:numFmt w:val="decimal"/>
      <w:lvlText w:val="%1.%2"/>
      <w:lvlJc w:val="left"/>
      <w:pPr>
        <w:ind w:left="360" w:hanging="360"/>
      </w:pPr>
      <w:rPr>
        <w:rFonts w:ascii="Times New Roman" w:hAnsi="Times New Roman" w:cs="Times New Roman"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EE34341"/>
    <w:multiLevelType w:val="multilevel"/>
    <w:tmpl w:val="E438E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31E0641"/>
    <w:multiLevelType w:val="hybridMultilevel"/>
    <w:tmpl w:val="52E2109A"/>
    <w:lvl w:ilvl="0" w:tplc="2FEA6B60">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BF71444"/>
    <w:multiLevelType w:val="multilevel"/>
    <w:tmpl w:val="224C34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4851711">
    <w:abstractNumId w:val="8"/>
  </w:num>
  <w:num w:numId="2" w16cid:durableId="978414277">
    <w:abstractNumId w:val="10"/>
  </w:num>
  <w:num w:numId="3" w16cid:durableId="853878704">
    <w:abstractNumId w:val="2"/>
  </w:num>
  <w:num w:numId="4" w16cid:durableId="300959340">
    <w:abstractNumId w:val="3"/>
  </w:num>
  <w:num w:numId="5" w16cid:durableId="976879705">
    <w:abstractNumId w:val="9"/>
  </w:num>
  <w:num w:numId="6" w16cid:durableId="988558675">
    <w:abstractNumId w:val="4"/>
  </w:num>
  <w:num w:numId="7" w16cid:durableId="811560233">
    <w:abstractNumId w:val="7"/>
  </w:num>
  <w:num w:numId="8" w16cid:durableId="879363721">
    <w:abstractNumId w:val="0"/>
  </w:num>
  <w:num w:numId="9" w16cid:durableId="1809937485">
    <w:abstractNumId w:val="5"/>
  </w:num>
  <w:num w:numId="10" w16cid:durableId="1696996646">
    <w:abstractNumId w:val="6"/>
  </w:num>
  <w:num w:numId="11" w16cid:durableId="146723825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248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76"/>
    <w:rsid w:val="00001CBC"/>
    <w:rsid w:val="00025B23"/>
    <w:rsid w:val="00031482"/>
    <w:rsid w:val="00042333"/>
    <w:rsid w:val="00045D2B"/>
    <w:rsid w:val="00063DAE"/>
    <w:rsid w:val="00073180"/>
    <w:rsid w:val="00076C3F"/>
    <w:rsid w:val="00093A12"/>
    <w:rsid w:val="00095CC4"/>
    <w:rsid w:val="00095CE0"/>
    <w:rsid w:val="000B48DB"/>
    <w:rsid w:val="000B5E01"/>
    <w:rsid w:val="000B5E2D"/>
    <w:rsid w:val="000B6AA4"/>
    <w:rsid w:val="000C3F6A"/>
    <w:rsid w:val="000D2A12"/>
    <w:rsid w:val="000D3A29"/>
    <w:rsid w:val="000E39C8"/>
    <w:rsid w:val="00101B59"/>
    <w:rsid w:val="00127FE3"/>
    <w:rsid w:val="0014219B"/>
    <w:rsid w:val="00152E9D"/>
    <w:rsid w:val="00153B9E"/>
    <w:rsid w:val="001706F5"/>
    <w:rsid w:val="001733A6"/>
    <w:rsid w:val="00174BC2"/>
    <w:rsid w:val="00175B9F"/>
    <w:rsid w:val="001A3A6C"/>
    <w:rsid w:val="001B3A06"/>
    <w:rsid w:val="001B5F41"/>
    <w:rsid w:val="001C0536"/>
    <w:rsid w:val="001C3006"/>
    <w:rsid w:val="001D03A7"/>
    <w:rsid w:val="001D0499"/>
    <w:rsid w:val="001D0A0E"/>
    <w:rsid w:val="001E436F"/>
    <w:rsid w:val="001F230F"/>
    <w:rsid w:val="00225ECC"/>
    <w:rsid w:val="00237BE6"/>
    <w:rsid w:val="00243EBE"/>
    <w:rsid w:val="00273A34"/>
    <w:rsid w:val="00277B08"/>
    <w:rsid w:val="00285CA9"/>
    <w:rsid w:val="002907E7"/>
    <w:rsid w:val="002955D4"/>
    <w:rsid w:val="002A1C9E"/>
    <w:rsid w:val="002B0D3B"/>
    <w:rsid w:val="002B269E"/>
    <w:rsid w:val="002B3005"/>
    <w:rsid w:val="002B64E8"/>
    <w:rsid w:val="002C7D80"/>
    <w:rsid w:val="002F38C4"/>
    <w:rsid w:val="002F4962"/>
    <w:rsid w:val="00304F88"/>
    <w:rsid w:val="00307A59"/>
    <w:rsid w:val="00323C2B"/>
    <w:rsid w:val="00324077"/>
    <w:rsid w:val="00332606"/>
    <w:rsid w:val="00343820"/>
    <w:rsid w:val="003522CD"/>
    <w:rsid w:val="0036456D"/>
    <w:rsid w:val="00375591"/>
    <w:rsid w:val="00375987"/>
    <w:rsid w:val="003779EF"/>
    <w:rsid w:val="00381D3C"/>
    <w:rsid w:val="0038251B"/>
    <w:rsid w:val="00392F64"/>
    <w:rsid w:val="003946CD"/>
    <w:rsid w:val="003B0142"/>
    <w:rsid w:val="003B4276"/>
    <w:rsid w:val="003C0FAA"/>
    <w:rsid w:val="003E4624"/>
    <w:rsid w:val="003F4D8E"/>
    <w:rsid w:val="004312B3"/>
    <w:rsid w:val="004375C0"/>
    <w:rsid w:val="00463011"/>
    <w:rsid w:val="00474E32"/>
    <w:rsid w:val="004846BD"/>
    <w:rsid w:val="00490037"/>
    <w:rsid w:val="004C34CB"/>
    <w:rsid w:val="004D7419"/>
    <w:rsid w:val="004E1EAB"/>
    <w:rsid w:val="004F76CC"/>
    <w:rsid w:val="004F7D1B"/>
    <w:rsid w:val="00507802"/>
    <w:rsid w:val="00513FA9"/>
    <w:rsid w:val="00523F90"/>
    <w:rsid w:val="005273C2"/>
    <w:rsid w:val="00530024"/>
    <w:rsid w:val="00535314"/>
    <w:rsid w:val="00543CE2"/>
    <w:rsid w:val="0058405F"/>
    <w:rsid w:val="005A223E"/>
    <w:rsid w:val="005A41E3"/>
    <w:rsid w:val="005A6BFE"/>
    <w:rsid w:val="005B52F9"/>
    <w:rsid w:val="005F01DE"/>
    <w:rsid w:val="00611AA8"/>
    <w:rsid w:val="0061789C"/>
    <w:rsid w:val="0065414F"/>
    <w:rsid w:val="006705B1"/>
    <w:rsid w:val="00671536"/>
    <w:rsid w:val="006802E1"/>
    <w:rsid w:val="00680610"/>
    <w:rsid w:val="006847DF"/>
    <w:rsid w:val="006848B6"/>
    <w:rsid w:val="00691A61"/>
    <w:rsid w:val="006B38FD"/>
    <w:rsid w:val="006C2B6D"/>
    <w:rsid w:val="006C4130"/>
    <w:rsid w:val="006D4EE5"/>
    <w:rsid w:val="006E569C"/>
    <w:rsid w:val="006E69E0"/>
    <w:rsid w:val="006F66BE"/>
    <w:rsid w:val="00700CF3"/>
    <w:rsid w:val="00722FAF"/>
    <w:rsid w:val="00725D1B"/>
    <w:rsid w:val="00736BDC"/>
    <w:rsid w:val="0073735D"/>
    <w:rsid w:val="007402D2"/>
    <w:rsid w:val="00743E43"/>
    <w:rsid w:val="0075253C"/>
    <w:rsid w:val="0077378F"/>
    <w:rsid w:val="007743FB"/>
    <w:rsid w:val="00792ECB"/>
    <w:rsid w:val="007A2AEF"/>
    <w:rsid w:val="007B7ACA"/>
    <w:rsid w:val="007D3445"/>
    <w:rsid w:val="007D4032"/>
    <w:rsid w:val="007E1FDC"/>
    <w:rsid w:val="007E20E1"/>
    <w:rsid w:val="007E4C0F"/>
    <w:rsid w:val="007F68D7"/>
    <w:rsid w:val="00806070"/>
    <w:rsid w:val="00843B2E"/>
    <w:rsid w:val="008501B6"/>
    <w:rsid w:val="00854DA9"/>
    <w:rsid w:val="00865017"/>
    <w:rsid w:val="00866976"/>
    <w:rsid w:val="008669EA"/>
    <w:rsid w:val="0087558C"/>
    <w:rsid w:val="00886451"/>
    <w:rsid w:val="008A3B3F"/>
    <w:rsid w:val="008A3D1B"/>
    <w:rsid w:val="008A3FD2"/>
    <w:rsid w:val="008A4C3C"/>
    <w:rsid w:val="008C19B9"/>
    <w:rsid w:val="008C4248"/>
    <w:rsid w:val="008C73D5"/>
    <w:rsid w:val="008D279B"/>
    <w:rsid w:val="008D5F96"/>
    <w:rsid w:val="008E62A4"/>
    <w:rsid w:val="00900F14"/>
    <w:rsid w:val="00910004"/>
    <w:rsid w:val="00910DD1"/>
    <w:rsid w:val="00912D8A"/>
    <w:rsid w:val="00913B70"/>
    <w:rsid w:val="009154A0"/>
    <w:rsid w:val="0093165C"/>
    <w:rsid w:val="00973A16"/>
    <w:rsid w:val="00982D43"/>
    <w:rsid w:val="0099149D"/>
    <w:rsid w:val="009A3A03"/>
    <w:rsid w:val="009A4E2A"/>
    <w:rsid w:val="009B1845"/>
    <w:rsid w:val="009C2D6A"/>
    <w:rsid w:val="009F0129"/>
    <w:rsid w:val="009F307B"/>
    <w:rsid w:val="009F3D79"/>
    <w:rsid w:val="00A0713F"/>
    <w:rsid w:val="00A16AD1"/>
    <w:rsid w:val="00A31081"/>
    <w:rsid w:val="00A33B54"/>
    <w:rsid w:val="00A352E7"/>
    <w:rsid w:val="00A36924"/>
    <w:rsid w:val="00A72399"/>
    <w:rsid w:val="00A83A2D"/>
    <w:rsid w:val="00A83C30"/>
    <w:rsid w:val="00A94E0D"/>
    <w:rsid w:val="00AB5B50"/>
    <w:rsid w:val="00AB6652"/>
    <w:rsid w:val="00AD191E"/>
    <w:rsid w:val="00AD335D"/>
    <w:rsid w:val="00AD5322"/>
    <w:rsid w:val="00AD535F"/>
    <w:rsid w:val="00AE1D5F"/>
    <w:rsid w:val="00AE67BE"/>
    <w:rsid w:val="00AF3567"/>
    <w:rsid w:val="00AF4B9E"/>
    <w:rsid w:val="00B115BD"/>
    <w:rsid w:val="00B24CA2"/>
    <w:rsid w:val="00B2514D"/>
    <w:rsid w:val="00B31191"/>
    <w:rsid w:val="00B34CD8"/>
    <w:rsid w:val="00B41B05"/>
    <w:rsid w:val="00B42CB5"/>
    <w:rsid w:val="00B52EDB"/>
    <w:rsid w:val="00B6218E"/>
    <w:rsid w:val="00B64EF7"/>
    <w:rsid w:val="00B75B37"/>
    <w:rsid w:val="00B76DFE"/>
    <w:rsid w:val="00BA1145"/>
    <w:rsid w:val="00BC415B"/>
    <w:rsid w:val="00BD09A9"/>
    <w:rsid w:val="00BD1538"/>
    <w:rsid w:val="00BD2AF2"/>
    <w:rsid w:val="00BD32E7"/>
    <w:rsid w:val="00C119A1"/>
    <w:rsid w:val="00C11AAF"/>
    <w:rsid w:val="00C357FC"/>
    <w:rsid w:val="00C4390F"/>
    <w:rsid w:val="00C450AC"/>
    <w:rsid w:val="00C45BA5"/>
    <w:rsid w:val="00C5292E"/>
    <w:rsid w:val="00C542B6"/>
    <w:rsid w:val="00C557D2"/>
    <w:rsid w:val="00C6520A"/>
    <w:rsid w:val="00C70307"/>
    <w:rsid w:val="00C81A7F"/>
    <w:rsid w:val="00C92526"/>
    <w:rsid w:val="00CB044C"/>
    <w:rsid w:val="00CB2DFB"/>
    <w:rsid w:val="00CB3C8C"/>
    <w:rsid w:val="00CC48EC"/>
    <w:rsid w:val="00CD3331"/>
    <w:rsid w:val="00CD49CB"/>
    <w:rsid w:val="00CE2278"/>
    <w:rsid w:val="00CE2752"/>
    <w:rsid w:val="00CE3AE1"/>
    <w:rsid w:val="00CF0579"/>
    <w:rsid w:val="00CF1AF4"/>
    <w:rsid w:val="00CF70A7"/>
    <w:rsid w:val="00D05D8A"/>
    <w:rsid w:val="00D0735B"/>
    <w:rsid w:val="00D26711"/>
    <w:rsid w:val="00D36CA1"/>
    <w:rsid w:val="00D45C60"/>
    <w:rsid w:val="00D46BBD"/>
    <w:rsid w:val="00D56DE7"/>
    <w:rsid w:val="00D77385"/>
    <w:rsid w:val="00DA0156"/>
    <w:rsid w:val="00DA63FC"/>
    <w:rsid w:val="00DB58D6"/>
    <w:rsid w:val="00DC739D"/>
    <w:rsid w:val="00DD0661"/>
    <w:rsid w:val="00DE0D49"/>
    <w:rsid w:val="00DE25DF"/>
    <w:rsid w:val="00DE283C"/>
    <w:rsid w:val="00DE7DAD"/>
    <w:rsid w:val="00E06DA8"/>
    <w:rsid w:val="00E13C5D"/>
    <w:rsid w:val="00E20615"/>
    <w:rsid w:val="00E2172B"/>
    <w:rsid w:val="00E27EA6"/>
    <w:rsid w:val="00E31652"/>
    <w:rsid w:val="00E469CD"/>
    <w:rsid w:val="00E56BB2"/>
    <w:rsid w:val="00E669DD"/>
    <w:rsid w:val="00E7277B"/>
    <w:rsid w:val="00E9203C"/>
    <w:rsid w:val="00E93635"/>
    <w:rsid w:val="00E94C0A"/>
    <w:rsid w:val="00EA04AA"/>
    <w:rsid w:val="00EA31F3"/>
    <w:rsid w:val="00EC780F"/>
    <w:rsid w:val="00ED2238"/>
    <w:rsid w:val="00EE446C"/>
    <w:rsid w:val="00EF01FF"/>
    <w:rsid w:val="00F14B3F"/>
    <w:rsid w:val="00F43C64"/>
    <w:rsid w:val="00F50E8C"/>
    <w:rsid w:val="00F62D6F"/>
    <w:rsid w:val="00F74F47"/>
    <w:rsid w:val="00F953A8"/>
    <w:rsid w:val="00FA567E"/>
    <w:rsid w:val="00FA790B"/>
    <w:rsid w:val="00FB4F12"/>
    <w:rsid w:val="00FB6A5F"/>
    <w:rsid w:val="00FB71A9"/>
    <w:rsid w:val="00FC4F38"/>
    <w:rsid w:val="00FC6394"/>
    <w:rsid w:val="00FD2CFE"/>
    <w:rsid w:val="00FF7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6A643C6C"/>
  <w15:docId w15:val="{69BFE03A-0279-4107-92FF-6A175555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2CD"/>
    <w:pPr>
      <w:tabs>
        <w:tab w:val="center" w:pos="4153"/>
        <w:tab w:val="right" w:pos="8306"/>
      </w:tabs>
    </w:pPr>
  </w:style>
  <w:style w:type="paragraph" w:styleId="Footer">
    <w:name w:val="footer"/>
    <w:basedOn w:val="Normal"/>
    <w:rsid w:val="003522CD"/>
    <w:pPr>
      <w:tabs>
        <w:tab w:val="center" w:pos="4153"/>
        <w:tab w:val="right" w:pos="8306"/>
      </w:tabs>
    </w:pPr>
  </w:style>
  <w:style w:type="paragraph" w:styleId="BodyText">
    <w:name w:val="Body Text"/>
    <w:basedOn w:val="Normal"/>
    <w:link w:val="BodyTextChar"/>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paragraph" w:styleId="ListParagraph">
    <w:name w:val="List Paragraph"/>
    <w:basedOn w:val="Normal"/>
    <w:uiPriority w:val="34"/>
    <w:qFormat/>
    <w:rsid w:val="00EE446C"/>
    <w:pPr>
      <w:spacing w:after="160" w:line="259"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EE446C"/>
    <w:pPr>
      <w:autoSpaceDE w:val="0"/>
      <w:autoSpaceDN w:val="0"/>
      <w:adjustRightInd w:val="0"/>
    </w:pPr>
    <w:rPr>
      <w:rFonts w:eastAsiaTheme="minorHAnsi"/>
      <w:color w:val="000000"/>
      <w:sz w:val="24"/>
      <w:szCs w:val="24"/>
      <w:lang w:eastAsia="en-US"/>
    </w:rPr>
  </w:style>
  <w:style w:type="character" w:customStyle="1" w:styleId="Lahendamatamainimine1">
    <w:name w:val="Lahendamata mainimine1"/>
    <w:basedOn w:val="DefaultParagraphFont"/>
    <w:uiPriority w:val="99"/>
    <w:semiHidden/>
    <w:unhideWhenUsed/>
    <w:rsid w:val="005F01DE"/>
    <w:rPr>
      <w:color w:val="605E5C"/>
      <w:shd w:val="clear" w:color="auto" w:fill="E1DFDD"/>
    </w:rPr>
  </w:style>
  <w:style w:type="character" w:styleId="CommentReference">
    <w:name w:val="annotation reference"/>
    <w:basedOn w:val="DefaultParagraphFont"/>
    <w:semiHidden/>
    <w:unhideWhenUsed/>
    <w:rsid w:val="005F01DE"/>
    <w:rPr>
      <w:sz w:val="16"/>
      <w:szCs w:val="16"/>
    </w:rPr>
  </w:style>
  <w:style w:type="paragraph" w:styleId="CommentText">
    <w:name w:val="annotation text"/>
    <w:basedOn w:val="Normal"/>
    <w:link w:val="CommentTextChar"/>
    <w:unhideWhenUsed/>
    <w:rsid w:val="005F01DE"/>
    <w:rPr>
      <w:sz w:val="20"/>
    </w:rPr>
  </w:style>
  <w:style w:type="character" w:customStyle="1" w:styleId="CommentTextChar">
    <w:name w:val="Comment Text Char"/>
    <w:basedOn w:val="DefaultParagraphFont"/>
    <w:link w:val="CommentText"/>
    <w:rsid w:val="005F01DE"/>
    <w:rPr>
      <w:lang w:eastAsia="en-US"/>
    </w:rPr>
  </w:style>
  <w:style w:type="paragraph" w:styleId="CommentSubject">
    <w:name w:val="annotation subject"/>
    <w:basedOn w:val="CommentText"/>
    <w:next w:val="CommentText"/>
    <w:link w:val="CommentSubjectChar"/>
    <w:semiHidden/>
    <w:unhideWhenUsed/>
    <w:rsid w:val="005F01DE"/>
    <w:rPr>
      <w:b/>
      <w:bCs/>
    </w:rPr>
  </w:style>
  <w:style w:type="character" w:customStyle="1" w:styleId="CommentSubjectChar">
    <w:name w:val="Comment Subject Char"/>
    <w:basedOn w:val="CommentTextChar"/>
    <w:link w:val="CommentSubject"/>
    <w:semiHidden/>
    <w:rsid w:val="005F01DE"/>
    <w:rPr>
      <w:b/>
      <w:bCs/>
      <w:lang w:eastAsia="en-US"/>
    </w:rPr>
  </w:style>
  <w:style w:type="paragraph" w:styleId="Revision">
    <w:name w:val="Revision"/>
    <w:hidden/>
    <w:uiPriority w:val="99"/>
    <w:semiHidden/>
    <w:rsid w:val="001D0A0E"/>
    <w:rPr>
      <w:sz w:val="24"/>
      <w:lang w:eastAsia="en-US"/>
    </w:rPr>
  </w:style>
  <w:style w:type="character" w:customStyle="1" w:styleId="BodyTextChar">
    <w:name w:val="Body Text Char"/>
    <w:basedOn w:val="DefaultParagraphFont"/>
    <w:link w:val="BodyText"/>
    <w:rsid w:val="006847DF"/>
    <w:rPr>
      <w:spacing w:val="-5"/>
      <w:sz w:val="24"/>
      <w:lang w:eastAsia="en-US"/>
    </w:rPr>
  </w:style>
  <w:style w:type="character" w:customStyle="1" w:styleId="UnresolvedMention1">
    <w:name w:val="Unresolved Mention1"/>
    <w:basedOn w:val="DefaultParagraphFont"/>
    <w:uiPriority w:val="99"/>
    <w:semiHidden/>
    <w:unhideWhenUsed/>
    <w:rsid w:val="00A33B54"/>
    <w:rPr>
      <w:color w:val="605E5C"/>
      <w:shd w:val="clear" w:color="auto" w:fill="E1DFDD"/>
    </w:rPr>
  </w:style>
  <w:style w:type="character" w:customStyle="1" w:styleId="UnresolvedMention2">
    <w:name w:val="Unresolved Mention2"/>
    <w:basedOn w:val="DefaultParagraphFont"/>
    <w:uiPriority w:val="99"/>
    <w:semiHidden/>
    <w:unhideWhenUsed/>
    <w:rsid w:val="006E569C"/>
    <w:rPr>
      <w:color w:val="605E5C"/>
      <w:shd w:val="clear" w:color="auto" w:fill="E1DFDD"/>
    </w:rPr>
  </w:style>
  <w:style w:type="paragraph" w:styleId="BalloonText">
    <w:name w:val="Balloon Text"/>
    <w:basedOn w:val="Normal"/>
    <w:link w:val="BalloonTextChar"/>
    <w:semiHidden/>
    <w:unhideWhenUsed/>
    <w:rsid w:val="00174BC2"/>
    <w:rPr>
      <w:rFonts w:ascii="Segoe UI" w:hAnsi="Segoe UI" w:cs="Segoe UI"/>
      <w:sz w:val="18"/>
      <w:szCs w:val="18"/>
    </w:rPr>
  </w:style>
  <w:style w:type="character" w:customStyle="1" w:styleId="BalloonTextChar">
    <w:name w:val="Balloon Text Char"/>
    <w:basedOn w:val="DefaultParagraphFont"/>
    <w:link w:val="BalloonText"/>
    <w:semiHidden/>
    <w:rsid w:val="00174B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75403">
      <w:bodyDiv w:val="1"/>
      <w:marLeft w:val="0"/>
      <w:marRight w:val="0"/>
      <w:marTop w:val="0"/>
      <w:marBottom w:val="0"/>
      <w:divBdr>
        <w:top w:val="none" w:sz="0" w:space="0" w:color="auto"/>
        <w:left w:val="none" w:sz="0" w:space="0" w:color="auto"/>
        <w:bottom w:val="none" w:sz="0" w:space="0" w:color="auto"/>
        <w:right w:val="none" w:sz="0" w:space="0" w:color="auto"/>
      </w:divBdr>
    </w:div>
    <w:div w:id="905073895">
      <w:bodyDiv w:val="1"/>
      <w:marLeft w:val="0"/>
      <w:marRight w:val="0"/>
      <w:marTop w:val="0"/>
      <w:marBottom w:val="0"/>
      <w:divBdr>
        <w:top w:val="none" w:sz="0" w:space="0" w:color="auto"/>
        <w:left w:val="none" w:sz="0" w:space="0" w:color="auto"/>
        <w:bottom w:val="none" w:sz="0" w:space="0" w:color="auto"/>
        <w:right w:val="none" w:sz="0" w:space="0" w:color="auto"/>
      </w:divBdr>
    </w:div>
    <w:div w:id="15129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gori.osomkov@smit.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C15E-777F-4752-8ED7-2F5D2A21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8264</Characters>
  <Application>Microsoft Office Word</Application>
  <DocSecurity>0</DocSecurity>
  <Lines>68</Lines>
  <Paragraphs>18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algatuskiri</vt:lpstr>
      <vt:lpstr>algatuskiri</vt:lpstr>
      <vt:lpstr>algatuskiri</vt:lpstr>
    </vt:vector>
  </TitlesOfParts>
  <Company>Siseministeerium</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Liina Lipre</dc:creator>
  <cp:lastModifiedBy>Grigori Ošomkov</cp:lastModifiedBy>
  <cp:revision>3</cp:revision>
  <cp:lastPrinted>2006-05-11T13:45:00Z</cp:lastPrinted>
  <dcterms:created xsi:type="dcterms:W3CDTF">2025-05-12T11:04:00Z</dcterms:created>
  <dcterms:modified xsi:type="dcterms:W3CDTF">2025-05-12T11:06:00Z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ies>
</file>