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599501C4" w14:textId="77777777" w:rsidTr="00094BF0">
        <w:trPr>
          <w:trHeight w:hRule="exact" w:val="2353"/>
        </w:trPr>
        <w:tc>
          <w:tcPr>
            <w:tcW w:w="5062" w:type="dxa"/>
          </w:tcPr>
          <w:p w14:paraId="599501BA"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599501E6" wp14:editId="599501E7">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599501BB" w14:textId="77777777" w:rsidR="00EA42AE" w:rsidRPr="00B066FE" w:rsidRDefault="00EA42AE" w:rsidP="00B066FE">
            <w:pPr>
              <w:rPr>
                <w:sz w:val="20"/>
                <w:szCs w:val="20"/>
              </w:rPr>
            </w:pPr>
          </w:p>
          <w:p w14:paraId="599501BC" w14:textId="77777777" w:rsidR="00D35360" w:rsidRPr="00B066FE" w:rsidRDefault="00D35360" w:rsidP="00B066FE">
            <w:pPr>
              <w:rPr>
                <w:sz w:val="20"/>
                <w:szCs w:val="20"/>
              </w:rPr>
            </w:pPr>
          </w:p>
          <w:p w14:paraId="599501BD" w14:textId="77777777" w:rsidR="00D35360" w:rsidRPr="00B066FE" w:rsidRDefault="00D35360" w:rsidP="00B066FE">
            <w:pPr>
              <w:rPr>
                <w:sz w:val="20"/>
                <w:szCs w:val="20"/>
              </w:rPr>
            </w:pPr>
          </w:p>
          <w:p w14:paraId="599501BE" w14:textId="77777777" w:rsidR="00D35360" w:rsidRPr="00B066FE" w:rsidRDefault="00D35360" w:rsidP="00B066FE">
            <w:pPr>
              <w:rPr>
                <w:sz w:val="20"/>
                <w:szCs w:val="20"/>
              </w:rPr>
            </w:pPr>
          </w:p>
          <w:p w14:paraId="599501BF" w14:textId="77777777" w:rsidR="00D35360" w:rsidRPr="00B066FE" w:rsidRDefault="00D35360" w:rsidP="00B066FE">
            <w:pPr>
              <w:rPr>
                <w:sz w:val="20"/>
                <w:szCs w:val="20"/>
              </w:rPr>
            </w:pPr>
          </w:p>
          <w:p w14:paraId="599501C0" w14:textId="77777777" w:rsidR="00D35360" w:rsidRPr="00B066FE" w:rsidRDefault="00D35360" w:rsidP="00B066FE">
            <w:pPr>
              <w:rPr>
                <w:sz w:val="20"/>
                <w:szCs w:val="20"/>
              </w:rPr>
            </w:pPr>
          </w:p>
          <w:p w14:paraId="599501C1" w14:textId="77777777" w:rsidR="00D35360" w:rsidRPr="00B066FE" w:rsidRDefault="00D35360" w:rsidP="00B066FE">
            <w:pPr>
              <w:rPr>
                <w:sz w:val="20"/>
                <w:szCs w:val="20"/>
              </w:rPr>
            </w:pPr>
          </w:p>
          <w:p w14:paraId="599501C2" w14:textId="77777777" w:rsidR="00D35360" w:rsidRPr="00B066FE" w:rsidRDefault="00D35360" w:rsidP="00B066FE">
            <w:pPr>
              <w:rPr>
                <w:sz w:val="20"/>
                <w:szCs w:val="20"/>
              </w:rPr>
            </w:pPr>
          </w:p>
          <w:p w14:paraId="599501C3" w14:textId="77777777" w:rsidR="00D35360" w:rsidRPr="00B066FE" w:rsidRDefault="00D35360" w:rsidP="00B066FE">
            <w:pPr>
              <w:rPr>
                <w:sz w:val="20"/>
                <w:szCs w:val="20"/>
              </w:rPr>
            </w:pPr>
          </w:p>
        </w:tc>
      </w:tr>
      <w:tr w:rsidR="00EA42AE" w14:paraId="599501CE" w14:textId="77777777" w:rsidTr="00094BF0">
        <w:trPr>
          <w:trHeight w:hRule="exact" w:val="1531"/>
        </w:trPr>
        <w:tc>
          <w:tcPr>
            <w:tcW w:w="5062" w:type="dxa"/>
          </w:tcPr>
          <w:p w14:paraId="599501C5" w14:textId="77777777" w:rsidR="00EA42AE" w:rsidRDefault="00C16907" w:rsidP="00B066FE">
            <w:r>
              <w:t>MINISTRI MÄÄRUS</w:t>
            </w:r>
          </w:p>
        </w:tc>
        <w:tc>
          <w:tcPr>
            <w:tcW w:w="4010" w:type="dxa"/>
          </w:tcPr>
          <w:p w14:paraId="599501C6" w14:textId="77777777" w:rsidR="00EA42AE" w:rsidRDefault="00EA42AE" w:rsidP="00B066FE"/>
          <w:p w14:paraId="599501C7" w14:textId="77777777" w:rsidR="0009319A" w:rsidRDefault="0009319A" w:rsidP="00B066FE"/>
          <w:p w14:paraId="599501C8"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599501CB" w14:textId="77777777" w:rsidTr="000C6B61">
              <w:trPr>
                <w:trHeight w:val="281"/>
              </w:trPr>
              <w:tc>
                <w:tcPr>
                  <w:tcW w:w="1276" w:type="dxa"/>
                </w:tcPr>
                <w:p w14:paraId="599501C9" w14:textId="2B7C30E8" w:rsidR="00C16907" w:rsidRPr="00425DCB" w:rsidRDefault="00FE755F" w:rsidP="00C16907">
                  <w:pPr>
                    <w:ind w:left="-108" w:right="-108"/>
                    <w:rPr>
                      <w:rFonts w:eastAsia="Times New Roman" w:cs="Arial"/>
                    </w:rPr>
                  </w:pPr>
                  <w:r>
                    <w:rPr>
                      <w:rFonts w:eastAsia="Times New Roman" w:cs="Arial"/>
                    </w:rPr>
                    <w:fldChar w:fldCharType="begin"/>
                  </w:r>
                  <w:r w:rsidR="006D6878">
                    <w:rPr>
                      <w:rFonts w:eastAsia="Times New Roman" w:cs="Arial"/>
                    </w:rPr>
                    <w:instrText xml:space="preserve"> delta_regDateTime  \* MERGEFORMAT</w:instrText>
                  </w:r>
                  <w:r>
                    <w:rPr>
                      <w:rFonts w:eastAsia="Times New Roman" w:cs="Arial"/>
                    </w:rPr>
                    <w:fldChar w:fldCharType="separate"/>
                  </w:r>
                  <w:r w:rsidR="006D6878">
                    <w:rPr>
                      <w:rFonts w:eastAsia="Times New Roman" w:cs="Arial"/>
                    </w:rPr>
                    <w:t>07.02.2024</w:t>
                  </w:r>
                  <w:r>
                    <w:rPr>
                      <w:rFonts w:eastAsia="Times New Roman" w:cs="Arial"/>
                    </w:rPr>
                    <w:fldChar w:fldCharType="end"/>
                  </w:r>
                </w:p>
              </w:tc>
              <w:tc>
                <w:tcPr>
                  <w:tcW w:w="2689" w:type="dxa"/>
                </w:tcPr>
                <w:p w14:paraId="599501CA" w14:textId="2C8ABD90"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6D6878">
                    <w:rPr>
                      <w:rFonts w:eastAsia="Times New Roman" w:cs="Arial"/>
                    </w:rPr>
                    <w:instrText xml:space="preserve"> delta_regNumber  \* MERGEFORMAT</w:instrText>
                  </w:r>
                  <w:r w:rsidR="00FE755F">
                    <w:rPr>
                      <w:rFonts w:eastAsia="Times New Roman" w:cs="Arial"/>
                    </w:rPr>
                    <w:fldChar w:fldCharType="separate"/>
                  </w:r>
                  <w:r w:rsidR="006D6878">
                    <w:rPr>
                      <w:rFonts w:eastAsia="Times New Roman" w:cs="Arial"/>
                    </w:rPr>
                    <w:t>4</w:t>
                  </w:r>
                  <w:r w:rsidR="00FE755F">
                    <w:rPr>
                      <w:rFonts w:eastAsia="Times New Roman" w:cs="Arial"/>
                    </w:rPr>
                    <w:fldChar w:fldCharType="end"/>
                  </w:r>
                </w:p>
              </w:tc>
            </w:tr>
          </w:tbl>
          <w:p w14:paraId="599501CC" w14:textId="77777777" w:rsidR="0009319A" w:rsidRDefault="0009319A" w:rsidP="00B066FE"/>
          <w:p w14:paraId="599501CD" w14:textId="77777777" w:rsidR="0009319A" w:rsidRDefault="0009319A" w:rsidP="00B066FE"/>
        </w:tc>
      </w:tr>
      <w:tr w:rsidR="00EA42AE" w:rsidRPr="00CF0854" w14:paraId="599501D3" w14:textId="77777777" w:rsidTr="00094BF0">
        <w:trPr>
          <w:trHeight w:val="624"/>
        </w:trPr>
        <w:tc>
          <w:tcPr>
            <w:tcW w:w="5062" w:type="dxa"/>
          </w:tcPr>
          <w:p w14:paraId="599501CF" w14:textId="78CDEDF6" w:rsidR="00C21D9A" w:rsidRPr="00CF0854" w:rsidRDefault="00CF0854" w:rsidP="00B066FE">
            <w:pPr>
              <w:rPr>
                <w:b/>
                <w:bCs/>
              </w:rPr>
            </w:pPr>
            <w:r w:rsidRPr="00CF0854">
              <w:rPr>
                <w:b/>
                <w:bCs/>
              </w:rPr>
              <w:fldChar w:fldCharType="begin"/>
            </w:r>
            <w:r w:rsidR="006D6878">
              <w:rPr>
                <w:b/>
                <w:bCs/>
              </w:rPr>
              <w:instrText xml:space="preserve"> delta_docName  \* MERGEFORMAT</w:instrText>
            </w:r>
            <w:r w:rsidRPr="00CF0854">
              <w:rPr>
                <w:b/>
                <w:bCs/>
              </w:rPr>
              <w:fldChar w:fldCharType="separate"/>
            </w:r>
            <w:r w:rsidR="006D6878">
              <w:rPr>
                <w:b/>
                <w:bCs/>
              </w:rPr>
              <w:t>Sotsiaalministri ning tervise- ja tööministri määruste muutmine</w:t>
            </w:r>
            <w:r w:rsidRPr="00CF0854">
              <w:rPr>
                <w:b/>
                <w:bCs/>
              </w:rPr>
              <w:fldChar w:fldCharType="end"/>
            </w:r>
          </w:p>
          <w:p w14:paraId="599501D0" w14:textId="77777777" w:rsidR="00FE4683" w:rsidRPr="00CF0854" w:rsidRDefault="00FE4683" w:rsidP="00B066FE">
            <w:pPr>
              <w:rPr>
                <w:rFonts w:cs="Arial"/>
                <w:b/>
                <w:bCs/>
              </w:rPr>
            </w:pPr>
          </w:p>
          <w:p w14:paraId="599501D1" w14:textId="77777777" w:rsidR="00FE4683" w:rsidRPr="00CF0854" w:rsidRDefault="00FE4683" w:rsidP="00B066FE">
            <w:pPr>
              <w:rPr>
                <w:rFonts w:cs="Arial"/>
                <w:b/>
                <w:bCs/>
              </w:rPr>
            </w:pPr>
          </w:p>
        </w:tc>
        <w:tc>
          <w:tcPr>
            <w:tcW w:w="4010" w:type="dxa"/>
          </w:tcPr>
          <w:p w14:paraId="599501D2" w14:textId="77777777" w:rsidR="00EA42AE" w:rsidRPr="00CF0854" w:rsidRDefault="00EA42AE" w:rsidP="00B066FE">
            <w:pPr>
              <w:rPr>
                <w:b/>
                <w:bCs/>
              </w:rPr>
            </w:pPr>
          </w:p>
        </w:tc>
      </w:tr>
    </w:tbl>
    <w:p w14:paraId="48EC2A6C" w14:textId="77777777" w:rsidR="00CF0854" w:rsidRPr="00CF0854" w:rsidRDefault="00CF0854" w:rsidP="00CF0854">
      <w:r w:rsidRPr="00CF0854">
        <w:t>Määrus kehtestatakse ravimiseaduse § 15</w:t>
      </w:r>
      <w:r w:rsidRPr="00CF0854">
        <w:rPr>
          <w:vertAlign w:val="superscript"/>
        </w:rPr>
        <w:t>1</w:t>
      </w:r>
      <w:r w:rsidRPr="00CF0854">
        <w:t>, § 31 lõike 6 punkti 1, § 34 lõike 5, § 39 lõike 1, § 53 lõike 6, § 65 lõike 12 punktide 1, 2 ja 3, § 77 lõike 3, § 78</w:t>
      </w:r>
      <w:r w:rsidRPr="00CF0854">
        <w:rPr>
          <w:vertAlign w:val="superscript"/>
        </w:rPr>
        <w:t>5</w:t>
      </w:r>
      <w:r w:rsidRPr="00CF0854">
        <w:t xml:space="preserve"> lõike 14, § 79 lõike 1 ja § 80 lõike 4 alusel.</w:t>
      </w:r>
    </w:p>
    <w:p w14:paraId="599501D4" w14:textId="13694797" w:rsidR="00094BF0" w:rsidRDefault="00094BF0" w:rsidP="00094BF0">
      <w:pPr>
        <w:rPr>
          <w:rFonts w:cs="Arial"/>
        </w:rPr>
      </w:pPr>
    </w:p>
    <w:p w14:paraId="599501D5" w14:textId="77777777" w:rsidR="007352AA" w:rsidRDefault="007352AA" w:rsidP="00094BF0">
      <w:pPr>
        <w:rPr>
          <w:rFonts w:cs="Arial"/>
        </w:rPr>
      </w:pPr>
    </w:p>
    <w:p w14:paraId="4B2F3F69" w14:textId="77777777" w:rsidR="00CF0854" w:rsidRPr="00CF0854" w:rsidRDefault="00CF0854" w:rsidP="00A850D4">
      <w:pPr>
        <w:jc w:val="both"/>
        <w:rPr>
          <w:b/>
          <w:bCs/>
        </w:rPr>
      </w:pPr>
      <w:r w:rsidRPr="00CF0854">
        <w:rPr>
          <w:b/>
          <w:bCs/>
        </w:rPr>
        <w:t xml:space="preserve">§ 1. </w:t>
      </w:r>
      <w:bookmarkStart w:id="0" w:name="_Hlk157158669"/>
      <w:r w:rsidRPr="00CF0854">
        <w:rPr>
          <w:b/>
          <w:bCs/>
        </w:rPr>
        <w:t>Sotsiaalministri 17. veebruari 2005. a määruse nr 18 „Ravimi teisese müügiloa taotlemine“ muutmine</w:t>
      </w:r>
      <w:bookmarkEnd w:id="0"/>
    </w:p>
    <w:p w14:paraId="6EA08EEF" w14:textId="77777777" w:rsidR="00CF0854" w:rsidRPr="00CF0854" w:rsidRDefault="00CF0854" w:rsidP="00A850D4">
      <w:pPr>
        <w:jc w:val="both"/>
        <w:rPr>
          <w:bCs/>
        </w:rPr>
      </w:pPr>
    </w:p>
    <w:p w14:paraId="20986754" w14:textId="77777777" w:rsidR="00CF0854" w:rsidRPr="00CF0854" w:rsidRDefault="00CF0854" w:rsidP="00A850D4">
      <w:pPr>
        <w:jc w:val="both"/>
        <w:rPr>
          <w:bCs/>
        </w:rPr>
      </w:pPr>
      <w:r w:rsidRPr="00CF0854">
        <w:rPr>
          <w:bCs/>
        </w:rPr>
        <w:t>Sotsiaalministri 17. veebruari 2005. a määruse nr 18 „Ravimi teisese müügiloa taotlemine“ § 2 täiendatakse lõikega 1</w:t>
      </w:r>
      <w:r w:rsidRPr="00CF0854">
        <w:rPr>
          <w:bCs/>
          <w:vertAlign w:val="superscript"/>
        </w:rPr>
        <w:t>1</w:t>
      </w:r>
      <w:r w:rsidRPr="00CF0854">
        <w:rPr>
          <w:bCs/>
        </w:rPr>
        <w:t xml:space="preserve"> järgmises sõnastuses:</w:t>
      </w:r>
    </w:p>
    <w:p w14:paraId="11C0C8C7" w14:textId="77777777" w:rsidR="00CF0854" w:rsidRPr="00CF0854" w:rsidRDefault="00CF0854" w:rsidP="00A850D4">
      <w:pPr>
        <w:jc w:val="both"/>
        <w:rPr>
          <w:bCs/>
        </w:rPr>
      </w:pPr>
    </w:p>
    <w:p w14:paraId="2BE323CE" w14:textId="77777777" w:rsidR="00CF0854" w:rsidRPr="00CF0854" w:rsidRDefault="00CF0854" w:rsidP="00A850D4">
      <w:pPr>
        <w:jc w:val="both"/>
        <w:rPr>
          <w:bCs/>
        </w:rPr>
      </w:pPr>
      <w:r w:rsidRPr="00CF0854">
        <w:rPr>
          <w:bCs/>
        </w:rPr>
        <w:t>„(1</w:t>
      </w:r>
      <w:r w:rsidRPr="00CF0854">
        <w:rPr>
          <w:bCs/>
          <w:vertAlign w:val="superscript"/>
        </w:rPr>
        <w:t>1</w:t>
      </w:r>
      <w:r w:rsidRPr="00CF0854">
        <w:rPr>
          <w:bCs/>
        </w:rPr>
        <w:t>) Teisese müügiloa taotlemiseks tuleb eesti või inglise keeles täidetud taotlus esitada Ravimiameti veebilehel avaldatud vormis.“.</w:t>
      </w:r>
    </w:p>
    <w:p w14:paraId="43E16170" w14:textId="77777777" w:rsidR="00CF0854" w:rsidRPr="00CF0854" w:rsidRDefault="00CF0854" w:rsidP="00A850D4">
      <w:pPr>
        <w:jc w:val="both"/>
        <w:rPr>
          <w:bCs/>
        </w:rPr>
      </w:pPr>
    </w:p>
    <w:p w14:paraId="3863EA18" w14:textId="77777777" w:rsidR="00CF0854" w:rsidRPr="00CF0854" w:rsidRDefault="00CF0854" w:rsidP="00A850D4">
      <w:pPr>
        <w:jc w:val="both"/>
        <w:rPr>
          <w:b/>
          <w:bCs/>
        </w:rPr>
      </w:pPr>
      <w:r w:rsidRPr="00CF0854">
        <w:rPr>
          <w:b/>
        </w:rPr>
        <w:t xml:space="preserve">§ 2. </w:t>
      </w:r>
      <w:bookmarkStart w:id="1" w:name="_Hlk157158680"/>
      <w:r w:rsidRPr="00CF0854">
        <w:rPr>
          <w:b/>
        </w:rPr>
        <w:t>Sotsiaalministri 18. veebruari 2005. a määruse nr 28 „Ravimi müügiloa taotluse</w:t>
      </w:r>
      <w:r w:rsidRPr="00CF0854">
        <w:rPr>
          <w:b/>
          <w:bCs/>
        </w:rPr>
        <w:t xml:space="preserve"> nõuded ja erialase hindamise tasu“ muutmine</w:t>
      </w:r>
      <w:bookmarkEnd w:id="1"/>
    </w:p>
    <w:p w14:paraId="6C185D7A" w14:textId="77777777" w:rsidR="00CF0854" w:rsidRPr="00CF0854" w:rsidRDefault="00CF0854" w:rsidP="00A850D4">
      <w:pPr>
        <w:jc w:val="both"/>
        <w:rPr>
          <w:bCs/>
        </w:rPr>
      </w:pPr>
    </w:p>
    <w:p w14:paraId="7DC70B73" w14:textId="77777777" w:rsidR="00CF0854" w:rsidRPr="00CF0854" w:rsidRDefault="00CF0854" w:rsidP="00A850D4">
      <w:pPr>
        <w:jc w:val="both"/>
        <w:rPr>
          <w:bCs/>
        </w:rPr>
      </w:pPr>
      <w:r w:rsidRPr="00CF0854">
        <w:rPr>
          <w:bCs/>
        </w:rPr>
        <w:t>Sotsiaalministri 18. veebruari 2005. a määruses nr 28 „Ravimi müügiloa taotluse nõuded ja erialase hindamise tasu“ tehakse järgmised muudatused:</w:t>
      </w:r>
    </w:p>
    <w:p w14:paraId="580F3DFA" w14:textId="77777777" w:rsidR="00CF0854" w:rsidRPr="00CF0854" w:rsidRDefault="00CF0854" w:rsidP="00A850D4">
      <w:pPr>
        <w:jc w:val="both"/>
        <w:rPr>
          <w:bCs/>
        </w:rPr>
      </w:pPr>
    </w:p>
    <w:p w14:paraId="5BC97BC2" w14:textId="77777777" w:rsidR="00CF0854" w:rsidRPr="00CF0854" w:rsidRDefault="00CF0854" w:rsidP="00A850D4">
      <w:pPr>
        <w:jc w:val="both"/>
        <w:rPr>
          <w:bCs/>
        </w:rPr>
      </w:pPr>
      <w:r w:rsidRPr="00CF0854">
        <w:rPr>
          <w:b/>
        </w:rPr>
        <w:t>1)</w:t>
      </w:r>
      <w:r w:rsidRPr="00CF0854">
        <w:rPr>
          <w:bCs/>
        </w:rPr>
        <w:t xml:space="preserve"> paragrahvi 3 lõige 9</w:t>
      </w:r>
      <w:bookmarkStart w:id="2" w:name="_Hlk139317092"/>
      <w:r w:rsidRPr="00CF0854">
        <w:rPr>
          <w:bCs/>
        </w:rPr>
        <w:t xml:space="preserve"> sõnastatakse järgmiselt</w:t>
      </w:r>
      <w:bookmarkEnd w:id="2"/>
      <w:r w:rsidRPr="00CF0854">
        <w:rPr>
          <w:bCs/>
        </w:rPr>
        <w:t xml:space="preserve">: </w:t>
      </w:r>
    </w:p>
    <w:p w14:paraId="5B9D9672" w14:textId="77777777" w:rsidR="00CF0854" w:rsidRPr="00CF0854" w:rsidRDefault="00CF0854" w:rsidP="00A850D4">
      <w:pPr>
        <w:jc w:val="both"/>
        <w:rPr>
          <w:bCs/>
        </w:rPr>
      </w:pPr>
    </w:p>
    <w:p w14:paraId="47A16C81" w14:textId="77777777" w:rsidR="00CF0854" w:rsidRPr="00CF0854" w:rsidRDefault="00CF0854" w:rsidP="00A850D4">
      <w:pPr>
        <w:jc w:val="both"/>
        <w:rPr>
          <w:bCs/>
        </w:rPr>
      </w:pPr>
      <w:r w:rsidRPr="00CF0854">
        <w:rPr>
          <w:bCs/>
        </w:rPr>
        <w:t>„</w:t>
      </w:r>
      <w:bookmarkStart w:id="3" w:name="_Hlk135170694"/>
      <w:r w:rsidRPr="00CF0854">
        <w:rPr>
          <w:bCs/>
        </w:rPr>
        <w:t xml:space="preserve">(9) Müügiloa uuendamise laiendatud protseduuri korral esitab müügiloa hoidja </w:t>
      </w:r>
      <w:bookmarkEnd w:id="3"/>
      <w:r w:rsidRPr="00CF0854">
        <w:rPr>
          <w:bCs/>
        </w:rPr>
        <w:t>taotlust täiendava dokumentatsioonina:</w:t>
      </w:r>
    </w:p>
    <w:p w14:paraId="16CC6995" w14:textId="77777777" w:rsidR="00CF0854" w:rsidRPr="00CF0854" w:rsidRDefault="00CF0854" w:rsidP="00A850D4">
      <w:pPr>
        <w:jc w:val="both"/>
        <w:rPr>
          <w:bCs/>
        </w:rPr>
      </w:pPr>
      <w:r w:rsidRPr="00CF0854">
        <w:rPr>
          <w:bCs/>
        </w:rPr>
        <w:t>1) kaasajastatud ravimpreparaadi omaduste kokkuvõtte;</w:t>
      </w:r>
    </w:p>
    <w:p w14:paraId="3AFB2F01" w14:textId="77777777" w:rsidR="00CF0854" w:rsidRPr="00CF0854" w:rsidRDefault="00CF0854" w:rsidP="00A850D4">
      <w:pPr>
        <w:jc w:val="both"/>
        <w:rPr>
          <w:bCs/>
        </w:rPr>
      </w:pPr>
      <w:r w:rsidRPr="00CF0854">
        <w:rPr>
          <w:bCs/>
        </w:rPr>
        <w:t>2) kaasajastatud pakendi infolehe;</w:t>
      </w:r>
    </w:p>
    <w:p w14:paraId="514703D7" w14:textId="77777777" w:rsidR="00CF0854" w:rsidRPr="00CF0854" w:rsidRDefault="00CF0854" w:rsidP="00A850D4">
      <w:pPr>
        <w:jc w:val="both"/>
        <w:rPr>
          <w:bCs/>
        </w:rPr>
      </w:pPr>
      <w:r w:rsidRPr="00CF0854">
        <w:rPr>
          <w:bCs/>
        </w:rPr>
        <w:t>3) kaasajastatud kokkuvõtlikud andmed preparaadi kvaliteedi, ohutuse ja efektiivsuse kohta, mis põhinevad usaldataval, kaasajastatud infol ja ravimpreparaadi kasutamisega seotud kogemustel;</w:t>
      </w:r>
    </w:p>
    <w:p w14:paraId="2C6B3E13" w14:textId="77777777" w:rsidR="00CF0854" w:rsidRPr="00CF0854" w:rsidRDefault="00CF0854" w:rsidP="00A850D4">
      <w:pPr>
        <w:jc w:val="both"/>
        <w:rPr>
          <w:bCs/>
        </w:rPr>
      </w:pPr>
      <w:r w:rsidRPr="00CF0854">
        <w:rPr>
          <w:bCs/>
        </w:rPr>
        <w:t>4) kokkuvõtte perioodilistest ohutusaruannetest;</w:t>
      </w:r>
    </w:p>
    <w:p w14:paraId="2939391E" w14:textId="77777777" w:rsidR="00CF0854" w:rsidRPr="00CF0854" w:rsidRDefault="00CF0854" w:rsidP="00A850D4">
      <w:pPr>
        <w:jc w:val="both"/>
        <w:rPr>
          <w:bCs/>
        </w:rPr>
      </w:pPr>
      <w:r w:rsidRPr="00CF0854">
        <w:rPr>
          <w:bCs/>
        </w:rPr>
        <w:t>5) nõuetekohased taotlused kõigi ravimpreparaadiga toimunud muutuste kohta, mida varem ei ole taotletud ravimiseaduse § 77 lõike 3 alusel kehtestatud korras.“;</w:t>
      </w:r>
    </w:p>
    <w:p w14:paraId="1351020D" w14:textId="77777777" w:rsidR="00CF0854" w:rsidRPr="00CF0854" w:rsidRDefault="00CF0854" w:rsidP="00A850D4">
      <w:pPr>
        <w:jc w:val="both"/>
        <w:rPr>
          <w:bCs/>
        </w:rPr>
      </w:pPr>
    </w:p>
    <w:p w14:paraId="25C87182" w14:textId="77777777" w:rsidR="00CF0854" w:rsidRPr="00CF0854" w:rsidRDefault="00CF0854" w:rsidP="00A850D4">
      <w:pPr>
        <w:jc w:val="both"/>
        <w:rPr>
          <w:bCs/>
        </w:rPr>
      </w:pPr>
      <w:bookmarkStart w:id="4" w:name="_Hlk134436350"/>
      <w:r w:rsidRPr="00CF0854">
        <w:rPr>
          <w:b/>
        </w:rPr>
        <w:t>2)</w:t>
      </w:r>
      <w:r w:rsidRPr="00CF0854">
        <w:rPr>
          <w:bCs/>
        </w:rPr>
        <w:t xml:space="preserve"> paragrahvi 5 lõiget 2 täiendatakse punktiga 14 järgmises sõnastuses:</w:t>
      </w:r>
    </w:p>
    <w:p w14:paraId="15B75854" w14:textId="77777777" w:rsidR="00CF0854" w:rsidRPr="00CF0854" w:rsidRDefault="00CF0854" w:rsidP="00A850D4">
      <w:pPr>
        <w:jc w:val="both"/>
        <w:rPr>
          <w:bCs/>
        </w:rPr>
      </w:pPr>
    </w:p>
    <w:tbl>
      <w:tblPr>
        <w:tblStyle w:val="Kontuurtabel"/>
        <w:tblW w:w="0" w:type="auto"/>
        <w:tblLook w:val="04A0" w:firstRow="1" w:lastRow="0" w:firstColumn="1" w:lastColumn="0" w:noHBand="0" w:noVBand="1"/>
      </w:tblPr>
      <w:tblGrid>
        <w:gridCol w:w="7366"/>
        <w:gridCol w:w="1696"/>
      </w:tblGrid>
      <w:tr w:rsidR="00CF0854" w:rsidRPr="00CF0854" w14:paraId="7AA1B392" w14:textId="77777777" w:rsidTr="00B33D7E">
        <w:tc>
          <w:tcPr>
            <w:tcW w:w="7366" w:type="dxa"/>
          </w:tcPr>
          <w:p w14:paraId="35C448A9" w14:textId="77777777" w:rsidR="00CF0854" w:rsidRPr="00CF0854" w:rsidRDefault="00CF0854" w:rsidP="00A850D4">
            <w:pPr>
              <w:jc w:val="both"/>
              <w:rPr>
                <w:bCs/>
              </w:rPr>
            </w:pPr>
            <w:r w:rsidRPr="00CF0854">
              <w:rPr>
                <w:bCs/>
              </w:rPr>
              <w:t>„14) hilisema tunnustamise taotlus (määruse (EL) 2019/6 art 53)</w:t>
            </w:r>
          </w:p>
        </w:tc>
        <w:tc>
          <w:tcPr>
            <w:tcW w:w="1696" w:type="dxa"/>
          </w:tcPr>
          <w:p w14:paraId="4624536F" w14:textId="77777777" w:rsidR="00CF0854" w:rsidRPr="00CF0854" w:rsidRDefault="00CF0854" w:rsidP="00A850D4">
            <w:pPr>
              <w:jc w:val="both"/>
              <w:rPr>
                <w:bCs/>
              </w:rPr>
            </w:pPr>
            <w:r w:rsidRPr="00CF0854">
              <w:rPr>
                <w:bCs/>
              </w:rPr>
              <w:t>3000 eurot“;</w:t>
            </w:r>
          </w:p>
        </w:tc>
      </w:tr>
      <w:bookmarkEnd w:id="4"/>
    </w:tbl>
    <w:p w14:paraId="2872D79C" w14:textId="77777777" w:rsidR="00CF0854" w:rsidRPr="00CF0854" w:rsidRDefault="00CF0854" w:rsidP="00A850D4">
      <w:pPr>
        <w:jc w:val="both"/>
        <w:rPr>
          <w:bCs/>
        </w:rPr>
      </w:pPr>
    </w:p>
    <w:p w14:paraId="58C640FB" w14:textId="77777777" w:rsidR="00CF0854" w:rsidRPr="00CF0854" w:rsidRDefault="00CF0854" w:rsidP="00A850D4">
      <w:pPr>
        <w:jc w:val="both"/>
        <w:rPr>
          <w:bCs/>
        </w:rPr>
      </w:pPr>
      <w:bookmarkStart w:id="5" w:name="_Hlk134436312"/>
      <w:r w:rsidRPr="00CF0854">
        <w:rPr>
          <w:b/>
        </w:rPr>
        <w:lastRenderedPageBreak/>
        <w:t>3)</w:t>
      </w:r>
      <w:r w:rsidRPr="00CF0854">
        <w:rPr>
          <w:bCs/>
        </w:rPr>
        <w:t xml:space="preserve"> paragrahvi 5 lõikes </w:t>
      </w:r>
      <w:bookmarkEnd w:id="5"/>
      <w:r w:rsidRPr="00CF0854">
        <w:rPr>
          <w:bCs/>
        </w:rPr>
        <w:t xml:space="preserve">4 asendatakse tekstiosa „§ 67 lõikes 2“ tekstiosaga „§ 67 lõikes 3“. </w:t>
      </w:r>
    </w:p>
    <w:p w14:paraId="48B7B7B2" w14:textId="77777777" w:rsidR="00CF0854" w:rsidRPr="00CF0854" w:rsidRDefault="00CF0854" w:rsidP="00A850D4">
      <w:pPr>
        <w:jc w:val="both"/>
        <w:rPr>
          <w:bCs/>
        </w:rPr>
      </w:pPr>
    </w:p>
    <w:p w14:paraId="4B0F11B0" w14:textId="77777777" w:rsidR="00CF0854" w:rsidRPr="00CF0854" w:rsidRDefault="00CF0854" w:rsidP="00A850D4">
      <w:pPr>
        <w:jc w:val="both"/>
        <w:rPr>
          <w:bCs/>
        </w:rPr>
      </w:pPr>
      <w:r w:rsidRPr="00CF0854">
        <w:rPr>
          <w:b/>
        </w:rPr>
        <w:t xml:space="preserve">§ 3. </w:t>
      </w:r>
      <w:bookmarkStart w:id="6" w:name="_Hlk157158692"/>
      <w:r w:rsidRPr="00CF0854">
        <w:rPr>
          <w:b/>
        </w:rPr>
        <w:t>Sotsiaalministri 18. veebruari 2005. a määruse nr 29 „Ravimi müügiloa andmine ja</w:t>
      </w:r>
      <w:r w:rsidRPr="00CF0854">
        <w:rPr>
          <w:b/>
          <w:bCs/>
        </w:rPr>
        <w:t xml:space="preserve"> uuendamine ning Euroopa Majanduspiirkonna liikmesriigi pädeva asutuse hinnangu tunnustamine“ muutmine</w:t>
      </w:r>
    </w:p>
    <w:bookmarkEnd w:id="6"/>
    <w:p w14:paraId="1C26679A" w14:textId="77777777" w:rsidR="00CF0854" w:rsidRPr="00CF0854" w:rsidRDefault="00CF0854" w:rsidP="00A850D4">
      <w:pPr>
        <w:jc w:val="both"/>
        <w:rPr>
          <w:bCs/>
        </w:rPr>
      </w:pPr>
    </w:p>
    <w:p w14:paraId="0861508C" w14:textId="77777777" w:rsidR="00CF0854" w:rsidRPr="00CF0854" w:rsidRDefault="00CF0854" w:rsidP="00A850D4">
      <w:pPr>
        <w:jc w:val="both"/>
        <w:rPr>
          <w:bCs/>
        </w:rPr>
      </w:pPr>
      <w:r w:rsidRPr="00CF0854">
        <w:rPr>
          <w:bCs/>
        </w:rPr>
        <w:t>Sotsiaalministri 18. veebruari 2005. a määruses nr 29 „Ravimi müügiloa andmine ja uuendamine ning Euroopa Majanduspiirkonna liikmesriigi pädeva asutuse hinnangu tunnustamine“ tehakse järgmised muudatused:</w:t>
      </w:r>
    </w:p>
    <w:p w14:paraId="185BB6EC" w14:textId="77777777" w:rsidR="00CF0854" w:rsidRPr="00CF0854" w:rsidRDefault="00CF0854" w:rsidP="00A850D4">
      <w:pPr>
        <w:jc w:val="both"/>
        <w:rPr>
          <w:bCs/>
        </w:rPr>
      </w:pPr>
      <w:bookmarkStart w:id="7" w:name="_Hlk135385331"/>
    </w:p>
    <w:p w14:paraId="118527B8" w14:textId="77777777" w:rsidR="00CF0854" w:rsidRPr="00CF0854" w:rsidRDefault="00CF0854" w:rsidP="00A850D4">
      <w:pPr>
        <w:jc w:val="both"/>
        <w:rPr>
          <w:bCs/>
        </w:rPr>
      </w:pPr>
      <w:r w:rsidRPr="00CF0854">
        <w:rPr>
          <w:b/>
          <w:bCs/>
        </w:rPr>
        <w:t>1)</w:t>
      </w:r>
      <w:r w:rsidRPr="00CF0854">
        <w:rPr>
          <w:bCs/>
        </w:rPr>
        <w:t xml:space="preserve"> paragrahvi 2 lõikes 3 asendatakse sõna „näidis“ sõnadega „pakendi kavand“;</w:t>
      </w:r>
    </w:p>
    <w:p w14:paraId="3C518939" w14:textId="77777777" w:rsidR="00CF0854" w:rsidRPr="00CF0854" w:rsidRDefault="00CF0854" w:rsidP="00A850D4">
      <w:pPr>
        <w:jc w:val="both"/>
        <w:rPr>
          <w:bCs/>
        </w:rPr>
      </w:pPr>
    </w:p>
    <w:p w14:paraId="1F0A1F35" w14:textId="77777777" w:rsidR="00CF0854" w:rsidRPr="00CF0854" w:rsidRDefault="00CF0854" w:rsidP="00A850D4">
      <w:pPr>
        <w:jc w:val="both"/>
        <w:rPr>
          <w:bCs/>
        </w:rPr>
      </w:pPr>
      <w:r w:rsidRPr="00CF0854">
        <w:rPr>
          <w:b/>
          <w:bCs/>
        </w:rPr>
        <w:t>2)</w:t>
      </w:r>
      <w:r w:rsidRPr="00CF0854">
        <w:rPr>
          <w:bCs/>
        </w:rPr>
        <w:t xml:space="preserve"> paragrahvi 3 lõige 5 sõnastatakse järgmiselt: </w:t>
      </w:r>
    </w:p>
    <w:p w14:paraId="625C0360" w14:textId="77777777" w:rsidR="00CF0854" w:rsidRPr="00CF0854" w:rsidRDefault="00CF0854" w:rsidP="00A850D4">
      <w:pPr>
        <w:jc w:val="both"/>
        <w:rPr>
          <w:bCs/>
        </w:rPr>
      </w:pPr>
    </w:p>
    <w:p w14:paraId="7EFA72E1" w14:textId="77777777" w:rsidR="00CF0854" w:rsidRPr="00CF0854" w:rsidRDefault="00CF0854" w:rsidP="00A850D4">
      <w:pPr>
        <w:jc w:val="both"/>
        <w:rPr>
          <w:bCs/>
        </w:rPr>
      </w:pPr>
      <w:r w:rsidRPr="00CF0854">
        <w:rPr>
          <w:bCs/>
        </w:rPr>
        <w:t>„(5) Taotluse menetluse aja sisse kuulub aeg, mis kulub Ravimiametil müügiloa taotleja esitatud ravimi ohutust, kvaliteeti ja efektiivsust käsitleva dokumentatsiooni hindamiseks ning koostöös taotlejaga Eestis turustamisele tuleva ravimpreparaadi pakendi märgistuse, pakendi infolehe ja ravimi omaduste kokkuvõtte vastavusse viimiseks kehtivate õigusaktidega, samuti vajaduse korral ravimi kvaliteedi laboratoorseks kontrolliks kuluv aeg.“;</w:t>
      </w:r>
    </w:p>
    <w:bookmarkEnd w:id="7"/>
    <w:p w14:paraId="69162F5A" w14:textId="77777777" w:rsidR="00CF0854" w:rsidRPr="00CF0854" w:rsidRDefault="00CF0854" w:rsidP="00A850D4">
      <w:pPr>
        <w:jc w:val="both"/>
        <w:rPr>
          <w:bCs/>
        </w:rPr>
      </w:pPr>
    </w:p>
    <w:p w14:paraId="1323753A" w14:textId="77777777" w:rsidR="00CF0854" w:rsidRPr="00CF0854" w:rsidRDefault="00CF0854" w:rsidP="00A850D4">
      <w:pPr>
        <w:jc w:val="both"/>
        <w:rPr>
          <w:bCs/>
        </w:rPr>
      </w:pPr>
      <w:r w:rsidRPr="00CF0854">
        <w:rPr>
          <w:b/>
          <w:bCs/>
        </w:rPr>
        <w:t>3)</w:t>
      </w:r>
      <w:r w:rsidRPr="00CF0854">
        <w:rPr>
          <w:bCs/>
        </w:rPr>
        <w:t xml:space="preserve"> paragrahvi 3 lõige 6 tunnistatakse kehtetuks; </w:t>
      </w:r>
    </w:p>
    <w:p w14:paraId="5254EA44" w14:textId="77777777" w:rsidR="00CF0854" w:rsidRPr="00CF0854" w:rsidRDefault="00CF0854" w:rsidP="00A850D4">
      <w:pPr>
        <w:jc w:val="both"/>
        <w:rPr>
          <w:bCs/>
        </w:rPr>
      </w:pPr>
    </w:p>
    <w:p w14:paraId="1EAC1563" w14:textId="77777777" w:rsidR="00CF0854" w:rsidRPr="00CF0854" w:rsidRDefault="00CF0854" w:rsidP="00A850D4">
      <w:pPr>
        <w:jc w:val="both"/>
        <w:rPr>
          <w:bCs/>
        </w:rPr>
      </w:pPr>
      <w:bookmarkStart w:id="8" w:name="_Hlk135386648"/>
      <w:r w:rsidRPr="00CF0854">
        <w:rPr>
          <w:b/>
          <w:bCs/>
        </w:rPr>
        <w:t>4)</w:t>
      </w:r>
      <w:r w:rsidRPr="00CF0854">
        <w:rPr>
          <w:bCs/>
        </w:rPr>
        <w:t xml:space="preserve"> paragrahvi 4 lõikes 6 asendatakse sõna „uuendamisel“ sõnadega „uuendamise laiendatud protseduuri korral“.</w:t>
      </w:r>
    </w:p>
    <w:bookmarkEnd w:id="8"/>
    <w:p w14:paraId="4ABD32E8" w14:textId="77777777" w:rsidR="00CF0854" w:rsidRPr="00CF0854" w:rsidRDefault="00CF0854" w:rsidP="00A850D4">
      <w:pPr>
        <w:jc w:val="both"/>
        <w:rPr>
          <w:bCs/>
        </w:rPr>
      </w:pPr>
    </w:p>
    <w:p w14:paraId="5756D41C" w14:textId="77777777" w:rsidR="00CF0854" w:rsidRPr="00CF0854" w:rsidRDefault="00CF0854" w:rsidP="00A850D4">
      <w:pPr>
        <w:jc w:val="both"/>
        <w:rPr>
          <w:b/>
          <w:bCs/>
        </w:rPr>
      </w:pPr>
      <w:r w:rsidRPr="00CF0854">
        <w:rPr>
          <w:b/>
          <w:bCs/>
        </w:rPr>
        <w:t>§ 4. Sotsiaalministri 11. märtsi 2005. a määruse nr 42 „Nõuded pädeva isiku kvalifikatsioonile ja kvalifikatsiooni tõendavate dokumentide loetelu“ muutmine</w:t>
      </w:r>
    </w:p>
    <w:p w14:paraId="39140A3E" w14:textId="77777777" w:rsidR="00CF0854" w:rsidRPr="00CF0854" w:rsidRDefault="00CF0854" w:rsidP="00A850D4">
      <w:pPr>
        <w:jc w:val="both"/>
      </w:pPr>
    </w:p>
    <w:p w14:paraId="50D9BEB8" w14:textId="77777777" w:rsidR="00CF0854" w:rsidRPr="00CF0854" w:rsidRDefault="00CF0854" w:rsidP="00A850D4">
      <w:pPr>
        <w:jc w:val="both"/>
      </w:pPr>
      <w:r w:rsidRPr="00CF0854">
        <w:t>Sotsiaalministri 11. märtsi 2005. a määruses nr 42 „Nõuded pädeva isiku kvalifikatsioonile ja kvalifikatsiooni tõendavate dokumentide loetelu“ tehakse järgmised muudatused:</w:t>
      </w:r>
    </w:p>
    <w:p w14:paraId="4C767CA6" w14:textId="77777777" w:rsidR="00CF0854" w:rsidRPr="00CF0854" w:rsidRDefault="00CF0854" w:rsidP="00A850D4">
      <w:pPr>
        <w:jc w:val="both"/>
      </w:pPr>
    </w:p>
    <w:p w14:paraId="7898C40B" w14:textId="77777777" w:rsidR="00CF0854" w:rsidRPr="00CF0854" w:rsidRDefault="00CF0854" w:rsidP="00A850D4">
      <w:pPr>
        <w:jc w:val="both"/>
        <w:rPr>
          <w:b/>
          <w:bCs/>
        </w:rPr>
      </w:pPr>
      <w:r w:rsidRPr="00CF0854">
        <w:rPr>
          <w:b/>
        </w:rPr>
        <w:t>1)</w:t>
      </w:r>
      <w:r w:rsidRPr="00CF0854">
        <w:t xml:space="preserve"> paragrahv 2 </w:t>
      </w:r>
      <w:r w:rsidRPr="00CF0854">
        <w:rPr>
          <w:bCs/>
        </w:rPr>
        <w:t>sõnastatakse järgmiselt:</w:t>
      </w:r>
      <w:r w:rsidRPr="00CF0854">
        <w:rPr>
          <w:b/>
          <w:bCs/>
        </w:rPr>
        <w:t xml:space="preserve"> </w:t>
      </w:r>
    </w:p>
    <w:p w14:paraId="17A5CEBD" w14:textId="77777777" w:rsidR="00CF0854" w:rsidRPr="00CF0854" w:rsidRDefault="00CF0854" w:rsidP="00A850D4">
      <w:pPr>
        <w:jc w:val="both"/>
        <w:rPr>
          <w:b/>
          <w:bCs/>
        </w:rPr>
      </w:pPr>
    </w:p>
    <w:p w14:paraId="4EF8DC23" w14:textId="77777777" w:rsidR="00CF0854" w:rsidRPr="00CF0854" w:rsidRDefault="00CF0854" w:rsidP="00A850D4">
      <w:pPr>
        <w:jc w:val="both"/>
        <w:rPr>
          <w:b/>
          <w:bCs/>
        </w:rPr>
      </w:pPr>
      <w:r w:rsidRPr="00CF0854">
        <w:t>„</w:t>
      </w:r>
      <w:r w:rsidRPr="00CF0854">
        <w:rPr>
          <w:b/>
          <w:bCs/>
        </w:rPr>
        <w:t>§ 2.</w:t>
      </w:r>
      <w:bookmarkStart w:id="9" w:name="para2"/>
      <w:r w:rsidRPr="00CF0854">
        <w:t> </w:t>
      </w:r>
      <w:bookmarkEnd w:id="9"/>
      <w:r w:rsidRPr="00CF0854">
        <w:rPr>
          <w:b/>
          <w:bCs/>
        </w:rPr>
        <w:t>Pädeva isiku kvalifikatsiooni tõendavad dokumendid</w:t>
      </w:r>
    </w:p>
    <w:p w14:paraId="3C21FC63" w14:textId="77777777" w:rsidR="00CF0854" w:rsidRPr="00CF0854" w:rsidRDefault="00CF0854" w:rsidP="00A850D4">
      <w:pPr>
        <w:jc w:val="both"/>
      </w:pPr>
    </w:p>
    <w:p w14:paraId="7EDC3B5A" w14:textId="77777777" w:rsidR="00CF0854" w:rsidRPr="00CF0854" w:rsidRDefault="00CF0854" w:rsidP="00A850D4">
      <w:pPr>
        <w:jc w:val="both"/>
      </w:pPr>
      <w:r w:rsidRPr="00CF0854">
        <w:t>Tegevusloa taotleja esitab Ravimiametile järgmised pädeva isiku kvalifikatsiooni tõendavate dokumentide koopiad:</w:t>
      </w:r>
    </w:p>
    <w:p w14:paraId="61DDE048" w14:textId="77777777" w:rsidR="00CF0854" w:rsidRPr="00CF0854" w:rsidRDefault="00CF0854" w:rsidP="00A850D4">
      <w:pPr>
        <w:jc w:val="both"/>
      </w:pPr>
      <w:r w:rsidRPr="00CF0854">
        <w:t>1) haridust tõendav dokument, välja arvatud juhul, kui andmed on olemas riigi infosüsteemi kuuluvas andmekogus;</w:t>
      </w:r>
    </w:p>
    <w:p w14:paraId="17F21C46" w14:textId="77777777" w:rsidR="00CF0854" w:rsidRPr="00CF0854" w:rsidRDefault="00CF0854" w:rsidP="00A850D4">
      <w:pPr>
        <w:jc w:val="both"/>
      </w:pPr>
      <w:r w:rsidRPr="00CF0854">
        <w:t>2) akadeemiline õiend, välja arvatud juhul, kui andmed on olemas riigi infosüsteemi kuuluvas andmekogus;</w:t>
      </w:r>
    </w:p>
    <w:p w14:paraId="3E337568" w14:textId="77777777" w:rsidR="00CF0854" w:rsidRPr="00CF0854" w:rsidRDefault="00CF0854" w:rsidP="00A850D4">
      <w:pPr>
        <w:jc w:val="both"/>
      </w:pPr>
      <w:r w:rsidRPr="00CF0854">
        <w:t>3) tööleping või töötamist tõendav muu dokument, milles kajastub ettevõtte nimi, asukoht ja tegevusvaldkond;</w:t>
      </w:r>
    </w:p>
    <w:p w14:paraId="572BF7AA" w14:textId="77777777" w:rsidR="00CF0854" w:rsidRPr="00CF0854" w:rsidRDefault="00CF0854" w:rsidP="00A850D4">
      <w:pPr>
        <w:jc w:val="both"/>
      </w:pPr>
      <w:r w:rsidRPr="00CF0854">
        <w:t>4) eelneva töökogemuse kirjeldus, milles on välja toodud asjakohased töökohad töö kirjelduse, töötatud aja ja tööandja nimega;</w:t>
      </w:r>
    </w:p>
    <w:p w14:paraId="4CC90947" w14:textId="77777777" w:rsidR="00CF0854" w:rsidRPr="00CF0854" w:rsidRDefault="00CF0854" w:rsidP="00A850D4">
      <w:pPr>
        <w:jc w:val="both"/>
      </w:pPr>
      <w:r w:rsidRPr="00CF0854">
        <w:t>5) viimase kahe aasta jooksul täienduskoolituse läbimist tõendavad dokumendid ja järgneva aasta koolitusplaan.“;</w:t>
      </w:r>
    </w:p>
    <w:p w14:paraId="5775BE6F" w14:textId="77777777" w:rsidR="00CF0854" w:rsidRPr="00CF0854" w:rsidRDefault="00CF0854" w:rsidP="00A850D4">
      <w:pPr>
        <w:jc w:val="both"/>
        <w:rPr>
          <w:b/>
          <w:bCs/>
        </w:rPr>
      </w:pPr>
    </w:p>
    <w:p w14:paraId="5B1799C4" w14:textId="77777777" w:rsidR="00CF0854" w:rsidRPr="00CF0854" w:rsidRDefault="00CF0854" w:rsidP="00A850D4">
      <w:pPr>
        <w:jc w:val="both"/>
      </w:pPr>
      <w:r w:rsidRPr="00CF0854">
        <w:rPr>
          <w:b/>
        </w:rPr>
        <w:t>2)</w:t>
      </w:r>
      <w:r w:rsidRPr="00CF0854">
        <w:t xml:space="preserve"> paragrahvi 3 täiendatakse punktiga 3 järgmises sõnastuses:</w:t>
      </w:r>
    </w:p>
    <w:p w14:paraId="3372CE31" w14:textId="77777777" w:rsidR="00CF0854" w:rsidRPr="00CF0854" w:rsidRDefault="00CF0854" w:rsidP="00A850D4">
      <w:pPr>
        <w:jc w:val="both"/>
      </w:pPr>
    </w:p>
    <w:p w14:paraId="565D0D69" w14:textId="77777777" w:rsidR="00CF0854" w:rsidRPr="00CF0854" w:rsidRDefault="00CF0854" w:rsidP="00A850D4">
      <w:pPr>
        <w:jc w:val="both"/>
      </w:pPr>
      <w:r w:rsidRPr="00CF0854">
        <w:t>„3) sobiv ja ajakohane töökogemus pädeva isiku ülesannete täitmiseks.“;</w:t>
      </w:r>
    </w:p>
    <w:p w14:paraId="4AD8464B" w14:textId="77777777" w:rsidR="00CF0854" w:rsidRPr="00CF0854" w:rsidRDefault="00CF0854" w:rsidP="00A850D4">
      <w:pPr>
        <w:jc w:val="both"/>
      </w:pPr>
    </w:p>
    <w:p w14:paraId="660D7A38" w14:textId="77777777" w:rsidR="00CF0854" w:rsidRPr="00CF0854" w:rsidRDefault="00CF0854" w:rsidP="00A850D4">
      <w:pPr>
        <w:jc w:val="both"/>
      </w:pPr>
      <w:r w:rsidRPr="00CF0854">
        <w:rPr>
          <w:b/>
        </w:rPr>
        <w:t xml:space="preserve">3) </w:t>
      </w:r>
      <w:r w:rsidRPr="00CF0854">
        <w:t>paragrahvi 4 lõike 1 punkt 1</w:t>
      </w:r>
      <w:r w:rsidRPr="00CF0854">
        <w:rPr>
          <w:bCs/>
        </w:rPr>
        <w:t xml:space="preserve"> sõnastatakse järgmiselt</w:t>
      </w:r>
      <w:r w:rsidRPr="00CF0854">
        <w:t>:</w:t>
      </w:r>
    </w:p>
    <w:p w14:paraId="2E16A16B" w14:textId="77777777" w:rsidR="00CF0854" w:rsidRPr="00CF0854" w:rsidRDefault="00CF0854" w:rsidP="00A850D4">
      <w:pPr>
        <w:jc w:val="both"/>
        <w:rPr>
          <w:b/>
        </w:rPr>
      </w:pPr>
    </w:p>
    <w:p w14:paraId="353B4F01" w14:textId="77777777" w:rsidR="00CF0854" w:rsidRPr="00CF0854" w:rsidRDefault="00CF0854" w:rsidP="00A850D4">
      <w:pPr>
        <w:jc w:val="both"/>
      </w:pPr>
      <w:r w:rsidRPr="00CF0854">
        <w:t xml:space="preserve">„1) </w:t>
      </w:r>
      <w:bookmarkStart w:id="10" w:name="_Hlk136442455"/>
      <w:r w:rsidRPr="00CF0854">
        <w:t>ülikoolis omandatud akadeemiline kraad arstiteaduse või proviisori erialal või keemia või bioloogia teadusharus või kõrgharidus tehnilisel erialal või vastav välisriigi kvalifikatsioon</w:t>
      </w:r>
      <w:bookmarkEnd w:id="10"/>
      <w:r w:rsidRPr="00CF0854">
        <w:t>;“;</w:t>
      </w:r>
    </w:p>
    <w:p w14:paraId="3F5297A1" w14:textId="77777777" w:rsidR="00CF0854" w:rsidRPr="00CF0854" w:rsidRDefault="00CF0854" w:rsidP="00A850D4">
      <w:pPr>
        <w:jc w:val="both"/>
      </w:pPr>
    </w:p>
    <w:p w14:paraId="5E8FD327" w14:textId="77777777" w:rsidR="00CF0854" w:rsidRPr="00CF0854" w:rsidRDefault="00CF0854" w:rsidP="00A850D4">
      <w:pPr>
        <w:jc w:val="both"/>
      </w:pPr>
      <w:r w:rsidRPr="00CF0854">
        <w:rPr>
          <w:b/>
        </w:rPr>
        <w:t>4)</w:t>
      </w:r>
      <w:r w:rsidRPr="00CF0854">
        <w:t xml:space="preserve"> paragrahvi 5 lõike 1 punkt 1</w:t>
      </w:r>
      <w:r w:rsidRPr="00CF0854">
        <w:rPr>
          <w:bCs/>
        </w:rPr>
        <w:t xml:space="preserve"> sõnastatakse järgmiselt</w:t>
      </w:r>
      <w:r w:rsidRPr="00CF0854">
        <w:t>:</w:t>
      </w:r>
    </w:p>
    <w:p w14:paraId="4EA46CF0" w14:textId="77777777" w:rsidR="00CF0854" w:rsidRPr="00CF0854" w:rsidRDefault="00CF0854" w:rsidP="00A850D4">
      <w:pPr>
        <w:jc w:val="both"/>
      </w:pPr>
    </w:p>
    <w:p w14:paraId="14F41100" w14:textId="77777777" w:rsidR="00CF0854" w:rsidRPr="00CF0854" w:rsidRDefault="00CF0854" w:rsidP="00A850D4">
      <w:pPr>
        <w:jc w:val="both"/>
      </w:pPr>
      <w:r w:rsidRPr="00CF0854">
        <w:t>„1) ülikoolis omandatud akadeemiline kraad arstiteaduse või proviisori erialal või keemia või bioloogia teadusharus või vastav välisriigi kvalifikatsioon;“;</w:t>
      </w:r>
    </w:p>
    <w:p w14:paraId="723CF05C" w14:textId="77777777" w:rsidR="00CF0854" w:rsidRPr="00CF0854" w:rsidRDefault="00CF0854" w:rsidP="00A850D4">
      <w:pPr>
        <w:jc w:val="both"/>
      </w:pPr>
    </w:p>
    <w:p w14:paraId="26DDDE94" w14:textId="77777777" w:rsidR="00CF0854" w:rsidRPr="00CF0854" w:rsidRDefault="00CF0854" w:rsidP="00A850D4">
      <w:pPr>
        <w:jc w:val="both"/>
      </w:pPr>
      <w:r w:rsidRPr="00CF0854">
        <w:rPr>
          <w:b/>
        </w:rPr>
        <w:t xml:space="preserve">5) </w:t>
      </w:r>
      <w:r w:rsidRPr="00CF0854">
        <w:t>paragrahvi 5 täiendatakse lõikega 1</w:t>
      </w:r>
      <w:r w:rsidRPr="00CF0854">
        <w:rPr>
          <w:vertAlign w:val="superscript"/>
        </w:rPr>
        <w:t>1</w:t>
      </w:r>
      <w:r w:rsidRPr="00CF0854">
        <w:t xml:space="preserve"> järgmises sõnastuses:</w:t>
      </w:r>
    </w:p>
    <w:p w14:paraId="28B08FA3" w14:textId="77777777" w:rsidR="00CF0854" w:rsidRPr="00CF0854" w:rsidRDefault="00CF0854" w:rsidP="00A850D4">
      <w:pPr>
        <w:jc w:val="both"/>
      </w:pPr>
    </w:p>
    <w:p w14:paraId="188318B7" w14:textId="77777777" w:rsidR="00CF0854" w:rsidRPr="00CF0854" w:rsidRDefault="00CF0854" w:rsidP="00A850D4">
      <w:pPr>
        <w:jc w:val="both"/>
      </w:pPr>
      <w:r w:rsidRPr="00CF0854">
        <w:t>„(1</w:t>
      </w:r>
      <w:r w:rsidRPr="00CF0854">
        <w:rPr>
          <w:vertAlign w:val="superscript"/>
        </w:rPr>
        <w:t>1</w:t>
      </w:r>
      <w:r w:rsidRPr="00CF0854">
        <w:t>) Kui</w:t>
      </w:r>
      <w:r w:rsidRPr="00CF0854" w:rsidDel="00974AF6">
        <w:t xml:space="preserve"> </w:t>
      </w:r>
      <w:r w:rsidRPr="00CF0854">
        <w:t>tegevuseks on ainult ravimi pakendi või selle märgistuse muutmine või füüsiline import Euroopa Majanduspiirkonna välisest riigist, on töökogemuse nõutav pikkus vähemalt üks aasta, sõltumata sellest, milline lõike 1 punktis 1 nimetatud akadeemilistest kraadidest on omandatud.“;</w:t>
      </w:r>
    </w:p>
    <w:p w14:paraId="7857D64E" w14:textId="77777777" w:rsidR="00CF0854" w:rsidRPr="00CF0854" w:rsidRDefault="00CF0854" w:rsidP="00A850D4">
      <w:pPr>
        <w:jc w:val="both"/>
      </w:pPr>
    </w:p>
    <w:p w14:paraId="5CC56685" w14:textId="77777777" w:rsidR="00CF0854" w:rsidRPr="00CF0854" w:rsidRDefault="00CF0854" w:rsidP="00A850D4">
      <w:pPr>
        <w:jc w:val="both"/>
      </w:pPr>
      <w:r w:rsidRPr="00CF0854">
        <w:rPr>
          <w:b/>
        </w:rPr>
        <w:t xml:space="preserve">6) </w:t>
      </w:r>
      <w:r w:rsidRPr="00CF0854">
        <w:t xml:space="preserve">paragrahvi 5 lõige 3 </w:t>
      </w:r>
      <w:r w:rsidRPr="00CF0854">
        <w:rPr>
          <w:bCs/>
        </w:rPr>
        <w:t>sõnastatakse järgmiselt</w:t>
      </w:r>
      <w:r w:rsidRPr="00CF0854">
        <w:t>:</w:t>
      </w:r>
    </w:p>
    <w:p w14:paraId="1BFAE3A5" w14:textId="77777777" w:rsidR="00CF0854" w:rsidRPr="00CF0854" w:rsidRDefault="00CF0854" w:rsidP="00A850D4">
      <w:pPr>
        <w:jc w:val="both"/>
        <w:rPr>
          <w:b/>
        </w:rPr>
      </w:pPr>
    </w:p>
    <w:p w14:paraId="02FBF6EE" w14:textId="77777777" w:rsidR="00CF0854" w:rsidRPr="00CF0854" w:rsidRDefault="00CF0854" w:rsidP="00A850D4">
      <w:pPr>
        <w:jc w:val="both"/>
      </w:pPr>
      <w:r w:rsidRPr="00CF0854">
        <w:rPr>
          <w:b/>
        </w:rPr>
        <w:t>„</w:t>
      </w:r>
      <w:r w:rsidRPr="00CF0854">
        <w:t>(3) Pädeva isiku ettevalmistus ja kogemus peavad vastama tootmistegevustele. Isik, kelle töökogemus on omandatud ainult pakendi või selle märgistuse muutmise või füüsilise impordi valdkonnas, ei saa olla pädevaks isikuks teiste tootmistegevustega ettevõttes.“;</w:t>
      </w:r>
    </w:p>
    <w:p w14:paraId="173CAE9A" w14:textId="77777777" w:rsidR="00CF0854" w:rsidRPr="00CF0854" w:rsidRDefault="00CF0854" w:rsidP="00A850D4">
      <w:pPr>
        <w:jc w:val="both"/>
      </w:pPr>
    </w:p>
    <w:p w14:paraId="0E030EE3" w14:textId="77777777" w:rsidR="00CF0854" w:rsidRPr="00CF0854" w:rsidRDefault="00CF0854" w:rsidP="00A850D4">
      <w:pPr>
        <w:jc w:val="both"/>
      </w:pPr>
      <w:r w:rsidRPr="00CF0854">
        <w:rPr>
          <w:b/>
        </w:rPr>
        <w:t xml:space="preserve">7) </w:t>
      </w:r>
      <w:r w:rsidRPr="00CF0854">
        <w:t>paragrahvi 5 lõige 4 tunnistatakse kehtetuks;</w:t>
      </w:r>
    </w:p>
    <w:p w14:paraId="265EC2C7" w14:textId="77777777" w:rsidR="00CF0854" w:rsidRPr="00CF0854" w:rsidRDefault="00CF0854" w:rsidP="00A850D4">
      <w:pPr>
        <w:jc w:val="both"/>
      </w:pPr>
    </w:p>
    <w:p w14:paraId="1C631B7F" w14:textId="77777777" w:rsidR="00CF0854" w:rsidRPr="00CF0854" w:rsidRDefault="00CF0854" w:rsidP="00A850D4">
      <w:pPr>
        <w:jc w:val="both"/>
      </w:pPr>
      <w:r w:rsidRPr="00CF0854">
        <w:rPr>
          <w:b/>
          <w:bCs/>
        </w:rPr>
        <w:t>8)</w:t>
      </w:r>
      <w:r w:rsidRPr="00CF0854">
        <w:t xml:space="preserve"> paragrahvi 7 lõike 1 punkt 2</w:t>
      </w:r>
      <w:r w:rsidRPr="00CF0854">
        <w:rPr>
          <w:bCs/>
        </w:rPr>
        <w:t xml:space="preserve"> sõnastatakse järgmiselt</w:t>
      </w:r>
      <w:r w:rsidRPr="00CF0854">
        <w:t>:</w:t>
      </w:r>
    </w:p>
    <w:p w14:paraId="21228A64" w14:textId="77777777" w:rsidR="00CF0854" w:rsidRPr="00CF0854" w:rsidRDefault="00CF0854" w:rsidP="00A850D4">
      <w:pPr>
        <w:jc w:val="both"/>
      </w:pPr>
    </w:p>
    <w:p w14:paraId="4523DB18" w14:textId="77777777" w:rsidR="00CF0854" w:rsidRPr="00CF0854" w:rsidRDefault="00CF0854" w:rsidP="00A850D4">
      <w:pPr>
        <w:jc w:val="both"/>
      </w:pPr>
      <w:r w:rsidRPr="00CF0854">
        <w:t>„2) vähemalt üheaastane töökogemus viimase viie aasta jooksul ravimite hulgimüügi või tootmise tegevusloaga ettevõttes või apteegis.“;</w:t>
      </w:r>
    </w:p>
    <w:p w14:paraId="0B990D7A" w14:textId="77777777" w:rsidR="00CF0854" w:rsidRPr="00CF0854" w:rsidRDefault="00CF0854" w:rsidP="00A850D4">
      <w:pPr>
        <w:jc w:val="both"/>
      </w:pPr>
    </w:p>
    <w:p w14:paraId="09A6A810" w14:textId="77777777" w:rsidR="00CF0854" w:rsidRPr="00CF0854" w:rsidRDefault="00CF0854" w:rsidP="00A850D4">
      <w:pPr>
        <w:jc w:val="both"/>
      </w:pPr>
      <w:r w:rsidRPr="00CF0854">
        <w:rPr>
          <w:b/>
          <w:bCs/>
        </w:rPr>
        <w:t>9)</w:t>
      </w:r>
      <w:r w:rsidRPr="00CF0854">
        <w:t xml:space="preserve"> paragrahvi 7 lõike 2 punkt 2</w:t>
      </w:r>
      <w:r w:rsidRPr="00CF0854">
        <w:rPr>
          <w:bCs/>
        </w:rPr>
        <w:t xml:space="preserve"> sõnastatakse järgmiselt</w:t>
      </w:r>
      <w:r w:rsidRPr="00CF0854">
        <w:t>:</w:t>
      </w:r>
    </w:p>
    <w:p w14:paraId="598A1DC4" w14:textId="77777777" w:rsidR="00CF0854" w:rsidRPr="00CF0854" w:rsidRDefault="00CF0854" w:rsidP="00A850D4">
      <w:pPr>
        <w:jc w:val="both"/>
      </w:pPr>
    </w:p>
    <w:p w14:paraId="22A4CBA3" w14:textId="77777777" w:rsidR="00CF0854" w:rsidRPr="00CF0854" w:rsidRDefault="00CF0854" w:rsidP="00A850D4">
      <w:pPr>
        <w:jc w:val="both"/>
      </w:pPr>
      <w:r w:rsidRPr="00CF0854">
        <w:t>„2) vähemalt üheaastane töökogemus viimase viie aasta jooksul ravimite hulgimüügi või tootmise tegevusloaga ettevõttes või apteegis.“;</w:t>
      </w:r>
    </w:p>
    <w:p w14:paraId="2724E11E" w14:textId="77777777" w:rsidR="00CF0854" w:rsidRPr="00CF0854" w:rsidRDefault="00CF0854" w:rsidP="00A850D4">
      <w:pPr>
        <w:jc w:val="both"/>
      </w:pPr>
    </w:p>
    <w:p w14:paraId="4CDCF884" w14:textId="77777777" w:rsidR="00CF0854" w:rsidRPr="00CF0854" w:rsidRDefault="00CF0854" w:rsidP="00A850D4">
      <w:pPr>
        <w:jc w:val="both"/>
      </w:pPr>
      <w:r w:rsidRPr="00CF0854">
        <w:rPr>
          <w:b/>
          <w:bCs/>
        </w:rPr>
        <w:t>10)</w:t>
      </w:r>
      <w:r w:rsidRPr="00CF0854">
        <w:t xml:space="preserve"> paragrahvi 7 täiendatakse lõigetega 3 ja 4 järgmises sõnastuses:</w:t>
      </w:r>
    </w:p>
    <w:p w14:paraId="5436B7C5" w14:textId="77777777" w:rsidR="00CF0854" w:rsidRPr="00CF0854" w:rsidRDefault="00CF0854" w:rsidP="00A850D4">
      <w:pPr>
        <w:jc w:val="both"/>
      </w:pPr>
    </w:p>
    <w:p w14:paraId="5234D5E9" w14:textId="77777777" w:rsidR="00CF0854" w:rsidRPr="00CF0854" w:rsidRDefault="00CF0854" w:rsidP="00A850D4">
      <w:pPr>
        <w:jc w:val="both"/>
      </w:pPr>
      <w:r w:rsidRPr="00CF0854">
        <w:t>„(3) Meditsiiniliste gaaside hulgimüügiettevõttes saab pädeva isikuna töötada isik, kellel on järgmine kvalifikatsioon:</w:t>
      </w:r>
    </w:p>
    <w:p w14:paraId="4FFF2136" w14:textId="77777777" w:rsidR="00CF0854" w:rsidRPr="00CF0854" w:rsidRDefault="00CF0854" w:rsidP="00A850D4">
      <w:pPr>
        <w:jc w:val="both"/>
      </w:pPr>
      <w:r w:rsidRPr="00CF0854">
        <w:t>1) ülikoolis omandatud akadeemiline kraad arstiteaduse või proviisori erialal või keemia</w:t>
      </w:r>
      <w:r w:rsidRPr="00CF0854" w:rsidDel="00FF42EE">
        <w:t xml:space="preserve"> </w:t>
      </w:r>
      <w:r w:rsidRPr="00CF0854">
        <w:t>teadusharus või kõrgharidus tehnilisel erialal või vastav välisriigi kvalifikatsioon;</w:t>
      </w:r>
    </w:p>
    <w:p w14:paraId="09A9FF18" w14:textId="77777777" w:rsidR="00CF0854" w:rsidRPr="00CF0854" w:rsidRDefault="00CF0854" w:rsidP="00A850D4">
      <w:pPr>
        <w:jc w:val="both"/>
      </w:pPr>
      <w:r w:rsidRPr="00CF0854">
        <w:t>2) vähemalt üheaastane töökogemus viimase viie aasta jooksul ravimite hulgimüügi või meditsiiniliste gaaside tootmise ettevõttes või apteegis.</w:t>
      </w:r>
    </w:p>
    <w:p w14:paraId="59ABF377" w14:textId="77777777" w:rsidR="00CF0854" w:rsidRPr="00CF0854" w:rsidRDefault="00CF0854" w:rsidP="00A850D4">
      <w:pPr>
        <w:jc w:val="both"/>
      </w:pPr>
      <w:bookmarkStart w:id="11" w:name="para5lg3"/>
    </w:p>
    <w:p w14:paraId="34A7FB77" w14:textId="77777777" w:rsidR="00CF0854" w:rsidRPr="00CF0854" w:rsidRDefault="00CF0854" w:rsidP="00A850D4">
      <w:pPr>
        <w:jc w:val="both"/>
      </w:pPr>
      <w:r w:rsidRPr="00CF0854">
        <w:t>(4) Pädeva isiku ettevalmistus ja kogemus peavad vastama hulgimüügitegevustele.“;</w:t>
      </w:r>
    </w:p>
    <w:bookmarkEnd w:id="11"/>
    <w:p w14:paraId="2B66D8E7" w14:textId="77777777" w:rsidR="00CF0854" w:rsidRPr="00CF0854" w:rsidRDefault="00CF0854" w:rsidP="00A850D4">
      <w:pPr>
        <w:jc w:val="both"/>
        <w:rPr>
          <w:b/>
        </w:rPr>
      </w:pPr>
    </w:p>
    <w:p w14:paraId="239BD323" w14:textId="77777777" w:rsidR="00CF0854" w:rsidRPr="00CF0854" w:rsidRDefault="00CF0854" w:rsidP="00A850D4">
      <w:pPr>
        <w:jc w:val="both"/>
        <w:rPr>
          <w:bCs/>
        </w:rPr>
      </w:pPr>
      <w:r w:rsidRPr="00CF0854">
        <w:rPr>
          <w:b/>
          <w:bCs/>
        </w:rPr>
        <w:t xml:space="preserve">11) </w:t>
      </w:r>
      <w:r w:rsidRPr="00CF0854">
        <w:rPr>
          <w:bCs/>
        </w:rPr>
        <w:t>paragrahvi 8 lõike 1 punkt 2 sõnastatakse järgmiselt:</w:t>
      </w:r>
    </w:p>
    <w:p w14:paraId="2BFFA88D" w14:textId="77777777" w:rsidR="00CF0854" w:rsidRPr="00CF0854" w:rsidRDefault="00CF0854" w:rsidP="00A850D4">
      <w:pPr>
        <w:jc w:val="both"/>
        <w:rPr>
          <w:bCs/>
        </w:rPr>
      </w:pPr>
    </w:p>
    <w:p w14:paraId="09F203F7" w14:textId="77777777" w:rsidR="00CF0854" w:rsidRPr="00CF0854" w:rsidRDefault="00CF0854" w:rsidP="00A850D4">
      <w:pPr>
        <w:jc w:val="both"/>
      </w:pPr>
      <w:r w:rsidRPr="00CF0854">
        <w:rPr>
          <w:bCs/>
        </w:rPr>
        <w:t>„</w:t>
      </w:r>
      <w:r w:rsidRPr="00CF0854">
        <w:t xml:space="preserve">2) vähemalt kaheaastane töökogemus Euroopa Majanduspiirkonnas apteegiteenuse osutajana </w:t>
      </w:r>
      <w:proofErr w:type="spellStart"/>
      <w:r w:rsidRPr="00CF0854">
        <w:t>üld</w:t>
      </w:r>
      <w:proofErr w:type="spellEnd"/>
      <w:r w:rsidRPr="00CF0854">
        <w:t>- või haiglaapteegis viimase viie aasta jooksul, millest vähemalt üks aasta on omandatud Eestis. Kui isik on varem olnud Eesti apteegis pädevaks isikuks, piisab üheaastasest viimase viie aasta jooksul Eestis omandatud töökogemusest.“;</w:t>
      </w:r>
    </w:p>
    <w:p w14:paraId="248ECCEF" w14:textId="77777777" w:rsidR="00CF0854" w:rsidRPr="00CF0854" w:rsidRDefault="00CF0854" w:rsidP="00A850D4">
      <w:pPr>
        <w:jc w:val="both"/>
      </w:pPr>
    </w:p>
    <w:p w14:paraId="1558BB21" w14:textId="77777777" w:rsidR="00CF0854" w:rsidRPr="00CF0854" w:rsidRDefault="00CF0854" w:rsidP="00A850D4">
      <w:pPr>
        <w:jc w:val="both"/>
      </w:pPr>
      <w:r w:rsidRPr="00CF0854">
        <w:rPr>
          <w:b/>
        </w:rPr>
        <w:t>12)</w:t>
      </w:r>
      <w:r w:rsidRPr="00CF0854">
        <w:t xml:space="preserve"> paragrahvi 8 lõike 2 punkt 2</w:t>
      </w:r>
      <w:r w:rsidRPr="00CF0854">
        <w:rPr>
          <w:bCs/>
        </w:rPr>
        <w:t xml:space="preserve"> sõnastatakse järgmiselt</w:t>
      </w:r>
      <w:r w:rsidRPr="00CF0854">
        <w:t>:</w:t>
      </w:r>
    </w:p>
    <w:p w14:paraId="080F8D59" w14:textId="77777777" w:rsidR="00CF0854" w:rsidRPr="00CF0854" w:rsidRDefault="00CF0854" w:rsidP="00A850D4">
      <w:pPr>
        <w:jc w:val="both"/>
      </w:pPr>
    </w:p>
    <w:p w14:paraId="57AE5730" w14:textId="77777777" w:rsidR="00CF0854" w:rsidRPr="00CF0854" w:rsidRDefault="00CF0854" w:rsidP="00A850D4">
      <w:pPr>
        <w:jc w:val="both"/>
      </w:pPr>
      <w:r w:rsidRPr="00CF0854">
        <w:t>„2) vähemalt üheaastane töökogemus Euroopa Majanduspiirkonnas apteegiteenuse osutajana või veterinaararstina viimase viie aasta jooksul.“;</w:t>
      </w:r>
    </w:p>
    <w:p w14:paraId="5653ADB2" w14:textId="77777777" w:rsidR="00CF0854" w:rsidRPr="00CF0854" w:rsidRDefault="00CF0854" w:rsidP="00A850D4">
      <w:pPr>
        <w:jc w:val="both"/>
      </w:pPr>
    </w:p>
    <w:p w14:paraId="633B56A9" w14:textId="77777777" w:rsidR="00CF0854" w:rsidRPr="00CF0854" w:rsidRDefault="00CF0854" w:rsidP="00A850D4">
      <w:pPr>
        <w:jc w:val="both"/>
      </w:pPr>
      <w:r w:rsidRPr="00CF0854">
        <w:rPr>
          <w:b/>
        </w:rPr>
        <w:t>13)</w:t>
      </w:r>
      <w:r w:rsidRPr="00CF0854">
        <w:t xml:space="preserve"> paragrahvi 8 täiendatakse lõikega 3 järgmises sõnastuses:</w:t>
      </w:r>
    </w:p>
    <w:p w14:paraId="767878CB" w14:textId="77777777" w:rsidR="00CF0854" w:rsidRPr="00CF0854" w:rsidRDefault="00CF0854" w:rsidP="00A850D4">
      <w:pPr>
        <w:jc w:val="both"/>
      </w:pPr>
    </w:p>
    <w:p w14:paraId="06BEF711" w14:textId="77777777" w:rsidR="00CF0854" w:rsidRPr="00CF0854" w:rsidRDefault="00CF0854" w:rsidP="00A850D4">
      <w:pPr>
        <w:jc w:val="both"/>
      </w:pPr>
      <w:r w:rsidRPr="00CF0854">
        <w:lastRenderedPageBreak/>
        <w:t xml:space="preserve">„(3) Kui pädev isik on tööst eemal pikemalt, kui kuus kuud, tuleb tema asendajaks määrata sama apteegi töötaja, kes peab </w:t>
      </w:r>
      <w:proofErr w:type="spellStart"/>
      <w:r w:rsidRPr="00CF0854">
        <w:t>üld</w:t>
      </w:r>
      <w:proofErr w:type="spellEnd"/>
      <w:r w:rsidRPr="00CF0854">
        <w:t>- ja haiglaapteegis vastama lõike 1 punktis 1 ja veterinaarapteegis lõike 2 punktis 1 sätestatud nõuetele ning tal peab olema vähemalt üheaastane Eestis omandatud töökogemus apteegiteenuse osutajana“.</w:t>
      </w:r>
    </w:p>
    <w:p w14:paraId="6718E944" w14:textId="77777777" w:rsidR="00CF0854" w:rsidRPr="00CF0854" w:rsidRDefault="00CF0854" w:rsidP="00A850D4">
      <w:pPr>
        <w:jc w:val="both"/>
      </w:pPr>
    </w:p>
    <w:p w14:paraId="41B9C858" w14:textId="77777777" w:rsidR="00CF0854" w:rsidRPr="00CF0854" w:rsidRDefault="00CF0854" w:rsidP="00A850D4">
      <w:pPr>
        <w:jc w:val="both"/>
        <w:rPr>
          <w:b/>
          <w:bCs/>
        </w:rPr>
      </w:pPr>
      <w:r w:rsidRPr="00CF0854">
        <w:rPr>
          <w:b/>
          <w:bCs/>
        </w:rPr>
        <w:t>§ 5. Sotsiaalministri 23. aprilli 2009. a määruse nr 37 „Ravimiameti tasuliste teenuste osutamise kord ja hinnakiri“ muutmine</w:t>
      </w:r>
    </w:p>
    <w:p w14:paraId="0F47AE5D" w14:textId="77777777" w:rsidR="00CF0854" w:rsidRPr="00CF0854" w:rsidRDefault="00CF0854" w:rsidP="00A850D4">
      <w:pPr>
        <w:jc w:val="both"/>
        <w:rPr>
          <w:b/>
          <w:bCs/>
        </w:rPr>
      </w:pPr>
    </w:p>
    <w:p w14:paraId="4BF8E9D2" w14:textId="77777777" w:rsidR="00CF0854" w:rsidRPr="00CF0854" w:rsidRDefault="00CF0854" w:rsidP="00A850D4">
      <w:pPr>
        <w:jc w:val="both"/>
        <w:rPr>
          <w:bCs/>
        </w:rPr>
      </w:pPr>
      <w:r w:rsidRPr="00CF0854">
        <w:rPr>
          <w:bCs/>
        </w:rPr>
        <w:t>Sotsiaalministri 23. aprilli 2009. a määruses nr 37 „Ravimiameti tasuliste teenuste osutamise kord ja hinnakiri“ tehakse järgmised muudatused:</w:t>
      </w:r>
    </w:p>
    <w:p w14:paraId="272EF46F" w14:textId="77777777" w:rsidR="00CF0854" w:rsidRPr="00CF0854" w:rsidRDefault="00CF0854" w:rsidP="00A850D4">
      <w:pPr>
        <w:jc w:val="both"/>
        <w:rPr>
          <w:bCs/>
        </w:rPr>
      </w:pPr>
    </w:p>
    <w:p w14:paraId="4F640351" w14:textId="77777777" w:rsidR="00CF0854" w:rsidRPr="00CF0854" w:rsidRDefault="00CF0854" w:rsidP="00A850D4">
      <w:pPr>
        <w:jc w:val="both"/>
        <w:rPr>
          <w:bCs/>
        </w:rPr>
      </w:pPr>
      <w:bookmarkStart w:id="12" w:name="lg9"/>
      <w:r w:rsidRPr="00CF0854">
        <w:rPr>
          <w:b/>
          <w:bCs/>
        </w:rPr>
        <w:t>1)</w:t>
      </w:r>
      <w:r w:rsidRPr="00CF0854">
        <w:rPr>
          <w:bCs/>
        </w:rPr>
        <w:t xml:space="preserve"> paragrahvi 1 lõige 2 sõnastatakse järgmiselt:</w:t>
      </w:r>
    </w:p>
    <w:p w14:paraId="4AE00EB8" w14:textId="77777777" w:rsidR="00CF0854" w:rsidRPr="00CF0854" w:rsidRDefault="00CF0854" w:rsidP="00A850D4">
      <w:pPr>
        <w:jc w:val="both"/>
      </w:pPr>
    </w:p>
    <w:p w14:paraId="10A18FF3" w14:textId="77777777" w:rsidR="00CF0854" w:rsidRPr="00CF0854" w:rsidRDefault="00CF0854" w:rsidP="00A850D4">
      <w:pPr>
        <w:jc w:val="both"/>
      </w:pPr>
      <w:r w:rsidRPr="00CF0854">
        <w:t>„(2) Ravimiameti osutatavat tasulist teenust osutatakse ravimituru arengu ja parema toimimise eesmärgil ning see ei ole seotud õigusaktidest tulenevate kohustuste täitmisega. Tasuliseks teenuseks loetakse ravimite kontrollanalüüsi ja statistilise analüüsi tegemist ning teadusliku nõuande ja müügiloa taotlemise eelse konsultatsiooni andmist.“;</w:t>
      </w:r>
    </w:p>
    <w:p w14:paraId="211C0E5C" w14:textId="77777777" w:rsidR="00CF0854" w:rsidRPr="00CF0854" w:rsidRDefault="00CF0854" w:rsidP="00A850D4">
      <w:pPr>
        <w:jc w:val="both"/>
      </w:pPr>
    </w:p>
    <w:p w14:paraId="4C5F91EC" w14:textId="77777777" w:rsidR="00CF0854" w:rsidRPr="00CF0854" w:rsidRDefault="00CF0854" w:rsidP="00A850D4">
      <w:pPr>
        <w:jc w:val="both"/>
        <w:rPr>
          <w:bCs/>
        </w:rPr>
      </w:pPr>
      <w:r w:rsidRPr="00CF0854">
        <w:rPr>
          <w:b/>
          <w:bCs/>
        </w:rPr>
        <w:t>2)</w:t>
      </w:r>
      <w:r w:rsidRPr="00CF0854">
        <w:rPr>
          <w:bCs/>
        </w:rPr>
        <w:t xml:space="preserve"> paragrahvi 4 tekst loetakse lõikeks 1 ja sõnastatakse järgmiselt: </w:t>
      </w:r>
    </w:p>
    <w:p w14:paraId="096DF4E9" w14:textId="77777777" w:rsidR="00CF0854" w:rsidRPr="00CF0854" w:rsidRDefault="00CF0854" w:rsidP="00A850D4">
      <w:pPr>
        <w:jc w:val="both"/>
        <w:rPr>
          <w:bCs/>
        </w:rPr>
      </w:pPr>
    </w:p>
    <w:p w14:paraId="5A5950E1" w14:textId="77777777" w:rsidR="00CF0854" w:rsidRPr="00CF0854" w:rsidRDefault="00CF0854" w:rsidP="00A850D4">
      <w:pPr>
        <w:jc w:val="both"/>
        <w:rPr>
          <w:bCs/>
        </w:rPr>
      </w:pPr>
      <w:r w:rsidRPr="00CF0854">
        <w:rPr>
          <w:bCs/>
        </w:rPr>
        <w:t xml:space="preserve">„(1) </w:t>
      </w:r>
      <w:proofErr w:type="spellStart"/>
      <w:r w:rsidRPr="00CF0854">
        <w:rPr>
          <w:bCs/>
        </w:rPr>
        <w:t>Inimtervishoius</w:t>
      </w:r>
      <w:proofErr w:type="spellEnd"/>
      <w:r w:rsidRPr="00CF0854">
        <w:rPr>
          <w:bCs/>
        </w:rPr>
        <w:t xml:space="preserve"> kasutatavate ravimite </w:t>
      </w:r>
      <w:bookmarkStart w:id="13" w:name="_Hlk135745611"/>
      <w:r w:rsidRPr="00CF0854">
        <w:rPr>
          <w:bCs/>
        </w:rPr>
        <w:t>statistilistele analüüsidele rakendatakse järgmisi hindasid:</w:t>
      </w:r>
      <w:bookmarkEnd w:id="13"/>
    </w:p>
    <w:p w14:paraId="2F80B775" w14:textId="77777777" w:rsidR="00CF0854" w:rsidRPr="00CF0854" w:rsidRDefault="00CF0854" w:rsidP="00A850D4">
      <w:pPr>
        <w:jc w:val="both"/>
        <w:rPr>
          <w:bCs/>
        </w:rPr>
      </w:pPr>
      <w:r w:rsidRPr="00CF0854">
        <w:rPr>
          <w:bCs/>
        </w:rPr>
        <w:t> </w:t>
      </w:r>
      <w:bookmarkEnd w:id="12"/>
      <w:r w:rsidRPr="00CF0854">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
        <w:gridCol w:w="6609"/>
        <w:gridCol w:w="1500"/>
      </w:tblGrid>
      <w:tr w:rsidR="00CF0854" w:rsidRPr="00CF0854" w14:paraId="15534C25" w14:textId="77777777" w:rsidTr="00B33D7E">
        <w:tc>
          <w:tcPr>
            <w:tcW w:w="450" w:type="dxa"/>
            <w:hideMark/>
          </w:tcPr>
          <w:p w14:paraId="780AD6AC" w14:textId="77777777" w:rsidR="00CF0854" w:rsidRPr="00CF0854" w:rsidRDefault="00CF0854" w:rsidP="00A850D4">
            <w:pPr>
              <w:jc w:val="both"/>
              <w:rPr>
                <w:bCs/>
              </w:rPr>
            </w:pPr>
            <w:r w:rsidRPr="00CF0854">
              <w:rPr>
                <w:bCs/>
              </w:rPr>
              <w:t xml:space="preserve">  </w:t>
            </w:r>
          </w:p>
        </w:tc>
        <w:tc>
          <w:tcPr>
            <w:tcW w:w="0" w:type="auto"/>
            <w:hideMark/>
          </w:tcPr>
          <w:p w14:paraId="52DA7626" w14:textId="77777777" w:rsidR="00CF0854" w:rsidRPr="00CF0854" w:rsidRDefault="00CF0854" w:rsidP="00A850D4">
            <w:pPr>
              <w:jc w:val="both"/>
              <w:rPr>
                <w:bCs/>
              </w:rPr>
            </w:pPr>
            <w:r w:rsidRPr="00CF0854">
              <w:rPr>
                <w:bCs/>
              </w:rPr>
              <w:t xml:space="preserve">  </w:t>
            </w:r>
          </w:p>
        </w:tc>
        <w:tc>
          <w:tcPr>
            <w:tcW w:w="1500" w:type="dxa"/>
            <w:hideMark/>
          </w:tcPr>
          <w:p w14:paraId="21F37EC7" w14:textId="77777777" w:rsidR="00CF0854" w:rsidRPr="00CF0854" w:rsidRDefault="00CF0854" w:rsidP="00A850D4">
            <w:pPr>
              <w:jc w:val="both"/>
              <w:rPr>
                <w:bCs/>
              </w:rPr>
            </w:pPr>
            <w:r w:rsidRPr="00CF0854">
              <w:rPr>
                <w:bCs/>
              </w:rPr>
              <w:t xml:space="preserve">Hind eurodes </w:t>
            </w:r>
          </w:p>
        </w:tc>
      </w:tr>
      <w:tr w:rsidR="00CF0854" w:rsidRPr="00CF0854" w14:paraId="0115A261" w14:textId="77777777" w:rsidTr="00B33D7E">
        <w:tc>
          <w:tcPr>
            <w:tcW w:w="450" w:type="dxa"/>
            <w:hideMark/>
          </w:tcPr>
          <w:p w14:paraId="379CF598" w14:textId="77777777" w:rsidR="00CF0854" w:rsidRPr="00CF0854" w:rsidRDefault="00CF0854" w:rsidP="00A850D4">
            <w:pPr>
              <w:jc w:val="both"/>
              <w:rPr>
                <w:bCs/>
              </w:rPr>
            </w:pPr>
            <w:r w:rsidRPr="00CF0854">
              <w:rPr>
                <w:bCs/>
              </w:rPr>
              <w:t xml:space="preserve">  1. </w:t>
            </w:r>
          </w:p>
        </w:tc>
        <w:tc>
          <w:tcPr>
            <w:tcW w:w="0" w:type="auto"/>
            <w:hideMark/>
          </w:tcPr>
          <w:p w14:paraId="1B868D01" w14:textId="77777777" w:rsidR="00CF0854" w:rsidRPr="00CF0854" w:rsidRDefault="00CF0854" w:rsidP="00A850D4">
            <w:pPr>
              <w:jc w:val="both"/>
              <w:rPr>
                <w:bCs/>
              </w:rPr>
            </w:pPr>
            <w:r w:rsidRPr="00CF0854">
              <w:rPr>
                <w:bCs/>
              </w:rPr>
              <w:t>Ühe ATC-koodiga toimeaine müük ravimpreparaatide kaupa</w:t>
            </w:r>
          </w:p>
        </w:tc>
        <w:tc>
          <w:tcPr>
            <w:tcW w:w="1500" w:type="dxa"/>
            <w:hideMark/>
          </w:tcPr>
          <w:p w14:paraId="13DC2F77" w14:textId="77777777" w:rsidR="00CF0854" w:rsidRPr="00CF0854" w:rsidRDefault="00CF0854" w:rsidP="00A850D4">
            <w:pPr>
              <w:jc w:val="both"/>
              <w:rPr>
                <w:bCs/>
              </w:rPr>
            </w:pPr>
            <w:r w:rsidRPr="00CF0854">
              <w:rPr>
                <w:bCs/>
              </w:rPr>
              <w:t>50</w:t>
            </w:r>
          </w:p>
        </w:tc>
      </w:tr>
      <w:tr w:rsidR="00CF0854" w:rsidRPr="00CF0854" w14:paraId="4D60EC85" w14:textId="77777777" w:rsidTr="00B33D7E">
        <w:tc>
          <w:tcPr>
            <w:tcW w:w="450" w:type="dxa"/>
            <w:hideMark/>
          </w:tcPr>
          <w:p w14:paraId="360314EB" w14:textId="77777777" w:rsidR="00CF0854" w:rsidRPr="00CF0854" w:rsidRDefault="00CF0854" w:rsidP="00A850D4">
            <w:pPr>
              <w:jc w:val="both"/>
              <w:rPr>
                <w:bCs/>
              </w:rPr>
            </w:pPr>
            <w:r w:rsidRPr="00CF0854">
              <w:rPr>
                <w:bCs/>
              </w:rPr>
              <w:t xml:space="preserve">  2. </w:t>
            </w:r>
          </w:p>
        </w:tc>
        <w:tc>
          <w:tcPr>
            <w:tcW w:w="0" w:type="auto"/>
            <w:hideMark/>
          </w:tcPr>
          <w:p w14:paraId="2F463F42" w14:textId="77777777" w:rsidR="00CF0854" w:rsidRPr="00CF0854" w:rsidRDefault="00CF0854" w:rsidP="00A850D4">
            <w:pPr>
              <w:jc w:val="both"/>
              <w:rPr>
                <w:bCs/>
              </w:rPr>
            </w:pPr>
            <w:r w:rsidRPr="00CF0854">
              <w:rPr>
                <w:bCs/>
              </w:rPr>
              <w:t>Eesti ravimistatistika tavaanalüüs aasta kohta</w:t>
            </w:r>
          </w:p>
        </w:tc>
        <w:tc>
          <w:tcPr>
            <w:tcW w:w="1500" w:type="dxa"/>
            <w:hideMark/>
          </w:tcPr>
          <w:p w14:paraId="34F59BA6" w14:textId="77777777" w:rsidR="00CF0854" w:rsidRPr="00CF0854" w:rsidRDefault="00CF0854" w:rsidP="00A850D4">
            <w:pPr>
              <w:jc w:val="both"/>
              <w:rPr>
                <w:bCs/>
              </w:rPr>
            </w:pPr>
            <w:r w:rsidRPr="00CF0854">
              <w:rPr>
                <w:bCs/>
              </w:rPr>
              <w:t>2550</w:t>
            </w:r>
          </w:p>
        </w:tc>
      </w:tr>
      <w:tr w:rsidR="00CF0854" w:rsidRPr="00CF0854" w14:paraId="225949F3" w14:textId="77777777" w:rsidTr="00B33D7E">
        <w:tc>
          <w:tcPr>
            <w:tcW w:w="450" w:type="dxa"/>
            <w:hideMark/>
          </w:tcPr>
          <w:p w14:paraId="1A5E9385" w14:textId="77777777" w:rsidR="00CF0854" w:rsidRPr="00CF0854" w:rsidRDefault="00CF0854" w:rsidP="00A850D4">
            <w:pPr>
              <w:jc w:val="both"/>
              <w:rPr>
                <w:bCs/>
              </w:rPr>
            </w:pPr>
            <w:r w:rsidRPr="00CF0854">
              <w:rPr>
                <w:bCs/>
              </w:rPr>
              <w:t xml:space="preserve">  3. </w:t>
            </w:r>
          </w:p>
        </w:tc>
        <w:tc>
          <w:tcPr>
            <w:tcW w:w="0" w:type="auto"/>
            <w:hideMark/>
          </w:tcPr>
          <w:p w14:paraId="394E09B1" w14:textId="77777777" w:rsidR="00CF0854" w:rsidRPr="00CF0854" w:rsidRDefault="00CF0854" w:rsidP="00A850D4">
            <w:pPr>
              <w:jc w:val="both"/>
              <w:rPr>
                <w:bCs/>
              </w:rPr>
            </w:pPr>
            <w:r w:rsidRPr="00CF0854">
              <w:rPr>
                <w:bCs/>
              </w:rPr>
              <w:t>Eesti ravimistatistika tavaanalüüs poolaasta kohta</w:t>
            </w:r>
          </w:p>
        </w:tc>
        <w:tc>
          <w:tcPr>
            <w:tcW w:w="1500" w:type="dxa"/>
            <w:hideMark/>
          </w:tcPr>
          <w:p w14:paraId="01D6A3DF" w14:textId="77777777" w:rsidR="00CF0854" w:rsidRPr="00CF0854" w:rsidRDefault="00CF0854" w:rsidP="00A850D4">
            <w:pPr>
              <w:jc w:val="both"/>
              <w:rPr>
                <w:bCs/>
              </w:rPr>
            </w:pPr>
            <w:r w:rsidRPr="00CF0854">
              <w:rPr>
                <w:bCs/>
              </w:rPr>
              <w:t>2430</w:t>
            </w:r>
          </w:p>
        </w:tc>
      </w:tr>
      <w:tr w:rsidR="00CF0854" w:rsidRPr="00CF0854" w14:paraId="0477D25C" w14:textId="77777777" w:rsidTr="00B33D7E">
        <w:tc>
          <w:tcPr>
            <w:tcW w:w="450" w:type="dxa"/>
            <w:hideMark/>
          </w:tcPr>
          <w:p w14:paraId="5676C200" w14:textId="77777777" w:rsidR="00CF0854" w:rsidRPr="00CF0854" w:rsidRDefault="00CF0854" w:rsidP="00A850D4">
            <w:pPr>
              <w:jc w:val="both"/>
              <w:rPr>
                <w:bCs/>
              </w:rPr>
            </w:pPr>
            <w:r w:rsidRPr="00CF0854">
              <w:rPr>
                <w:bCs/>
              </w:rPr>
              <w:t xml:space="preserve">  4. </w:t>
            </w:r>
          </w:p>
        </w:tc>
        <w:tc>
          <w:tcPr>
            <w:tcW w:w="0" w:type="auto"/>
            <w:hideMark/>
          </w:tcPr>
          <w:p w14:paraId="24FD58DC" w14:textId="77777777" w:rsidR="00CF0854" w:rsidRPr="00CF0854" w:rsidRDefault="00CF0854" w:rsidP="00A850D4">
            <w:pPr>
              <w:jc w:val="both"/>
              <w:rPr>
                <w:bCs/>
              </w:rPr>
            </w:pPr>
            <w:r w:rsidRPr="00CF0854">
              <w:rPr>
                <w:bCs/>
              </w:rPr>
              <w:t>Eesti ravimistatistika tavaanalüüs kvartali kohta</w:t>
            </w:r>
          </w:p>
        </w:tc>
        <w:tc>
          <w:tcPr>
            <w:tcW w:w="1500" w:type="dxa"/>
            <w:hideMark/>
          </w:tcPr>
          <w:p w14:paraId="2646C81D" w14:textId="77777777" w:rsidR="00CF0854" w:rsidRPr="00CF0854" w:rsidRDefault="00CF0854" w:rsidP="00A850D4">
            <w:pPr>
              <w:jc w:val="both"/>
              <w:rPr>
                <w:bCs/>
              </w:rPr>
            </w:pPr>
            <w:r w:rsidRPr="00CF0854">
              <w:rPr>
                <w:bCs/>
              </w:rPr>
              <w:t>850</w:t>
            </w:r>
          </w:p>
        </w:tc>
      </w:tr>
      <w:tr w:rsidR="00CF0854" w:rsidRPr="00CF0854" w14:paraId="35D03297" w14:textId="77777777" w:rsidTr="00B33D7E">
        <w:tc>
          <w:tcPr>
            <w:tcW w:w="450" w:type="dxa"/>
            <w:hideMark/>
          </w:tcPr>
          <w:p w14:paraId="03CDD464" w14:textId="77777777" w:rsidR="00CF0854" w:rsidRPr="00CF0854" w:rsidRDefault="00CF0854" w:rsidP="00A850D4">
            <w:pPr>
              <w:jc w:val="both"/>
              <w:rPr>
                <w:bCs/>
              </w:rPr>
            </w:pPr>
            <w:r w:rsidRPr="00CF0854">
              <w:rPr>
                <w:bCs/>
              </w:rPr>
              <w:t xml:space="preserve">  5. </w:t>
            </w:r>
          </w:p>
        </w:tc>
        <w:tc>
          <w:tcPr>
            <w:tcW w:w="0" w:type="auto"/>
            <w:hideMark/>
          </w:tcPr>
          <w:p w14:paraId="0A599FF4" w14:textId="77777777" w:rsidR="00CF0854" w:rsidRPr="00CF0854" w:rsidRDefault="00CF0854" w:rsidP="00A850D4">
            <w:pPr>
              <w:jc w:val="both"/>
              <w:rPr>
                <w:bCs/>
              </w:rPr>
            </w:pPr>
            <w:r w:rsidRPr="00CF0854">
              <w:rPr>
                <w:bCs/>
              </w:rPr>
              <w:t>Eesti ravimistatistika laiendatud tavaanalüüs aasta kohta</w:t>
            </w:r>
          </w:p>
        </w:tc>
        <w:tc>
          <w:tcPr>
            <w:tcW w:w="1500" w:type="dxa"/>
            <w:hideMark/>
          </w:tcPr>
          <w:p w14:paraId="2B59F9C8" w14:textId="77777777" w:rsidR="00CF0854" w:rsidRPr="00CF0854" w:rsidRDefault="00CF0854" w:rsidP="00A850D4">
            <w:pPr>
              <w:jc w:val="both"/>
              <w:rPr>
                <w:bCs/>
              </w:rPr>
            </w:pPr>
            <w:r w:rsidRPr="00CF0854">
              <w:rPr>
                <w:bCs/>
              </w:rPr>
              <w:t>2970</w:t>
            </w:r>
          </w:p>
        </w:tc>
      </w:tr>
      <w:tr w:rsidR="00CF0854" w:rsidRPr="00CF0854" w14:paraId="3A380E82" w14:textId="77777777" w:rsidTr="00B33D7E">
        <w:tc>
          <w:tcPr>
            <w:tcW w:w="450" w:type="dxa"/>
            <w:hideMark/>
          </w:tcPr>
          <w:p w14:paraId="0F31A8E5" w14:textId="77777777" w:rsidR="00CF0854" w:rsidRPr="00CF0854" w:rsidRDefault="00CF0854" w:rsidP="00A850D4">
            <w:pPr>
              <w:jc w:val="both"/>
              <w:rPr>
                <w:bCs/>
              </w:rPr>
            </w:pPr>
            <w:r w:rsidRPr="00CF0854">
              <w:rPr>
                <w:bCs/>
              </w:rPr>
              <w:t xml:space="preserve">  6. </w:t>
            </w:r>
          </w:p>
        </w:tc>
        <w:tc>
          <w:tcPr>
            <w:tcW w:w="0" w:type="auto"/>
            <w:hideMark/>
          </w:tcPr>
          <w:p w14:paraId="7F290B17" w14:textId="77777777" w:rsidR="00CF0854" w:rsidRPr="00CF0854" w:rsidRDefault="00CF0854" w:rsidP="00A850D4">
            <w:pPr>
              <w:jc w:val="both"/>
              <w:rPr>
                <w:bCs/>
              </w:rPr>
            </w:pPr>
            <w:r w:rsidRPr="00CF0854">
              <w:rPr>
                <w:bCs/>
              </w:rPr>
              <w:t>Eesti ravimistatistika laiendatud tavaanalüüs poolaasta kohta</w:t>
            </w:r>
          </w:p>
        </w:tc>
        <w:tc>
          <w:tcPr>
            <w:tcW w:w="1500" w:type="dxa"/>
            <w:hideMark/>
          </w:tcPr>
          <w:p w14:paraId="649B7082" w14:textId="77777777" w:rsidR="00CF0854" w:rsidRPr="00CF0854" w:rsidRDefault="00CF0854" w:rsidP="00A850D4">
            <w:pPr>
              <w:jc w:val="both"/>
              <w:rPr>
                <w:bCs/>
              </w:rPr>
            </w:pPr>
            <w:r w:rsidRPr="00CF0854">
              <w:rPr>
                <w:bCs/>
              </w:rPr>
              <w:t>1700</w:t>
            </w:r>
          </w:p>
        </w:tc>
      </w:tr>
      <w:tr w:rsidR="00CF0854" w:rsidRPr="00CF0854" w14:paraId="37E44912" w14:textId="77777777" w:rsidTr="00B33D7E">
        <w:tc>
          <w:tcPr>
            <w:tcW w:w="450" w:type="dxa"/>
            <w:hideMark/>
          </w:tcPr>
          <w:p w14:paraId="13915E8E" w14:textId="77777777" w:rsidR="00CF0854" w:rsidRPr="00CF0854" w:rsidRDefault="00CF0854" w:rsidP="00A850D4">
            <w:pPr>
              <w:jc w:val="both"/>
              <w:rPr>
                <w:bCs/>
              </w:rPr>
            </w:pPr>
            <w:r w:rsidRPr="00CF0854">
              <w:rPr>
                <w:bCs/>
              </w:rPr>
              <w:t xml:space="preserve">  7. </w:t>
            </w:r>
          </w:p>
        </w:tc>
        <w:tc>
          <w:tcPr>
            <w:tcW w:w="0" w:type="auto"/>
            <w:hideMark/>
          </w:tcPr>
          <w:p w14:paraId="4AE53272" w14:textId="77777777" w:rsidR="00CF0854" w:rsidRPr="00CF0854" w:rsidRDefault="00CF0854" w:rsidP="00A850D4">
            <w:pPr>
              <w:jc w:val="both"/>
              <w:rPr>
                <w:bCs/>
              </w:rPr>
            </w:pPr>
            <w:r w:rsidRPr="00CF0854">
              <w:rPr>
                <w:bCs/>
              </w:rPr>
              <w:t>Eesti ravimistatistika laiendatud tavaanalüüs kvartali kohta</w:t>
            </w:r>
          </w:p>
        </w:tc>
        <w:tc>
          <w:tcPr>
            <w:tcW w:w="1500" w:type="dxa"/>
            <w:hideMark/>
          </w:tcPr>
          <w:p w14:paraId="55CD167B" w14:textId="77777777" w:rsidR="00CF0854" w:rsidRPr="00CF0854" w:rsidRDefault="00CF0854" w:rsidP="00A850D4">
            <w:pPr>
              <w:jc w:val="both"/>
              <w:rPr>
                <w:bCs/>
              </w:rPr>
            </w:pPr>
            <w:r w:rsidRPr="00CF0854">
              <w:rPr>
                <w:bCs/>
              </w:rPr>
              <w:t>1010</w:t>
            </w:r>
          </w:p>
        </w:tc>
      </w:tr>
      <w:tr w:rsidR="00CF0854" w:rsidRPr="00CF0854" w14:paraId="1F2E66A5" w14:textId="77777777" w:rsidTr="00B33D7E">
        <w:tc>
          <w:tcPr>
            <w:tcW w:w="450" w:type="dxa"/>
            <w:hideMark/>
          </w:tcPr>
          <w:p w14:paraId="4BD40FF4" w14:textId="77777777" w:rsidR="00CF0854" w:rsidRPr="00CF0854" w:rsidRDefault="00CF0854" w:rsidP="00A850D4">
            <w:pPr>
              <w:jc w:val="both"/>
              <w:rPr>
                <w:bCs/>
              </w:rPr>
            </w:pPr>
            <w:r w:rsidRPr="00CF0854">
              <w:rPr>
                <w:bCs/>
              </w:rPr>
              <w:t xml:space="preserve">  8. </w:t>
            </w:r>
          </w:p>
        </w:tc>
        <w:tc>
          <w:tcPr>
            <w:tcW w:w="0" w:type="auto"/>
            <w:hideMark/>
          </w:tcPr>
          <w:p w14:paraId="2174EA5F" w14:textId="77777777" w:rsidR="00CF0854" w:rsidRPr="00CF0854" w:rsidRDefault="00CF0854" w:rsidP="00A850D4">
            <w:pPr>
              <w:jc w:val="both"/>
              <w:rPr>
                <w:bCs/>
              </w:rPr>
            </w:pPr>
            <w:r w:rsidRPr="00CF0854">
              <w:rPr>
                <w:bCs/>
              </w:rPr>
              <w:t>Eesti ravimistatistika täisanalüüs aasta kohta</w:t>
            </w:r>
          </w:p>
        </w:tc>
        <w:tc>
          <w:tcPr>
            <w:tcW w:w="1500" w:type="dxa"/>
            <w:hideMark/>
          </w:tcPr>
          <w:p w14:paraId="1D4FF31D" w14:textId="77777777" w:rsidR="00CF0854" w:rsidRPr="00CF0854" w:rsidRDefault="00CF0854" w:rsidP="00A850D4">
            <w:pPr>
              <w:jc w:val="both"/>
              <w:rPr>
                <w:bCs/>
              </w:rPr>
            </w:pPr>
            <w:r w:rsidRPr="00CF0854">
              <w:rPr>
                <w:bCs/>
              </w:rPr>
              <w:t>3400</w:t>
            </w:r>
          </w:p>
        </w:tc>
      </w:tr>
      <w:tr w:rsidR="00CF0854" w:rsidRPr="00CF0854" w14:paraId="2B08B3D3" w14:textId="77777777" w:rsidTr="00B33D7E">
        <w:tc>
          <w:tcPr>
            <w:tcW w:w="450" w:type="dxa"/>
            <w:hideMark/>
          </w:tcPr>
          <w:p w14:paraId="522489E1" w14:textId="77777777" w:rsidR="00CF0854" w:rsidRPr="00CF0854" w:rsidRDefault="00CF0854" w:rsidP="00A850D4">
            <w:pPr>
              <w:jc w:val="both"/>
              <w:rPr>
                <w:bCs/>
              </w:rPr>
            </w:pPr>
            <w:r w:rsidRPr="00CF0854">
              <w:rPr>
                <w:bCs/>
              </w:rPr>
              <w:t xml:space="preserve">  9. </w:t>
            </w:r>
          </w:p>
        </w:tc>
        <w:tc>
          <w:tcPr>
            <w:tcW w:w="0" w:type="auto"/>
            <w:hideMark/>
          </w:tcPr>
          <w:p w14:paraId="5ECA5095" w14:textId="77777777" w:rsidR="00CF0854" w:rsidRPr="00CF0854" w:rsidRDefault="00CF0854" w:rsidP="00A850D4">
            <w:pPr>
              <w:jc w:val="both"/>
              <w:rPr>
                <w:bCs/>
              </w:rPr>
            </w:pPr>
            <w:r w:rsidRPr="00CF0854">
              <w:rPr>
                <w:bCs/>
              </w:rPr>
              <w:t>Eesti ravimistatistika täisanalüüs poolaasta kohta</w:t>
            </w:r>
          </w:p>
        </w:tc>
        <w:tc>
          <w:tcPr>
            <w:tcW w:w="1500" w:type="dxa"/>
            <w:hideMark/>
          </w:tcPr>
          <w:p w14:paraId="128247C9" w14:textId="77777777" w:rsidR="00CF0854" w:rsidRPr="00CF0854" w:rsidRDefault="00CF0854" w:rsidP="00A850D4">
            <w:pPr>
              <w:jc w:val="both"/>
              <w:rPr>
                <w:bCs/>
              </w:rPr>
            </w:pPr>
            <w:r w:rsidRPr="00CF0854">
              <w:rPr>
                <w:bCs/>
              </w:rPr>
              <w:t>1965</w:t>
            </w:r>
          </w:p>
        </w:tc>
      </w:tr>
      <w:tr w:rsidR="00CF0854" w:rsidRPr="00CF0854" w14:paraId="4855B058" w14:textId="77777777" w:rsidTr="00B33D7E">
        <w:tc>
          <w:tcPr>
            <w:tcW w:w="450" w:type="dxa"/>
            <w:hideMark/>
          </w:tcPr>
          <w:p w14:paraId="07E77C46" w14:textId="77777777" w:rsidR="00CF0854" w:rsidRPr="00CF0854" w:rsidRDefault="00CF0854" w:rsidP="00A850D4">
            <w:pPr>
              <w:jc w:val="both"/>
              <w:rPr>
                <w:bCs/>
              </w:rPr>
            </w:pPr>
            <w:r w:rsidRPr="00CF0854">
              <w:rPr>
                <w:bCs/>
              </w:rPr>
              <w:t xml:space="preserve">10. </w:t>
            </w:r>
          </w:p>
        </w:tc>
        <w:tc>
          <w:tcPr>
            <w:tcW w:w="0" w:type="auto"/>
            <w:hideMark/>
          </w:tcPr>
          <w:p w14:paraId="56973C01" w14:textId="77777777" w:rsidR="00CF0854" w:rsidRPr="00CF0854" w:rsidRDefault="00CF0854" w:rsidP="00A850D4">
            <w:pPr>
              <w:jc w:val="both"/>
              <w:rPr>
                <w:bCs/>
              </w:rPr>
            </w:pPr>
            <w:r w:rsidRPr="00CF0854">
              <w:rPr>
                <w:bCs/>
              </w:rPr>
              <w:t>Eesti ravimistatistika täisanalüüs kvartali kohta</w:t>
            </w:r>
          </w:p>
        </w:tc>
        <w:tc>
          <w:tcPr>
            <w:tcW w:w="1500" w:type="dxa"/>
            <w:hideMark/>
          </w:tcPr>
          <w:p w14:paraId="02E5E382" w14:textId="77777777" w:rsidR="00CF0854" w:rsidRPr="00CF0854" w:rsidRDefault="00CF0854" w:rsidP="00A850D4">
            <w:pPr>
              <w:jc w:val="both"/>
              <w:rPr>
                <w:bCs/>
              </w:rPr>
            </w:pPr>
            <w:r w:rsidRPr="00CF0854">
              <w:rPr>
                <w:bCs/>
              </w:rPr>
              <w:t>1170</w:t>
            </w:r>
          </w:p>
        </w:tc>
      </w:tr>
      <w:tr w:rsidR="00CF0854" w:rsidRPr="00CF0854" w14:paraId="2BEBD79C" w14:textId="77777777" w:rsidTr="00B33D7E">
        <w:tc>
          <w:tcPr>
            <w:tcW w:w="450" w:type="dxa"/>
            <w:hideMark/>
          </w:tcPr>
          <w:p w14:paraId="1A5AE9B4" w14:textId="77777777" w:rsidR="00CF0854" w:rsidRPr="00CF0854" w:rsidRDefault="00CF0854" w:rsidP="00A850D4">
            <w:pPr>
              <w:jc w:val="both"/>
              <w:rPr>
                <w:bCs/>
              </w:rPr>
            </w:pPr>
            <w:r w:rsidRPr="00CF0854">
              <w:rPr>
                <w:bCs/>
              </w:rPr>
              <w:t xml:space="preserve">11. </w:t>
            </w:r>
          </w:p>
        </w:tc>
        <w:tc>
          <w:tcPr>
            <w:tcW w:w="0" w:type="auto"/>
            <w:hideMark/>
          </w:tcPr>
          <w:p w14:paraId="2CC45EAE" w14:textId="77777777" w:rsidR="00CF0854" w:rsidRPr="00CF0854" w:rsidRDefault="00CF0854" w:rsidP="00A850D4">
            <w:pPr>
              <w:jc w:val="both"/>
              <w:rPr>
                <w:bCs/>
              </w:rPr>
            </w:pPr>
            <w:r w:rsidRPr="00CF0854">
              <w:rPr>
                <w:bCs/>
              </w:rPr>
              <w:t xml:space="preserve">Tellija tellimuse alusel koostatud ravimite müügi analüüs (tunnihind) </w:t>
            </w:r>
          </w:p>
        </w:tc>
        <w:tc>
          <w:tcPr>
            <w:tcW w:w="1500" w:type="dxa"/>
            <w:hideMark/>
          </w:tcPr>
          <w:p w14:paraId="04710D36" w14:textId="77777777" w:rsidR="00CF0854" w:rsidRPr="00CF0854" w:rsidRDefault="00CF0854" w:rsidP="00A850D4">
            <w:pPr>
              <w:jc w:val="both"/>
              <w:rPr>
                <w:bCs/>
              </w:rPr>
            </w:pPr>
            <w:r w:rsidRPr="00CF0854">
              <w:rPr>
                <w:bCs/>
              </w:rPr>
              <w:t>65</w:t>
            </w:r>
          </w:p>
          <w:p w14:paraId="0014757C" w14:textId="77777777" w:rsidR="00CF0854" w:rsidRPr="00CF0854" w:rsidRDefault="00CF0854" w:rsidP="00A850D4">
            <w:pPr>
              <w:jc w:val="both"/>
              <w:rPr>
                <w:bCs/>
              </w:rPr>
            </w:pPr>
            <w:r w:rsidRPr="00CF0854">
              <w:rPr>
                <w:bCs/>
              </w:rPr>
              <w:t>“;</w:t>
            </w:r>
          </w:p>
        </w:tc>
      </w:tr>
    </w:tbl>
    <w:p w14:paraId="11BB530B" w14:textId="77777777" w:rsidR="00CF0854" w:rsidRPr="00CF0854" w:rsidRDefault="00CF0854" w:rsidP="00A850D4">
      <w:pPr>
        <w:jc w:val="both"/>
        <w:rPr>
          <w:bCs/>
        </w:rPr>
      </w:pPr>
    </w:p>
    <w:p w14:paraId="5A6D862A" w14:textId="77777777" w:rsidR="00CF0854" w:rsidRPr="00CF0854" w:rsidRDefault="00CF0854" w:rsidP="00A850D4">
      <w:pPr>
        <w:jc w:val="both"/>
        <w:rPr>
          <w:bCs/>
        </w:rPr>
      </w:pPr>
      <w:r w:rsidRPr="00CF0854">
        <w:rPr>
          <w:b/>
        </w:rPr>
        <w:t>3)</w:t>
      </w:r>
      <w:r w:rsidRPr="00CF0854">
        <w:rPr>
          <w:bCs/>
        </w:rPr>
        <w:t xml:space="preserve"> paragrahvi 4 täiendatakse lõikega 2 järgmises sõnastuses:</w:t>
      </w:r>
    </w:p>
    <w:p w14:paraId="36C0E9CD" w14:textId="77777777" w:rsidR="00CF0854" w:rsidRPr="00CF0854" w:rsidRDefault="00CF0854" w:rsidP="00A850D4">
      <w:pPr>
        <w:jc w:val="both"/>
        <w:rPr>
          <w:bCs/>
        </w:rPr>
      </w:pPr>
    </w:p>
    <w:p w14:paraId="21D63092" w14:textId="77777777" w:rsidR="00CF0854" w:rsidRPr="00CF0854" w:rsidRDefault="00CF0854" w:rsidP="00A850D4">
      <w:pPr>
        <w:jc w:val="both"/>
        <w:rPr>
          <w:bCs/>
        </w:rPr>
      </w:pPr>
      <w:r w:rsidRPr="00CF0854">
        <w:rPr>
          <w:bCs/>
        </w:rPr>
        <w:t>„(2) Veterinaarravimite statistilistele analüüsidele rakendatakse järgmisi hindasid:</w:t>
      </w:r>
    </w:p>
    <w:p w14:paraId="31121560" w14:textId="77777777" w:rsidR="00CF0854" w:rsidRPr="00CF0854" w:rsidRDefault="00CF0854" w:rsidP="00A850D4">
      <w:pPr>
        <w:jc w:val="both"/>
        <w:rPr>
          <w:bCs/>
        </w:rPr>
      </w:pPr>
    </w:p>
    <w:tbl>
      <w:tblPr>
        <w:tblStyle w:val="Kontuurtabel"/>
        <w:tblW w:w="0" w:type="auto"/>
        <w:tblLook w:val="04A0" w:firstRow="1" w:lastRow="0" w:firstColumn="1" w:lastColumn="0" w:noHBand="0" w:noVBand="1"/>
      </w:tblPr>
      <w:tblGrid>
        <w:gridCol w:w="421"/>
        <w:gridCol w:w="6804"/>
        <w:gridCol w:w="1837"/>
      </w:tblGrid>
      <w:tr w:rsidR="00CF0854" w:rsidRPr="00CF0854" w14:paraId="75B8647C" w14:textId="77777777" w:rsidTr="00B33D7E">
        <w:tc>
          <w:tcPr>
            <w:tcW w:w="421" w:type="dxa"/>
          </w:tcPr>
          <w:p w14:paraId="1DCAD087" w14:textId="77777777" w:rsidR="00CF0854" w:rsidRPr="00CF0854" w:rsidRDefault="00CF0854" w:rsidP="00A850D4">
            <w:pPr>
              <w:jc w:val="both"/>
              <w:rPr>
                <w:bCs/>
                <w:lang w:val="en-US"/>
              </w:rPr>
            </w:pPr>
          </w:p>
        </w:tc>
        <w:tc>
          <w:tcPr>
            <w:tcW w:w="6804" w:type="dxa"/>
          </w:tcPr>
          <w:p w14:paraId="08AE9DEB" w14:textId="77777777" w:rsidR="00CF0854" w:rsidRPr="00CF0854" w:rsidRDefault="00CF0854" w:rsidP="00A850D4">
            <w:pPr>
              <w:jc w:val="both"/>
              <w:rPr>
                <w:bCs/>
                <w:lang w:val="en-US"/>
              </w:rPr>
            </w:pPr>
          </w:p>
        </w:tc>
        <w:tc>
          <w:tcPr>
            <w:tcW w:w="1837" w:type="dxa"/>
          </w:tcPr>
          <w:p w14:paraId="2DECEFCD" w14:textId="77777777" w:rsidR="00CF0854" w:rsidRPr="00CF0854" w:rsidRDefault="00CF0854" w:rsidP="00A850D4">
            <w:pPr>
              <w:jc w:val="both"/>
              <w:rPr>
                <w:bCs/>
                <w:lang w:val="en-US"/>
              </w:rPr>
            </w:pPr>
            <w:r w:rsidRPr="00CF0854">
              <w:rPr>
                <w:bCs/>
                <w:lang w:val="en-US"/>
              </w:rPr>
              <w:t xml:space="preserve">Hind </w:t>
            </w:r>
            <w:proofErr w:type="spellStart"/>
            <w:r w:rsidRPr="00CF0854">
              <w:rPr>
                <w:bCs/>
                <w:lang w:val="en-US"/>
              </w:rPr>
              <w:t>eurodes</w:t>
            </w:r>
            <w:proofErr w:type="spellEnd"/>
          </w:p>
        </w:tc>
      </w:tr>
      <w:tr w:rsidR="00CF0854" w:rsidRPr="00CF0854" w14:paraId="63FF5DD7" w14:textId="77777777" w:rsidTr="00B33D7E">
        <w:tc>
          <w:tcPr>
            <w:tcW w:w="421" w:type="dxa"/>
          </w:tcPr>
          <w:p w14:paraId="3DF3E128" w14:textId="77777777" w:rsidR="00CF0854" w:rsidRPr="00CF0854" w:rsidRDefault="00CF0854" w:rsidP="00A850D4">
            <w:pPr>
              <w:jc w:val="both"/>
              <w:rPr>
                <w:bCs/>
                <w:lang w:val="en-US"/>
              </w:rPr>
            </w:pPr>
            <w:r w:rsidRPr="00CF0854">
              <w:rPr>
                <w:bCs/>
                <w:lang w:val="en-US"/>
              </w:rPr>
              <w:t>1.</w:t>
            </w:r>
          </w:p>
        </w:tc>
        <w:tc>
          <w:tcPr>
            <w:tcW w:w="6804" w:type="dxa"/>
          </w:tcPr>
          <w:p w14:paraId="50119BF7" w14:textId="77777777" w:rsidR="00CF0854" w:rsidRPr="00CF0854" w:rsidRDefault="00CF0854" w:rsidP="00A850D4">
            <w:pPr>
              <w:jc w:val="both"/>
              <w:rPr>
                <w:bCs/>
                <w:lang w:val="en-US"/>
              </w:rPr>
            </w:pPr>
            <w:proofErr w:type="spellStart"/>
            <w:r w:rsidRPr="00CF0854">
              <w:rPr>
                <w:bCs/>
                <w:lang w:val="en-US"/>
              </w:rPr>
              <w:t>Eesti</w:t>
            </w:r>
            <w:proofErr w:type="spellEnd"/>
            <w:r w:rsidRPr="00CF0854">
              <w:rPr>
                <w:bCs/>
                <w:lang w:val="en-US"/>
              </w:rPr>
              <w:t xml:space="preserve"> </w:t>
            </w:r>
            <w:proofErr w:type="spellStart"/>
            <w:r w:rsidRPr="00CF0854">
              <w:rPr>
                <w:bCs/>
                <w:lang w:val="en-US"/>
              </w:rPr>
              <w:t>ravimistatistika</w:t>
            </w:r>
            <w:proofErr w:type="spellEnd"/>
            <w:r w:rsidRPr="00CF0854">
              <w:rPr>
                <w:bCs/>
                <w:lang w:val="en-US"/>
              </w:rPr>
              <w:t xml:space="preserve"> </w:t>
            </w:r>
            <w:proofErr w:type="spellStart"/>
            <w:r w:rsidRPr="00CF0854">
              <w:rPr>
                <w:bCs/>
                <w:lang w:val="en-US"/>
              </w:rPr>
              <w:t>tavaanalüüs</w:t>
            </w:r>
            <w:proofErr w:type="spellEnd"/>
            <w:r w:rsidRPr="00CF0854">
              <w:rPr>
                <w:bCs/>
                <w:lang w:val="en-US"/>
              </w:rPr>
              <w:t xml:space="preserve"> </w:t>
            </w:r>
            <w:proofErr w:type="spellStart"/>
            <w:r w:rsidRPr="00CF0854">
              <w:rPr>
                <w:bCs/>
                <w:lang w:val="en-US"/>
              </w:rPr>
              <w:t>aasta</w:t>
            </w:r>
            <w:proofErr w:type="spellEnd"/>
            <w:r w:rsidRPr="00CF0854">
              <w:rPr>
                <w:bCs/>
                <w:lang w:val="en-US"/>
              </w:rPr>
              <w:t xml:space="preserve"> </w:t>
            </w:r>
            <w:proofErr w:type="spellStart"/>
            <w:r w:rsidRPr="00CF0854">
              <w:rPr>
                <w:bCs/>
                <w:lang w:val="en-US"/>
              </w:rPr>
              <w:t>kohta</w:t>
            </w:r>
            <w:proofErr w:type="spellEnd"/>
          </w:p>
        </w:tc>
        <w:tc>
          <w:tcPr>
            <w:tcW w:w="1837" w:type="dxa"/>
          </w:tcPr>
          <w:p w14:paraId="4E9923CD" w14:textId="77777777" w:rsidR="00CF0854" w:rsidRPr="00CF0854" w:rsidRDefault="00CF0854" w:rsidP="00A850D4">
            <w:pPr>
              <w:jc w:val="both"/>
              <w:rPr>
                <w:bCs/>
                <w:lang w:val="en-US"/>
              </w:rPr>
            </w:pPr>
            <w:r w:rsidRPr="00CF0854">
              <w:rPr>
                <w:bCs/>
                <w:lang w:val="en-US"/>
              </w:rPr>
              <w:t>1900</w:t>
            </w:r>
          </w:p>
        </w:tc>
      </w:tr>
      <w:tr w:rsidR="00CF0854" w:rsidRPr="00CF0854" w14:paraId="6464DC1D" w14:textId="77777777" w:rsidTr="00B33D7E">
        <w:tc>
          <w:tcPr>
            <w:tcW w:w="421" w:type="dxa"/>
          </w:tcPr>
          <w:p w14:paraId="56BFF04C" w14:textId="77777777" w:rsidR="00CF0854" w:rsidRPr="00CF0854" w:rsidRDefault="00CF0854" w:rsidP="00A850D4">
            <w:pPr>
              <w:jc w:val="both"/>
              <w:rPr>
                <w:bCs/>
                <w:lang w:val="en-US"/>
              </w:rPr>
            </w:pPr>
            <w:r w:rsidRPr="00CF0854">
              <w:rPr>
                <w:bCs/>
                <w:lang w:val="en-US"/>
              </w:rPr>
              <w:t>2.</w:t>
            </w:r>
          </w:p>
        </w:tc>
        <w:tc>
          <w:tcPr>
            <w:tcW w:w="6804" w:type="dxa"/>
          </w:tcPr>
          <w:p w14:paraId="1C7282BB" w14:textId="77777777" w:rsidR="00CF0854" w:rsidRPr="00CF0854" w:rsidRDefault="00CF0854" w:rsidP="00A850D4">
            <w:pPr>
              <w:jc w:val="both"/>
              <w:rPr>
                <w:bCs/>
                <w:lang w:val="en-US"/>
              </w:rPr>
            </w:pPr>
            <w:proofErr w:type="spellStart"/>
            <w:r w:rsidRPr="00CF0854">
              <w:rPr>
                <w:bCs/>
                <w:lang w:val="en-US"/>
              </w:rPr>
              <w:t>Eesti</w:t>
            </w:r>
            <w:proofErr w:type="spellEnd"/>
            <w:r w:rsidRPr="00CF0854">
              <w:rPr>
                <w:bCs/>
                <w:lang w:val="en-US"/>
              </w:rPr>
              <w:t xml:space="preserve"> </w:t>
            </w:r>
            <w:proofErr w:type="spellStart"/>
            <w:r w:rsidRPr="00CF0854">
              <w:rPr>
                <w:bCs/>
                <w:lang w:val="en-US"/>
              </w:rPr>
              <w:t>ravimistatistika</w:t>
            </w:r>
            <w:proofErr w:type="spellEnd"/>
            <w:r w:rsidRPr="00CF0854">
              <w:rPr>
                <w:bCs/>
                <w:lang w:val="en-US"/>
              </w:rPr>
              <w:t xml:space="preserve"> </w:t>
            </w:r>
            <w:proofErr w:type="spellStart"/>
            <w:r w:rsidRPr="00CF0854">
              <w:rPr>
                <w:bCs/>
                <w:lang w:val="en-US"/>
              </w:rPr>
              <w:t>tavaanalüüs</w:t>
            </w:r>
            <w:proofErr w:type="spellEnd"/>
            <w:r w:rsidRPr="00CF0854">
              <w:rPr>
                <w:bCs/>
                <w:lang w:val="en-US"/>
              </w:rPr>
              <w:t xml:space="preserve"> </w:t>
            </w:r>
            <w:proofErr w:type="spellStart"/>
            <w:r w:rsidRPr="00CF0854">
              <w:rPr>
                <w:bCs/>
                <w:lang w:val="en-US"/>
              </w:rPr>
              <w:t>poolaasta</w:t>
            </w:r>
            <w:proofErr w:type="spellEnd"/>
            <w:r w:rsidRPr="00CF0854">
              <w:rPr>
                <w:bCs/>
                <w:lang w:val="en-US"/>
              </w:rPr>
              <w:t xml:space="preserve"> </w:t>
            </w:r>
            <w:proofErr w:type="spellStart"/>
            <w:r w:rsidRPr="00CF0854">
              <w:rPr>
                <w:bCs/>
                <w:lang w:val="en-US"/>
              </w:rPr>
              <w:t>kohta</w:t>
            </w:r>
            <w:proofErr w:type="spellEnd"/>
          </w:p>
        </w:tc>
        <w:tc>
          <w:tcPr>
            <w:tcW w:w="1837" w:type="dxa"/>
          </w:tcPr>
          <w:p w14:paraId="700E01B8" w14:textId="77777777" w:rsidR="00CF0854" w:rsidRPr="00CF0854" w:rsidRDefault="00CF0854" w:rsidP="00A850D4">
            <w:pPr>
              <w:jc w:val="both"/>
              <w:rPr>
                <w:bCs/>
                <w:lang w:val="en-US"/>
              </w:rPr>
            </w:pPr>
            <w:r w:rsidRPr="00CF0854">
              <w:rPr>
                <w:bCs/>
                <w:lang w:val="en-US"/>
              </w:rPr>
              <w:t>1100</w:t>
            </w:r>
          </w:p>
        </w:tc>
      </w:tr>
      <w:tr w:rsidR="00CF0854" w:rsidRPr="00CF0854" w14:paraId="7AFDA49E" w14:textId="77777777" w:rsidTr="00B33D7E">
        <w:tc>
          <w:tcPr>
            <w:tcW w:w="421" w:type="dxa"/>
          </w:tcPr>
          <w:p w14:paraId="0C5D3083" w14:textId="77777777" w:rsidR="00CF0854" w:rsidRPr="00CF0854" w:rsidRDefault="00CF0854" w:rsidP="00A850D4">
            <w:pPr>
              <w:jc w:val="both"/>
              <w:rPr>
                <w:bCs/>
                <w:lang w:val="en-US"/>
              </w:rPr>
            </w:pPr>
            <w:r w:rsidRPr="00CF0854">
              <w:rPr>
                <w:bCs/>
                <w:lang w:val="en-US"/>
              </w:rPr>
              <w:t>3.</w:t>
            </w:r>
          </w:p>
        </w:tc>
        <w:tc>
          <w:tcPr>
            <w:tcW w:w="6804" w:type="dxa"/>
          </w:tcPr>
          <w:p w14:paraId="6E1ABB3F" w14:textId="77777777" w:rsidR="00CF0854" w:rsidRPr="00CF0854" w:rsidRDefault="00CF0854" w:rsidP="00A850D4">
            <w:pPr>
              <w:jc w:val="both"/>
              <w:rPr>
                <w:bCs/>
                <w:lang w:val="en-US"/>
              </w:rPr>
            </w:pPr>
            <w:proofErr w:type="spellStart"/>
            <w:r w:rsidRPr="00CF0854">
              <w:rPr>
                <w:bCs/>
                <w:lang w:val="en-US"/>
              </w:rPr>
              <w:t>Eesti</w:t>
            </w:r>
            <w:proofErr w:type="spellEnd"/>
            <w:r w:rsidRPr="00CF0854">
              <w:rPr>
                <w:bCs/>
                <w:lang w:val="en-US"/>
              </w:rPr>
              <w:t xml:space="preserve"> </w:t>
            </w:r>
            <w:proofErr w:type="spellStart"/>
            <w:r w:rsidRPr="00CF0854">
              <w:rPr>
                <w:bCs/>
                <w:lang w:val="en-US"/>
              </w:rPr>
              <w:t>ravimistatistika</w:t>
            </w:r>
            <w:proofErr w:type="spellEnd"/>
            <w:r w:rsidRPr="00CF0854">
              <w:rPr>
                <w:bCs/>
                <w:lang w:val="en-US"/>
              </w:rPr>
              <w:t xml:space="preserve"> </w:t>
            </w:r>
            <w:proofErr w:type="spellStart"/>
            <w:r w:rsidRPr="00CF0854">
              <w:rPr>
                <w:bCs/>
                <w:lang w:val="en-US"/>
              </w:rPr>
              <w:t>tavaanalüüs</w:t>
            </w:r>
            <w:proofErr w:type="spellEnd"/>
            <w:r w:rsidRPr="00CF0854">
              <w:rPr>
                <w:bCs/>
                <w:lang w:val="en-US"/>
              </w:rPr>
              <w:t xml:space="preserve"> </w:t>
            </w:r>
            <w:proofErr w:type="spellStart"/>
            <w:r w:rsidRPr="00CF0854">
              <w:rPr>
                <w:bCs/>
                <w:lang w:val="en-US"/>
              </w:rPr>
              <w:t>kvartali</w:t>
            </w:r>
            <w:proofErr w:type="spellEnd"/>
            <w:r w:rsidRPr="00CF0854">
              <w:rPr>
                <w:bCs/>
                <w:lang w:val="en-US"/>
              </w:rPr>
              <w:t xml:space="preserve"> </w:t>
            </w:r>
            <w:proofErr w:type="spellStart"/>
            <w:r w:rsidRPr="00CF0854">
              <w:rPr>
                <w:bCs/>
                <w:lang w:val="en-US"/>
              </w:rPr>
              <w:t>kohta</w:t>
            </w:r>
            <w:proofErr w:type="spellEnd"/>
          </w:p>
        </w:tc>
        <w:tc>
          <w:tcPr>
            <w:tcW w:w="1837" w:type="dxa"/>
          </w:tcPr>
          <w:p w14:paraId="128E5FCB" w14:textId="77777777" w:rsidR="00CF0854" w:rsidRPr="00CF0854" w:rsidRDefault="00CF0854" w:rsidP="00A850D4">
            <w:pPr>
              <w:jc w:val="both"/>
              <w:rPr>
                <w:bCs/>
                <w:lang w:val="en-US"/>
              </w:rPr>
            </w:pPr>
            <w:r w:rsidRPr="00CF0854">
              <w:rPr>
                <w:bCs/>
                <w:lang w:val="en-US"/>
              </w:rPr>
              <w:t>650</w:t>
            </w:r>
          </w:p>
        </w:tc>
      </w:tr>
      <w:tr w:rsidR="00CF0854" w:rsidRPr="00CF0854" w14:paraId="01F54DB2" w14:textId="77777777" w:rsidTr="00B33D7E">
        <w:tc>
          <w:tcPr>
            <w:tcW w:w="421" w:type="dxa"/>
          </w:tcPr>
          <w:p w14:paraId="6FA1323D" w14:textId="77777777" w:rsidR="00CF0854" w:rsidRPr="00CF0854" w:rsidRDefault="00CF0854" w:rsidP="00A850D4">
            <w:pPr>
              <w:jc w:val="both"/>
              <w:rPr>
                <w:bCs/>
                <w:lang w:val="en-US"/>
              </w:rPr>
            </w:pPr>
            <w:r w:rsidRPr="00CF0854">
              <w:rPr>
                <w:bCs/>
                <w:lang w:val="en-US"/>
              </w:rPr>
              <w:t>4.</w:t>
            </w:r>
          </w:p>
        </w:tc>
        <w:tc>
          <w:tcPr>
            <w:tcW w:w="6804" w:type="dxa"/>
          </w:tcPr>
          <w:p w14:paraId="16113D48" w14:textId="77777777" w:rsidR="00CF0854" w:rsidRPr="00CF0854" w:rsidRDefault="00CF0854" w:rsidP="00A850D4">
            <w:pPr>
              <w:jc w:val="both"/>
              <w:rPr>
                <w:bCs/>
                <w:lang w:val="en-US"/>
              </w:rPr>
            </w:pPr>
            <w:proofErr w:type="spellStart"/>
            <w:r w:rsidRPr="00CF0854">
              <w:rPr>
                <w:bCs/>
                <w:lang w:val="en-US"/>
              </w:rPr>
              <w:t>Eesti</w:t>
            </w:r>
            <w:proofErr w:type="spellEnd"/>
            <w:r w:rsidRPr="00CF0854">
              <w:rPr>
                <w:bCs/>
                <w:lang w:val="en-US"/>
              </w:rPr>
              <w:t xml:space="preserve"> </w:t>
            </w:r>
            <w:proofErr w:type="spellStart"/>
            <w:r w:rsidRPr="00CF0854">
              <w:rPr>
                <w:bCs/>
                <w:lang w:val="en-US"/>
              </w:rPr>
              <w:t>ravimistatistika</w:t>
            </w:r>
            <w:proofErr w:type="spellEnd"/>
            <w:r w:rsidRPr="00CF0854">
              <w:rPr>
                <w:bCs/>
                <w:lang w:val="en-US"/>
              </w:rPr>
              <w:t xml:space="preserve"> </w:t>
            </w:r>
            <w:proofErr w:type="spellStart"/>
            <w:r w:rsidRPr="00CF0854">
              <w:rPr>
                <w:bCs/>
                <w:lang w:val="en-US"/>
              </w:rPr>
              <w:t>laiendatud</w:t>
            </w:r>
            <w:proofErr w:type="spellEnd"/>
            <w:r w:rsidRPr="00CF0854">
              <w:rPr>
                <w:bCs/>
                <w:lang w:val="en-US"/>
              </w:rPr>
              <w:t xml:space="preserve"> </w:t>
            </w:r>
            <w:proofErr w:type="spellStart"/>
            <w:r w:rsidRPr="00CF0854">
              <w:rPr>
                <w:bCs/>
                <w:lang w:val="en-US"/>
              </w:rPr>
              <w:t>tavaanalüüs</w:t>
            </w:r>
            <w:proofErr w:type="spellEnd"/>
            <w:r w:rsidRPr="00CF0854">
              <w:rPr>
                <w:bCs/>
                <w:lang w:val="en-US"/>
              </w:rPr>
              <w:t xml:space="preserve"> </w:t>
            </w:r>
            <w:proofErr w:type="spellStart"/>
            <w:r w:rsidRPr="00CF0854">
              <w:rPr>
                <w:bCs/>
                <w:lang w:val="en-US"/>
              </w:rPr>
              <w:t>aasta</w:t>
            </w:r>
            <w:proofErr w:type="spellEnd"/>
            <w:r w:rsidRPr="00CF0854">
              <w:rPr>
                <w:bCs/>
                <w:lang w:val="en-US"/>
              </w:rPr>
              <w:t xml:space="preserve"> </w:t>
            </w:r>
            <w:proofErr w:type="spellStart"/>
            <w:r w:rsidRPr="00CF0854">
              <w:rPr>
                <w:bCs/>
                <w:lang w:val="en-US"/>
              </w:rPr>
              <w:t>kohta</w:t>
            </w:r>
            <w:proofErr w:type="spellEnd"/>
          </w:p>
        </w:tc>
        <w:tc>
          <w:tcPr>
            <w:tcW w:w="1837" w:type="dxa"/>
          </w:tcPr>
          <w:p w14:paraId="2E68B505" w14:textId="77777777" w:rsidR="00CF0854" w:rsidRPr="00CF0854" w:rsidRDefault="00CF0854" w:rsidP="00A850D4">
            <w:pPr>
              <w:jc w:val="both"/>
              <w:rPr>
                <w:bCs/>
                <w:lang w:val="en-US"/>
              </w:rPr>
            </w:pPr>
            <w:r w:rsidRPr="00CF0854">
              <w:rPr>
                <w:bCs/>
                <w:lang w:val="en-US"/>
              </w:rPr>
              <w:t>2400</w:t>
            </w:r>
          </w:p>
        </w:tc>
      </w:tr>
      <w:tr w:rsidR="00CF0854" w:rsidRPr="00CF0854" w14:paraId="62DDD750" w14:textId="77777777" w:rsidTr="00B33D7E">
        <w:tc>
          <w:tcPr>
            <w:tcW w:w="421" w:type="dxa"/>
          </w:tcPr>
          <w:p w14:paraId="3AB26714" w14:textId="77777777" w:rsidR="00CF0854" w:rsidRPr="00CF0854" w:rsidRDefault="00CF0854" w:rsidP="00A850D4">
            <w:pPr>
              <w:jc w:val="both"/>
              <w:rPr>
                <w:bCs/>
                <w:lang w:val="en-US"/>
              </w:rPr>
            </w:pPr>
            <w:r w:rsidRPr="00CF0854">
              <w:rPr>
                <w:bCs/>
                <w:lang w:val="en-US"/>
              </w:rPr>
              <w:t>5.</w:t>
            </w:r>
          </w:p>
        </w:tc>
        <w:tc>
          <w:tcPr>
            <w:tcW w:w="6804" w:type="dxa"/>
          </w:tcPr>
          <w:p w14:paraId="692933B2" w14:textId="77777777" w:rsidR="00CF0854" w:rsidRPr="00CF0854" w:rsidRDefault="00CF0854" w:rsidP="00A850D4">
            <w:pPr>
              <w:jc w:val="both"/>
              <w:rPr>
                <w:bCs/>
                <w:lang w:val="en-US"/>
              </w:rPr>
            </w:pPr>
            <w:proofErr w:type="spellStart"/>
            <w:r w:rsidRPr="00CF0854">
              <w:rPr>
                <w:bCs/>
                <w:lang w:val="en-US"/>
              </w:rPr>
              <w:t>Eesti</w:t>
            </w:r>
            <w:proofErr w:type="spellEnd"/>
            <w:r w:rsidRPr="00CF0854">
              <w:rPr>
                <w:bCs/>
                <w:lang w:val="en-US"/>
              </w:rPr>
              <w:t xml:space="preserve"> </w:t>
            </w:r>
            <w:proofErr w:type="spellStart"/>
            <w:r w:rsidRPr="00CF0854">
              <w:rPr>
                <w:bCs/>
                <w:lang w:val="en-US"/>
              </w:rPr>
              <w:t>ravimistatistika</w:t>
            </w:r>
            <w:proofErr w:type="spellEnd"/>
            <w:r w:rsidRPr="00CF0854">
              <w:rPr>
                <w:bCs/>
                <w:lang w:val="en-US"/>
              </w:rPr>
              <w:t xml:space="preserve"> </w:t>
            </w:r>
            <w:proofErr w:type="spellStart"/>
            <w:r w:rsidRPr="00CF0854">
              <w:rPr>
                <w:bCs/>
                <w:lang w:val="en-US"/>
              </w:rPr>
              <w:t>laiendatud</w:t>
            </w:r>
            <w:proofErr w:type="spellEnd"/>
            <w:r w:rsidRPr="00CF0854">
              <w:rPr>
                <w:bCs/>
                <w:lang w:val="en-US"/>
              </w:rPr>
              <w:t xml:space="preserve"> </w:t>
            </w:r>
            <w:proofErr w:type="spellStart"/>
            <w:r w:rsidRPr="00CF0854">
              <w:rPr>
                <w:bCs/>
                <w:lang w:val="en-US"/>
              </w:rPr>
              <w:t>tavaanalüüs</w:t>
            </w:r>
            <w:proofErr w:type="spellEnd"/>
            <w:r w:rsidRPr="00CF0854">
              <w:rPr>
                <w:bCs/>
                <w:lang w:val="en-US"/>
              </w:rPr>
              <w:t xml:space="preserve"> </w:t>
            </w:r>
            <w:proofErr w:type="spellStart"/>
            <w:r w:rsidRPr="00CF0854">
              <w:rPr>
                <w:bCs/>
                <w:lang w:val="en-US"/>
              </w:rPr>
              <w:t>poolaasta</w:t>
            </w:r>
            <w:proofErr w:type="spellEnd"/>
            <w:r w:rsidRPr="00CF0854">
              <w:rPr>
                <w:bCs/>
                <w:lang w:val="en-US"/>
              </w:rPr>
              <w:t xml:space="preserve"> </w:t>
            </w:r>
            <w:proofErr w:type="spellStart"/>
            <w:r w:rsidRPr="00CF0854">
              <w:rPr>
                <w:bCs/>
                <w:lang w:val="en-US"/>
              </w:rPr>
              <w:t>kohta</w:t>
            </w:r>
            <w:proofErr w:type="spellEnd"/>
          </w:p>
        </w:tc>
        <w:tc>
          <w:tcPr>
            <w:tcW w:w="1837" w:type="dxa"/>
          </w:tcPr>
          <w:p w14:paraId="6CB124CE" w14:textId="77777777" w:rsidR="00CF0854" w:rsidRPr="00CF0854" w:rsidRDefault="00CF0854" w:rsidP="00A850D4">
            <w:pPr>
              <w:jc w:val="both"/>
              <w:rPr>
                <w:bCs/>
                <w:lang w:val="en-US"/>
              </w:rPr>
            </w:pPr>
            <w:r w:rsidRPr="00CF0854">
              <w:rPr>
                <w:bCs/>
                <w:lang w:val="en-US"/>
              </w:rPr>
              <w:t>1300</w:t>
            </w:r>
          </w:p>
        </w:tc>
      </w:tr>
      <w:tr w:rsidR="00CF0854" w:rsidRPr="00CF0854" w14:paraId="00F45120" w14:textId="77777777" w:rsidTr="00B33D7E">
        <w:tc>
          <w:tcPr>
            <w:tcW w:w="421" w:type="dxa"/>
          </w:tcPr>
          <w:p w14:paraId="739A083A" w14:textId="77777777" w:rsidR="00CF0854" w:rsidRPr="00CF0854" w:rsidRDefault="00CF0854" w:rsidP="00A850D4">
            <w:pPr>
              <w:jc w:val="both"/>
              <w:rPr>
                <w:bCs/>
                <w:lang w:val="en-US"/>
              </w:rPr>
            </w:pPr>
            <w:r w:rsidRPr="00CF0854">
              <w:rPr>
                <w:bCs/>
                <w:lang w:val="en-US"/>
              </w:rPr>
              <w:t>6.</w:t>
            </w:r>
          </w:p>
        </w:tc>
        <w:tc>
          <w:tcPr>
            <w:tcW w:w="6804" w:type="dxa"/>
          </w:tcPr>
          <w:p w14:paraId="773A960C" w14:textId="77777777" w:rsidR="00CF0854" w:rsidRPr="00CF0854" w:rsidRDefault="00CF0854" w:rsidP="00A850D4">
            <w:pPr>
              <w:jc w:val="both"/>
              <w:rPr>
                <w:bCs/>
                <w:lang w:val="en-US"/>
              </w:rPr>
            </w:pPr>
            <w:proofErr w:type="spellStart"/>
            <w:r w:rsidRPr="00CF0854">
              <w:rPr>
                <w:bCs/>
                <w:lang w:val="en-US"/>
              </w:rPr>
              <w:t>Eesti</w:t>
            </w:r>
            <w:proofErr w:type="spellEnd"/>
            <w:r w:rsidRPr="00CF0854">
              <w:rPr>
                <w:bCs/>
                <w:lang w:val="en-US"/>
              </w:rPr>
              <w:t xml:space="preserve"> </w:t>
            </w:r>
            <w:proofErr w:type="spellStart"/>
            <w:r w:rsidRPr="00CF0854">
              <w:rPr>
                <w:bCs/>
                <w:lang w:val="en-US"/>
              </w:rPr>
              <w:t>ravimistatistika</w:t>
            </w:r>
            <w:proofErr w:type="spellEnd"/>
            <w:r w:rsidRPr="00CF0854">
              <w:rPr>
                <w:bCs/>
                <w:lang w:val="en-US"/>
              </w:rPr>
              <w:t xml:space="preserve"> </w:t>
            </w:r>
            <w:proofErr w:type="spellStart"/>
            <w:r w:rsidRPr="00CF0854">
              <w:rPr>
                <w:bCs/>
                <w:lang w:val="en-US"/>
              </w:rPr>
              <w:t>laiendatud</w:t>
            </w:r>
            <w:proofErr w:type="spellEnd"/>
            <w:r w:rsidRPr="00CF0854">
              <w:rPr>
                <w:bCs/>
                <w:lang w:val="en-US"/>
              </w:rPr>
              <w:t xml:space="preserve"> </w:t>
            </w:r>
            <w:proofErr w:type="spellStart"/>
            <w:r w:rsidRPr="00CF0854">
              <w:rPr>
                <w:bCs/>
                <w:lang w:val="en-US"/>
              </w:rPr>
              <w:t>tavaanalüüs</w:t>
            </w:r>
            <w:proofErr w:type="spellEnd"/>
            <w:r w:rsidRPr="00CF0854">
              <w:rPr>
                <w:bCs/>
                <w:lang w:val="en-US"/>
              </w:rPr>
              <w:t xml:space="preserve"> </w:t>
            </w:r>
            <w:proofErr w:type="spellStart"/>
            <w:r w:rsidRPr="00CF0854">
              <w:rPr>
                <w:bCs/>
                <w:lang w:val="en-US"/>
              </w:rPr>
              <w:t>kvartali</w:t>
            </w:r>
            <w:proofErr w:type="spellEnd"/>
            <w:r w:rsidRPr="00CF0854">
              <w:rPr>
                <w:bCs/>
                <w:lang w:val="en-US"/>
              </w:rPr>
              <w:t xml:space="preserve"> </w:t>
            </w:r>
            <w:proofErr w:type="spellStart"/>
            <w:r w:rsidRPr="00CF0854">
              <w:rPr>
                <w:bCs/>
                <w:lang w:val="en-US"/>
              </w:rPr>
              <w:t>kohta</w:t>
            </w:r>
            <w:proofErr w:type="spellEnd"/>
          </w:p>
        </w:tc>
        <w:tc>
          <w:tcPr>
            <w:tcW w:w="1837" w:type="dxa"/>
          </w:tcPr>
          <w:p w14:paraId="1D9B49AA" w14:textId="77777777" w:rsidR="00CF0854" w:rsidRPr="00CF0854" w:rsidRDefault="00CF0854" w:rsidP="00A850D4">
            <w:pPr>
              <w:jc w:val="both"/>
              <w:rPr>
                <w:bCs/>
                <w:lang w:val="en-US"/>
              </w:rPr>
            </w:pPr>
            <w:r w:rsidRPr="00CF0854">
              <w:rPr>
                <w:bCs/>
                <w:lang w:val="en-US"/>
              </w:rPr>
              <w:t>800</w:t>
            </w:r>
          </w:p>
          <w:p w14:paraId="6965C99C" w14:textId="77777777" w:rsidR="00CF0854" w:rsidRPr="00CF0854" w:rsidRDefault="00CF0854" w:rsidP="00A850D4">
            <w:pPr>
              <w:jc w:val="both"/>
              <w:rPr>
                <w:bCs/>
                <w:lang w:val="en-US"/>
              </w:rPr>
            </w:pPr>
            <w:r w:rsidRPr="00CF0854">
              <w:rPr>
                <w:bCs/>
                <w:lang w:val="en-US"/>
              </w:rPr>
              <w:t>”;</w:t>
            </w:r>
          </w:p>
        </w:tc>
      </w:tr>
    </w:tbl>
    <w:p w14:paraId="37D8D7DF" w14:textId="77777777" w:rsidR="00CF0854" w:rsidRPr="00CF0854" w:rsidRDefault="00CF0854" w:rsidP="00A850D4">
      <w:pPr>
        <w:jc w:val="both"/>
        <w:rPr>
          <w:bCs/>
        </w:rPr>
      </w:pPr>
    </w:p>
    <w:p w14:paraId="14DE560A" w14:textId="77777777" w:rsidR="00CF0854" w:rsidRPr="00CF0854" w:rsidRDefault="00CF0854" w:rsidP="00A850D4">
      <w:pPr>
        <w:jc w:val="both"/>
        <w:rPr>
          <w:bCs/>
        </w:rPr>
      </w:pPr>
      <w:r w:rsidRPr="00CF0854">
        <w:rPr>
          <w:b/>
          <w:bCs/>
        </w:rPr>
        <w:t xml:space="preserve">4) </w:t>
      </w:r>
      <w:r w:rsidRPr="00CF0854">
        <w:rPr>
          <w:bCs/>
        </w:rPr>
        <w:t>paragrahvi 5 tekst sõnastatakse järgmiselt:</w:t>
      </w:r>
    </w:p>
    <w:p w14:paraId="30977C46" w14:textId="77777777" w:rsidR="00CF0854" w:rsidRPr="00CF0854" w:rsidRDefault="00CF0854" w:rsidP="00A850D4">
      <w:pPr>
        <w:jc w:val="both"/>
        <w:rPr>
          <w:bCs/>
        </w:rPr>
      </w:pPr>
    </w:p>
    <w:p w14:paraId="3E875D93" w14:textId="77777777" w:rsidR="00CF0854" w:rsidRPr="00CF0854" w:rsidRDefault="00CF0854" w:rsidP="00A850D4">
      <w:pPr>
        <w:jc w:val="both"/>
      </w:pPr>
      <w:r w:rsidRPr="00CF0854">
        <w:t>„Kontrollanalüüsidele rakendatakse järgmisi hindasid:</w:t>
      </w:r>
    </w:p>
    <w:p w14:paraId="6A1DA991" w14:textId="77777777" w:rsidR="00CF0854" w:rsidRPr="00CF0854" w:rsidRDefault="00CF0854" w:rsidP="00A850D4">
      <w:pPr>
        <w:jc w:val="both"/>
      </w:pPr>
    </w:p>
    <w:tbl>
      <w:tblPr>
        <w:tblW w:w="8639"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600"/>
        <w:gridCol w:w="6487"/>
        <w:gridCol w:w="1552"/>
      </w:tblGrid>
      <w:tr w:rsidR="00CF0854" w:rsidRPr="00CF0854" w14:paraId="2D23AAFF"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0EFEFF5D" w14:textId="77777777" w:rsidR="00CF0854" w:rsidRPr="00CF0854" w:rsidRDefault="00CF0854" w:rsidP="00A850D4">
            <w:pPr>
              <w:jc w:val="both"/>
            </w:pPr>
            <w:r w:rsidRPr="00CF0854">
              <w:t> </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67974489" w14:textId="77777777" w:rsidR="00CF0854" w:rsidRPr="00CF0854" w:rsidRDefault="00CF0854" w:rsidP="00A850D4">
            <w:pPr>
              <w:jc w:val="both"/>
            </w:pPr>
            <w:r w:rsidRPr="00CF0854">
              <w:t> </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312D2CFD" w14:textId="77777777" w:rsidR="00CF0854" w:rsidRPr="00CF0854" w:rsidRDefault="00CF0854" w:rsidP="00A850D4">
            <w:pPr>
              <w:jc w:val="both"/>
            </w:pPr>
            <w:r w:rsidRPr="00CF0854">
              <w:t>Hind eurodes</w:t>
            </w:r>
          </w:p>
        </w:tc>
      </w:tr>
      <w:tr w:rsidR="00CF0854" w:rsidRPr="00CF0854" w14:paraId="08A1113D"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4C63BE3F" w14:textId="77777777" w:rsidR="00CF0854" w:rsidRPr="00CF0854" w:rsidRDefault="00CF0854" w:rsidP="00A850D4">
            <w:pPr>
              <w:jc w:val="both"/>
            </w:pPr>
            <w:r w:rsidRPr="00CF0854">
              <w:t>1.</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98646E9" w14:textId="77777777" w:rsidR="00CF0854" w:rsidRPr="00CF0854" w:rsidRDefault="00CF0854" w:rsidP="00A850D4">
            <w:pPr>
              <w:jc w:val="both"/>
            </w:pPr>
            <w:r w:rsidRPr="00CF0854">
              <w:t>Analüüsi ettevalmistamine ja tulemuste hindamine (tunnihind)</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1F5B3230" w14:textId="77777777" w:rsidR="00CF0854" w:rsidRPr="00CF0854" w:rsidRDefault="00CF0854" w:rsidP="00A850D4">
            <w:pPr>
              <w:jc w:val="both"/>
            </w:pPr>
            <w:r w:rsidRPr="00CF0854">
              <w:t>100</w:t>
            </w:r>
          </w:p>
        </w:tc>
      </w:tr>
      <w:tr w:rsidR="00CF0854" w:rsidRPr="00CF0854" w14:paraId="088BB62E"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261F14AC" w14:textId="77777777" w:rsidR="00CF0854" w:rsidRPr="00CF0854" w:rsidRDefault="00CF0854" w:rsidP="00A850D4">
            <w:pPr>
              <w:jc w:val="both"/>
            </w:pPr>
            <w:r w:rsidRPr="00CF0854">
              <w:t>2.</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1168D737" w14:textId="77777777" w:rsidR="00CF0854" w:rsidRPr="00CF0854" w:rsidRDefault="00CF0854" w:rsidP="00A850D4">
            <w:pPr>
              <w:jc w:val="both"/>
            </w:pPr>
            <w:r w:rsidRPr="00CF0854">
              <w:t>Analüüsid, kus kemikaalide kasutamine ei ole nõutav (tunnihind)</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E150C74" w14:textId="77777777" w:rsidR="00CF0854" w:rsidRPr="00CF0854" w:rsidRDefault="00CF0854" w:rsidP="00A850D4">
            <w:pPr>
              <w:jc w:val="both"/>
            </w:pPr>
            <w:r w:rsidRPr="00CF0854">
              <w:t>60</w:t>
            </w:r>
          </w:p>
        </w:tc>
      </w:tr>
      <w:tr w:rsidR="00CF0854" w:rsidRPr="00CF0854" w14:paraId="3F22C98B"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72D8B5E2" w14:textId="77777777" w:rsidR="00CF0854" w:rsidRPr="00CF0854" w:rsidRDefault="00CF0854" w:rsidP="00A850D4">
            <w:pPr>
              <w:jc w:val="both"/>
            </w:pPr>
            <w:r w:rsidRPr="00CF0854">
              <w:t>3.</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EC6A1A0" w14:textId="77777777" w:rsidR="00CF0854" w:rsidRPr="00CF0854" w:rsidRDefault="00CF0854" w:rsidP="00A850D4">
            <w:pPr>
              <w:jc w:val="both"/>
            </w:pPr>
            <w:r w:rsidRPr="00CF0854">
              <w:t>Analüüsid, kus kasutatakse laboriseadmeid ja kemikaale (tunnihind)</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5336127" w14:textId="77777777" w:rsidR="00CF0854" w:rsidRPr="00CF0854" w:rsidRDefault="00CF0854" w:rsidP="00A850D4">
            <w:pPr>
              <w:jc w:val="both"/>
            </w:pPr>
            <w:r w:rsidRPr="00CF0854">
              <w:t>80</w:t>
            </w:r>
          </w:p>
        </w:tc>
      </w:tr>
      <w:tr w:rsidR="00CF0854" w:rsidRPr="00CF0854" w14:paraId="591E98D5"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349AB210" w14:textId="77777777" w:rsidR="00CF0854" w:rsidRPr="00CF0854" w:rsidRDefault="00CF0854" w:rsidP="00A850D4">
            <w:pPr>
              <w:jc w:val="both"/>
            </w:pPr>
            <w:r w:rsidRPr="00CF0854">
              <w:t>4.</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DADDE1D" w14:textId="77777777" w:rsidR="00CF0854" w:rsidRPr="00CF0854" w:rsidRDefault="00CF0854" w:rsidP="00A850D4">
            <w:pPr>
              <w:jc w:val="both"/>
            </w:pPr>
            <w:r w:rsidRPr="00CF0854">
              <w:t>Instrumentaalanalüüsi meetodid:</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022ED143" w14:textId="77777777" w:rsidR="00CF0854" w:rsidRPr="00CF0854" w:rsidRDefault="00CF0854" w:rsidP="00A850D4">
            <w:pPr>
              <w:jc w:val="both"/>
            </w:pPr>
          </w:p>
        </w:tc>
      </w:tr>
      <w:tr w:rsidR="00CF0854" w:rsidRPr="00CF0854" w14:paraId="1B5EEE34"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05DA04A4" w14:textId="77777777" w:rsidR="00CF0854" w:rsidRPr="00CF0854" w:rsidRDefault="00CF0854" w:rsidP="00A850D4">
            <w:pPr>
              <w:jc w:val="both"/>
            </w:pPr>
            <w:r w:rsidRPr="00CF0854">
              <w:t>5.</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17F0C938" w14:textId="77777777" w:rsidR="00CF0854" w:rsidRPr="00CF0854" w:rsidRDefault="00CF0854" w:rsidP="00A850D4">
            <w:pPr>
              <w:jc w:val="both"/>
            </w:pPr>
            <w:r w:rsidRPr="00CF0854">
              <w:t>– UV-</w:t>
            </w:r>
            <w:proofErr w:type="spellStart"/>
            <w:r w:rsidRPr="00CF0854">
              <w:t>spektrofotomeetria</w:t>
            </w:r>
            <w:proofErr w:type="spellEnd"/>
            <w:r w:rsidRPr="00CF0854">
              <w:t xml:space="preserve"> (tunnihind)</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0B642152" w14:textId="77777777" w:rsidR="00CF0854" w:rsidRPr="00CF0854" w:rsidRDefault="00CF0854" w:rsidP="00A850D4">
            <w:pPr>
              <w:jc w:val="both"/>
            </w:pPr>
            <w:r w:rsidRPr="00CF0854">
              <w:t>80</w:t>
            </w:r>
          </w:p>
        </w:tc>
      </w:tr>
      <w:tr w:rsidR="00CF0854" w:rsidRPr="00CF0854" w14:paraId="4EE889CE"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23E50933" w14:textId="77777777" w:rsidR="00CF0854" w:rsidRPr="00CF0854" w:rsidRDefault="00CF0854" w:rsidP="00A850D4">
            <w:pPr>
              <w:jc w:val="both"/>
            </w:pPr>
            <w:r w:rsidRPr="00CF0854">
              <w:t>6.</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49EA7DF" w14:textId="77777777" w:rsidR="00CF0854" w:rsidRPr="00CF0854" w:rsidRDefault="00CF0854" w:rsidP="00A850D4">
            <w:pPr>
              <w:jc w:val="both"/>
            </w:pPr>
            <w:r w:rsidRPr="00CF0854">
              <w:t>– IR-</w:t>
            </w:r>
            <w:proofErr w:type="spellStart"/>
            <w:r w:rsidRPr="00CF0854">
              <w:t>spektrofotomeetria</w:t>
            </w:r>
            <w:proofErr w:type="spellEnd"/>
            <w:r w:rsidRPr="00CF0854">
              <w:t xml:space="preserve"> (tunnihind)</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59ACE48" w14:textId="77777777" w:rsidR="00CF0854" w:rsidRPr="00CF0854" w:rsidRDefault="00CF0854" w:rsidP="00A850D4">
            <w:pPr>
              <w:jc w:val="both"/>
            </w:pPr>
            <w:r w:rsidRPr="00CF0854">
              <w:t>80</w:t>
            </w:r>
          </w:p>
        </w:tc>
      </w:tr>
      <w:tr w:rsidR="00CF0854" w:rsidRPr="00CF0854" w14:paraId="39BFA425"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0F8FF"/>
            <w:tcMar>
              <w:top w:w="60" w:type="dxa"/>
              <w:left w:w="90" w:type="dxa"/>
              <w:bottom w:w="60" w:type="dxa"/>
              <w:right w:w="90" w:type="dxa"/>
            </w:tcMar>
            <w:hideMark/>
          </w:tcPr>
          <w:p w14:paraId="49FB822C" w14:textId="77777777" w:rsidR="00CF0854" w:rsidRPr="00CF0854" w:rsidRDefault="00CF0854" w:rsidP="00A850D4">
            <w:pPr>
              <w:jc w:val="both"/>
            </w:pPr>
            <w:r w:rsidRPr="00CF0854">
              <w:t>7.</w:t>
            </w:r>
          </w:p>
        </w:tc>
        <w:tc>
          <w:tcPr>
            <w:tcW w:w="6487" w:type="dxa"/>
            <w:tcBorders>
              <w:top w:val="single" w:sz="6" w:space="0" w:color="D0D0D0"/>
              <w:left w:val="single" w:sz="6" w:space="0" w:color="D0D0D0"/>
              <w:bottom w:val="single" w:sz="2" w:space="0" w:color="D0D0D0"/>
              <w:right w:val="single" w:sz="2" w:space="0" w:color="D0D0D0"/>
            </w:tcBorders>
            <w:shd w:val="clear" w:color="auto" w:fill="F0F8FF"/>
            <w:tcMar>
              <w:top w:w="60" w:type="dxa"/>
              <w:left w:w="90" w:type="dxa"/>
              <w:bottom w:w="60" w:type="dxa"/>
              <w:right w:w="90" w:type="dxa"/>
            </w:tcMar>
            <w:hideMark/>
          </w:tcPr>
          <w:p w14:paraId="50BD9FC2" w14:textId="77777777" w:rsidR="00CF0854" w:rsidRPr="00CF0854" w:rsidRDefault="00CF0854" w:rsidP="00A850D4">
            <w:pPr>
              <w:jc w:val="both"/>
            </w:pPr>
            <w:r w:rsidRPr="00CF0854">
              <w:t>– kõrgefektiivne vedelikkromatograafia (tunnihind)</w:t>
            </w:r>
          </w:p>
        </w:tc>
        <w:tc>
          <w:tcPr>
            <w:tcW w:w="1552" w:type="dxa"/>
            <w:tcBorders>
              <w:top w:val="single" w:sz="6" w:space="0" w:color="D0D0D0"/>
              <w:left w:val="single" w:sz="6" w:space="0" w:color="D0D0D0"/>
              <w:bottom w:val="single" w:sz="2" w:space="0" w:color="D0D0D0"/>
              <w:right w:val="single" w:sz="2" w:space="0" w:color="D0D0D0"/>
            </w:tcBorders>
            <w:shd w:val="clear" w:color="auto" w:fill="F0F8FF"/>
            <w:tcMar>
              <w:top w:w="60" w:type="dxa"/>
              <w:left w:w="90" w:type="dxa"/>
              <w:bottom w:w="60" w:type="dxa"/>
              <w:right w:w="90" w:type="dxa"/>
            </w:tcMar>
            <w:hideMark/>
          </w:tcPr>
          <w:p w14:paraId="15A6C426" w14:textId="77777777" w:rsidR="00CF0854" w:rsidRPr="00CF0854" w:rsidRDefault="00CF0854" w:rsidP="00A850D4">
            <w:pPr>
              <w:jc w:val="both"/>
            </w:pPr>
            <w:r w:rsidRPr="00CF0854">
              <w:t>100</w:t>
            </w:r>
          </w:p>
        </w:tc>
      </w:tr>
      <w:tr w:rsidR="00CF0854" w:rsidRPr="00CF0854" w14:paraId="2A8666FC"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0808FE14" w14:textId="77777777" w:rsidR="00CF0854" w:rsidRPr="00CF0854" w:rsidRDefault="00CF0854" w:rsidP="00A850D4">
            <w:pPr>
              <w:jc w:val="both"/>
            </w:pPr>
            <w:r w:rsidRPr="00CF0854">
              <w:t>8.</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5C08088D" w14:textId="77777777" w:rsidR="00CF0854" w:rsidRPr="00CF0854" w:rsidRDefault="00CF0854" w:rsidP="00A850D4">
            <w:pPr>
              <w:jc w:val="both"/>
            </w:pPr>
            <w:r w:rsidRPr="00CF0854">
              <w:t>Kestvusanalüüsi meetodid:</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3B3CE768" w14:textId="77777777" w:rsidR="00CF0854" w:rsidRPr="00CF0854" w:rsidRDefault="00CF0854" w:rsidP="00A850D4">
            <w:pPr>
              <w:jc w:val="both"/>
            </w:pPr>
          </w:p>
        </w:tc>
      </w:tr>
      <w:tr w:rsidR="00CF0854" w:rsidRPr="00CF0854" w14:paraId="37851EE5"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0129A219" w14:textId="77777777" w:rsidR="00CF0854" w:rsidRPr="00CF0854" w:rsidRDefault="00CF0854" w:rsidP="00A850D4">
            <w:pPr>
              <w:jc w:val="both"/>
            </w:pPr>
            <w:r w:rsidRPr="00CF0854">
              <w:t>9.</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353C56AD" w14:textId="77777777" w:rsidR="00CF0854" w:rsidRPr="00CF0854" w:rsidRDefault="00CF0854" w:rsidP="00A850D4">
            <w:pPr>
              <w:jc w:val="both"/>
            </w:pPr>
            <w:r w:rsidRPr="00CF0854">
              <w:t>– instrumentaalanalüüsid (tunnihind)</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66D5EA29" w14:textId="77777777" w:rsidR="00CF0854" w:rsidRPr="00CF0854" w:rsidRDefault="00CF0854" w:rsidP="00A850D4">
            <w:pPr>
              <w:jc w:val="both"/>
            </w:pPr>
            <w:r w:rsidRPr="00CF0854">
              <w:t>60</w:t>
            </w:r>
          </w:p>
        </w:tc>
      </w:tr>
      <w:tr w:rsidR="00CF0854" w:rsidRPr="00CF0854" w14:paraId="36F2021A" w14:textId="77777777" w:rsidTr="00B33D7E">
        <w:tc>
          <w:tcPr>
            <w:tcW w:w="600" w:type="dxa"/>
            <w:tcBorders>
              <w:top w:val="single" w:sz="6" w:space="0" w:color="D0D0D0"/>
              <w:left w:val="single" w:sz="6" w:space="0" w:color="C0C0C0"/>
              <w:bottom w:val="single" w:sz="6" w:space="0" w:color="D0D0D0"/>
              <w:right w:val="single" w:sz="2" w:space="0" w:color="D0D0D0"/>
            </w:tcBorders>
            <w:shd w:val="clear" w:color="auto" w:fill="FFFFFF"/>
            <w:tcMar>
              <w:top w:w="60" w:type="dxa"/>
              <w:left w:w="90" w:type="dxa"/>
              <w:bottom w:w="60" w:type="dxa"/>
              <w:right w:w="90" w:type="dxa"/>
            </w:tcMar>
            <w:hideMark/>
          </w:tcPr>
          <w:p w14:paraId="08FEF9E2" w14:textId="77777777" w:rsidR="00CF0854" w:rsidRPr="00CF0854" w:rsidRDefault="00CF0854" w:rsidP="00A850D4">
            <w:pPr>
              <w:jc w:val="both"/>
            </w:pPr>
            <w:r w:rsidRPr="00CF0854">
              <w:t>10.</w:t>
            </w:r>
          </w:p>
        </w:tc>
        <w:tc>
          <w:tcPr>
            <w:tcW w:w="6487" w:type="dxa"/>
            <w:tcBorders>
              <w:top w:val="single" w:sz="6" w:space="0" w:color="D0D0D0"/>
              <w:left w:val="single" w:sz="6" w:space="0" w:color="D0D0D0"/>
              <w:bottom w:val="single" w:sz="6" w:space="0" w:color="D0D0D0"/>
              <w:right w:val="single" w:sz="2" w:space="0" w:color="D0D0D0"/>
            </w:tcBorders>
            <w:shd w:val="clear" w:color="auto" w:fill="FFFFFF"/>
            <w:tcMar>
              <w:top w:w="60" w:type="dxa"/>
              <w:left w:w="90" w:type="dxa"/>
              <w:bottom w:w="60" w:type="dxa"/>
              <w:right w:w="90" w:type="dxa"/>
            </w:tcMar>
            <w:hideMark/>
          </w:tcPr>
          <w:p w14:paraId="38C4F98A" w14:textId="77777777" w:rsidR="00CF0854" w:rsidRPr="00CF0854" w:rsidRDefault="00CF0854" w:rsidP="00A850D4">
            <w:pPr>
              <w:jc w:val="both"/>
            </w:pPr>
            <w:r w:rsidRPr="00CF0854">
              <w:t>– muud analüüsid (tunnihind)</w:t>
            </w:r>
          </w:p>
        </w:tc>
        <w:tc>
          <w:tcPr>
            <w:tcW w:w="1552" w:type="dxa"/>
            <w:tcBorders>
              <w:top w:val="single" w:sz="6" w:space="0" w:color="D0D0D0"/>
              <w:left w:val="single" w:sz="6" w:space="0" w:color="D0D0D0"/>
              <w:bottom w:val="single" w:sz="6" w:space="0" w:color="D0D0D0"/>
              <w:right w:val="single" w:sz="2" w:space="0" w:color="D0D0D0"/>
            </w:tcBorders>
            <w:shd w:val="clear" w:color="auto" w:fill="FFFFFF"/>
            <w:tcMar>
              <w:top w:w="60" w:type="dxa"/>
              <w:left w:w="90" w:type="dxa"/>
              <w:bottom w:w="60" w:type="dxa"/>
              <w:right w:w="90" w:type="dxa"/>
            </w:tcMar>
            <w:hideMark/>
          </w:tcPr>
          <w:p w14:paraId="77A603F0" w14:textId="77777777" w:rsidR="00CF0854" w:rsidRPr="00CF0854" w:rsidRDefault="00CF0854" w:rsidP="00A850D4">
            <w:pPr>
              <w:jc w:val="both"/>
            </w:pPr>
            <w:r w:rsidRPr="00CF0854">
              <w:t>40</w:t>
            </w:r>
          </w:p>
        </w:tc>
      </w:tr>
      <w:tr w:rsidR="00CF0854" w:rsidRPr="00CF0854" w14:paraId="028461C5" w14:textId="77777777" w:rsidTr="00B33D7E">
        <w:tc>
          <w:tcPr>
            <w:tcW w:w="600"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tcPr>
          <w:p w14:paraId="7D477948" w14:textId="77777777" w:rsidR="00CF0854" w:rsidRPr="00CF0854" w:rsidRDefault="00CF0854" w:rsidP="00A850D4">
            <w:pPr>
              <w:jc w:val="both"/>
            </w:pPr>
            <w:r w:rsidRPr="00CF0854">
              <w:t>11.</w:t>
            </w:r>
          </w:p>
        </w:tc>
        <w:tc>
          <w:tcPr>
            <w:tcW w:w="648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tcPr>
          <w:p w14:paraId="3A04B731" w14:textId="77777777" w:rsidR="00CF0854" w:rsidRPr="00CF0854" w:rsidRDefault="00CF0854" w:rsidP="00A850D4">
            <w:pPr>
              <w:jc w:val="both"/>
            </w:pPr>
            <w:r w:rsidRPr="00CF0854">
              <w:t>Kontrollanalüüsiks kasutatava etalonaine või spetsiifilise kemikaali maksumus</w:t>
            </w:r>
          </w:p>
        </w:tc>
        <w:tc>
          <w:tcPr>
            <w:tcW w:w="1552"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tcPr>
          <w:p w14:paraId="61F4AC57" w14:textId="77777777" w:rsidR="00CF0854" w:rsidRPr="00CF0854" w:rsidRDefault="00CF0854" w:rsidP="00A850D4">
            <w:pPr>
              <w:jc w:val="both"/>
            </w:pPr>
            <w:r w:rsidRPr="00CF0854">
              <w:t>vastavalt ostuhinnale“;</w:t>
            </w:r>
          </w:p>
        </w:tc>
      </w:tr>
    </w:tbl>
    <w:p w14:paraId="2BA78614" w14:textId="77777777" w:rsidR="00CF0854" w:rsidRPr="00CF0854" w:rsidRDefault="00CF0854" w:rsidP="00A850D4">
      <w:pPr>
        <w:jc w:val="both"/>
        <w:rPr>
          <w:bCs/>
        </w:rPr>
      </w:pPr>
    </w:p>
    <w:p w14:paraId="54CF79FE" w14:textId="77777777" w:rsidR="00CF0854" w:rsidRPr="00CF0854" w:rsidRDefault="00CF0854" w:rsidP="00A850D4">
      <w:pPr>
        <w:jc w:val="both"/>
        <w:rPr>
          <w:bCs/>
        </w:rPr>
      </w:pPr>
      <w:r w:rsidRPr="00CF0854">
        <w:rPr>
          <w:b/>
          <w:bCs/>
        </w:rPr>
        <w:t>5)</w:t>
      </w:r>
      <w:r w:rsidRPr="00CF0854">
        <w:rPr>
          <w:bCs/>
        </w:rPr>
        <w:t xml:space="preserve"> määrust täiendatakse §-ga 6 järgmises sõnastuses:</w:t>
      </w:r>
    </w:p>
    <w:p w14:paraId="3687F61E" w14:textId="77777777" w:rsidR="00CF0854" w:rsidRPr="00CF0854" w:rsidRDefault="00CF0854" w:rsidP="00A850D4">
      <w:pPr>
        <w:jc w:val="both"/>
        <w:rPr>
          <w:bCs/>
        </w:rPr>
      </w:pPr>
    </w:p>
    <w:p w14:paraId="18F9A582" w14:textId="77777777" w:rsidR="00CF0854" w:rsidRPr="00CF0854" w:rsidRDefault="00CF0854" w:rsidP="00A850D4">
      <w:pPr>
        <w:jc w:val="both"/>
        <w:rPr>
          <w:b/>
          <w:bCs/>
        </w:rPr>
      </w:pPr>
      <w:r w:rsidRPr="00CF0854">
        <w:rPr>
          <w:bCs/>
        </w:rPr>
        <w:t>„</w:t>
      </w:r>
      <w:r w:rsidRPr="00CF0854">
        <w:rPr>
          <w:b/>
          <w:bCs/>
        </w:rPr>
        <w:t>§ 6. Teadusliku nõuande ja müügiloa taotlemise eelse konsultatsiooni hind</w:t>
      </w:r>
    </w:p>
    <w:p w14:paraId="3C4F2014" w14:textId="77777777" w:rsidR="00CF0854" w:rsidRPr="00CF0854" w:rsidRDefault="00CF0854" w:rsidP="00A850D4">
      <w:pPr>
        <w:jc w:val="both"/>
        <w:rPr>
          <w:b/>
          <w:bCs/>
        </w:rPr>
      </w:pPr>
    </w:p>
    <w:p w14:paraId="428E6D6A" w14:textId="77777777" w:rsidR="00CF0854" w:rsidRPr="00CF0854" w:rsidRDefault="00CF0854" w:rsidP="00A850D4">
      <w:pPr>
        <w:jc w:val="both"/>
        <w:rPr>
          <w:bCs/>
        </w:rPr>
      </w:pPr>
      <w:r w:rsidRPr="00CF0854">
        <w:rPr>
          <w:bCs/>
        </w:rPr>
        <w:t>Teadusliku nõuande ja müügiloa taotlemise eelse konsultatsiooni tasu ühe teenuse osutamise eest on kuni 6000 eurot.“.</w:t>
      </w:r>
    </w:p>
    <w:p w14:paraId="6D0866A7" w14:textId="77777777" w:rsidR="00CF0854" w:rsidRPr="00CF0854" w:rsidRDefault="00CF0854" w:rsidP="00A850D4">
      <w:pPr>
        <w:jc w:val="both"/>
        <w:rPr>
          <w:b/>
          <w:bCs/>
        </w:rPr>
      </w:pPr>
    </w:p>
    <w:p w14:paraId="76570B20" w14:textId="77777777" w:rsidR="00CF0854" w:rsidRPr="00CF0854" w:rsidRDefault="00CF0854" w:rsidP="00A850D4">
      <w:pPr>
        <w:jc w:val="both"/>
      </w:pPr>
      <w:r w:rsidRPr="00CF0854">
        <w:rPr>
          <w:b/>
          <w:bCs/>
        </w:rPr>
        <w:t>§ 6. Sotsiaalministri 16. juuli 2012. a määruse nr 26 „</w:t>
      </w:r>
      <w:bookmarkStart w:id="14" w:name="_Hlk135217059"/>
      <w:r w:rsidRPr="00CF0854">
        <w:rPr>
          <w:b/>
          <w:bCs/>
        </w:rPr>
        <w:t>Ravimi ohutusalase teabe edastamine ning ravimi ohutus- ja kvaliteediseire tasu</w:t>
      </w:r>
      <w:bookmarkEnd w:id="14"/>
      <w:r w:rsidRPr="00CF0854">
        <w:rPr>
          <w:b/>
          <w:bCs/>
        </w:rPr>
        <w:t>“ muutmine</w:t>
      </w:r>
      <w:r w:rsidRPr="00CF0854">
        <w:rPr>
          <w:b/>
          <w:bCs/>
        </w:rPr>
        <w:br/>
      </w:r>
    </w:p>
    <w:p w14:paraId="0452D193" w14:textId="77777777" w:rsidR="00CF0854" w:rsidRPr="00CF0854" w:rsidRDefault="00CF0854" w:rsidP="00A850D4">
      <w:pPr>
        <w:jc w:val="both"/>
      </w:pPr>
      <w:r w:rsidRPr="00CF0854">
        <w:t>Sotsiaalministri 16. juuli 2012. a määruses nr 26 „Ravimi ohutusalase teabe edastamine ning ravimi ohutus- ja kvaliteediseire tasu“ tehakse järgmised muudatused:</w:t>
      </w:r>
    </w:p>
    <w:p w14:paraId="783EAD1F" w14:textId="77777777" w:rsidR="00CF0854" w:rsidRPr="00CF0854" w:rsidRDefault="00CF0854" w:rsidP="00A850D4">
      <w:pPr>
        <w:jc w:val="both"/>
      </w:pPr>
    </w:p>
    <w:p w14:paraId="17846B5C" w14:textId="77777777" w:rsidR="00CF0854" w:rsidRPr="00CF0854" w:rsidRDefault="00CF0854" w:rsidP="00A850D4">
      <w:pPr>
        <w:jc w:val="both"/>
      </w:pPr>
      <w:r w:rsidRPr="00CF0854">
        <w:rPr>
          <w:b/>
          <w:bCs/>
        </w:rPr>
        <w:t>1)</w:t>
      </w:r>
      <w:r w:rsidRPr="00CF0854">
        <w:t xml:space="preserve"> paragrahvi 5 lõiked 1–3 sõnastatakse järgmiselt:</w:t>
      </w:r>
    </w:p>
    <w:p w14:paraId="4E176DE1" w14:textId="77777777" w:rsidR="00CF0854" w:rsidRPr="00CF0854" w:rsidRDefault="00CF0854" w:rsidP="00A850D4">
      <w:pPr>
        <w:jc w:val="both"/>
      </w:pPr>
    </w:p>
    <w:p w14:paraId="73DF392F" w14:textId="77777777" w:rsidR="00CF0854" w:rsidRPr="00CF0854" w:rsidRDefault="00CF0854" w:rsidP="00A850D4">
      <w:pPr>
        <w:jc w:val="both"/>
      </w:pPr>
      <w:r w:rsidRPr="00CF0854">
        <w:t xml:space="preserve">„(1) Müügiloa hoidja tasub </w:t>
      </w:r>
      <w:bookmarkStart w:id="15" w:name="_Hlk135221738"/>
      <w:r w:rsidRPr="00CF0854">
        <w:t>ravimi ohutus- ja kvaliteediseire tasu 40 päeva jooksul Ravimiameti esitatud arve väljastamisest</w:t>
      </w:r>
      <w:bookmarkEnd w:id="15"/>
      <w:r w:rsidRPr="00CF0854">
        <w:t>.</w:t>
      </w:r>
    </w:p>
    <w:p w14:paraId="55A1C838" w14:textId="77777777" w:rsidR="00CF0854" w:rsidRPr="00CF0854" w:rsidRDefault="00CF0854" w:rsidP="00A850D4">
      <w:pPr>
        <w:jc w:val="both"/>
      </w:pPr>
    </w:p>
    <w:p w14:paraId="3A8AE7D5" w14:textId="77777777" w:rsidR="00CF0854" w:rsidRPr="00CF0854" w:rsidRDefault="00CF0854" w:rsidP="00A850D4">
      <w:pPr>
        <w:jc w:val="both"/>
      </w:pPr>
      <w:r w:rsidRPr="00CF0854">
        <w:t>(2) Ravimiamet väljastab ohutus- ja kvaliteediseire tasu arve nimetatud tasu arvestamise aastale järgneva kalendriaasta 15. märtsiks.</w:t>
      </w:r>
    </w:p>
    <w:p w14:paraId="7DECA7E6" w14:textId="77777777" w:rsidR="00CF0854" w:rsidRPr="00CF0854" w:rsidRDefault="00CF0854" w:rsidP="00A850D4">
      <w:pPr>
        <w:jc w:val="both"/>
      </w:pPr>
    </w:p>
    <w:p w14:paraId="7AF2145E" w14:textId="77777777" w:rsidR="00CF0854" w:rsidRPr="00CF0854" w:rsidRDefault="00CF0854" w:rsidP="00A850D4">
      <w:pPr>
        <w:jc w:val="both"/>
      </w:pPr>
      <w:r w:rsidRPr="00CF0854">
        <w:t xml:space="preserve">(3) Ravimiamet esitab arve nende ravimite kohta, mida turustati eelmisel kalendriaastal Eestis rohkem kui 4800 euro väärtuses või vähemalt 2000 pakendit.“; </w:t>
      </w:r>
    </w:p>
    <w:p w14:paraId="3404570E" w14:textId="77777777" w:rsidR="00CF0854" w:rsidRPr="00CF0854" w:rsidRDefault="00CF0854" w:rsidP="00A850D4">
      <w:pPr>
        <w:jc w:val="both"/>
      </w:pPr>
    </w:p>
    <w:p w14:paraId="258C8622" w14:textId="77777777" w:rsidR="00CF0854" w:rsidRPr="00CF0854" w:rsidRDefault="00CF0854" w:rsidP="00A850D4">
      <w:pPr>
        <w:jc w:val="both"/>
      </w:pPr>
      <w:r w:rsidRPr="00CF0854">
        <w:rPr>
          <w:b/>
          <w:bCs/>
        </w:rPr>
        <w:t>2)</w:t>
      </w:r>
      <w:r w:rsidRPr="00CF0854">
        <w:t xml:space="preserve"> paragrahvi 5 lõige 4 tunnistatakse kehtetuks.</w:t>
      </w:r>
    </w:p>
    <w:p w14:paraId="1B029C39" w14:textId="77777777" w:rsidR="00CF0854" w:rsidRPr="00CF0854" w:rsidRDefault="00CF0854" w:rsidP="00A850D4">
      <w:pPr>
        <w:jc w:val="both"/>
      </w:pPr>
    </w:p>
    <w:p w14:paraId="4E2FF054" w14:textId="77777777" w:rsidR="00CF0854" w:rsidRPr="00CF0854" w:rsidRDefault="00CF0854" w:rsidP="00A850D4">
      <w:pPr>
        <w:jc w:val="both"/>
        <w:rPr>
          <w:b/>
          <w:bCs/>
        </w:rPr>
      </w:pPr>
      <w:r w:rsidRPr="00CF0854">
        <w:rPr>
          <w:b/>
          <w:bCs/>
        </w:rPr>
        <w:t>§ 7. Tervise- ja tööministri 20. mai 2016. a määruse nr 36 „Ravimiregistri põhimäärus“ muutmine</w:t>
      </w:r>
    </w:p>
    <w:p w14:paraId="20239425" w14:textId="77777777" w:rsidR="00CF0854" w:rsidRPr="00CF0854" w:rsidRDefault="00CF0854" w:rsidP="00A850D4">
      <w:pPr>
        <w:jc w:val="both"/>
      </w:pPr>
    </w:p>
    <w:p w14:paraId="0FF709D0" w14:textId="77777777" w:rsidR="00CF0854" w:rsidRPr="00CF0854" w:rsidRDefault="00CF0854" w:rsidP="00A850D4">
      <w:pPr>
        <w:jc w:val="both"/>
      </w:pPr>
      <w:r w:rsidRPr="00CF0854">
        <w:t>Tervise- ja tööministri 20. mai 2016. a määruse nr 36 „Ravimiregistri põhimäärus“ § 7 lõige 2 sõnastatakse järgmiselt:</w:t>
      </w:r>
    </w:p>
    <w:p w14:paraId="13403726" w14:textId="77777777" w:rsidR="00CF0854" w:rsidRPr="00CF0854" w:rsidRDefault="00CF0854" w:rsidP="00A850D4">
      <w:pPr>
        <w:jc w:val="both"/>
      </w:pPr>
    </w:p>
    <w:p w14:paraId="21906454" w14:textId="77777777" w:rsidR="00CF0854" w:rsidRPr="00CF0854" w:rsidRDefault="00CF0854" w:rsidP="00A850D4">
      <w:pPr>
        <w:jc w:val="both"/>
      </w:pPr>
      <w:r w:rsidRPr="00CF0854">
        <w:t>„(2) Müügiloata ravimi registrisse kandmise alusdokumendid on:</w:t>
      </w:r>
    </w:p>
    <w:p w14:paraId="3B65B4D8" w14:textId="77777777" w:rsidR="00CF0854" w:rsidRPr="00CF0854" w:rsidRDefault="00CF0854" w:rsidP="00A850D4">
      <w:pPr>
        <w:jc w:val="both"/>
      </w:pPr>
      <w:r w:rsidRPr="00CF0854">
        <w:lastRenderedPageBreak/>
        <w:t>1) Ravimiameti otsus eriloa väljastamise kohta;</w:t>
      </w:r>
    </w:p>
    <w:p w14:paraId="47D7A380" w14:textId="77777777" w:rsidR="00CF0854" w:rsidRPr="00CF0854" w:rsidRDefault="00CF0854" w:rsidP="00A850D4">
      <w:pPr>
        <w:jc w:val="both"/>
      </w:pPr>
      <w:r w:rsidRPr="00CF0854">
        <w:t xml:space="preserve">2) ravimi </w:t>
      </w:r>
      <w:proofErr w:type="spellStart"/>
      <w:r w:rsidRPr="00CF0854">
        <w:t>sissevedaja</w:t>
      </w:r>
      <w:proofErr w:type="spellEnd"/>
      <w:r w:rsidRPr="00CF0854">
        <w:t xml:space="preserve"> sisseveoteavitus või pakendikoodi taotlus.“.</w:t>
      </w:r>
    </w:p>
    <w:p w14:paraId="36A847F5" w14:textId="77777777" w:rsidR="00CF0854" w:rsidRPr="00CF0854" w:rsidRDefault="00CF0854" w:rsidP="00A850D4">
      <w:pPr>
        <w:jc w:val="both"/>
      </w:pPr>
    </w:p>
    <w:p w14:paraId="70DD4F67" w14:textId="77777777" w:rsidR="00CF0854" w:rsidRPr="00CF0854" w:rsidRDefault="00CF0854" w:rsidP="00A850D4">
      <w:pPr>
        <w:jc w:val="both"/>
        <w:rPr>
          <w:b/>
          <w:bCs/>
        </w:rPr>
      </w:pPr>
      <w:r w:rsidRPr="00CF0854">
        <w:rPr>
          <w:b/>
          <w:bCs/>
        </w:rPr>
        <w:t>§ 8. Tervise- ja tööministri 20. mai 2016. a määruse nr 38 „Ravimiregistris olevate ravimite ja toodete kodeerimise ning pakendikoodi kasutamise kord“ muutmine</w:t>
      </w:r>
    </w:p>
    <w:p w14:paraId="753C149B" w14:textId="77777777" w:rsidR="00CF0854" w:rsidRPr="00CF0854" w:rsidRDefault="00CF0854" w:rsidP="00A850D4">
      <w:pPr>
        <w:jc w:val="both"/>
        <w:rPr>
          <w:b/>
          <w:bCs/>
        </w:rPr>
      </w:pPr>
    </w:p>
    <w:p w14:paraId="1CEF779F" w14:textId="77777777" w:rsidR="00CF0854" w:rsidRPr="00CF0854" w:rsidRDefault="00CF0854" w:rsidP="00A850D4">
      <w:pPr>
        <w:jc w:val="both"/>
        <w:rPr>
          <w:bCs/>
        </w:rPr>
      </w:pPr>
      <w:r w:rsidRPr="00CF0854">
        <w:rPr>
          <w:bCs/>
        </w:rPr>
        <w:t>Tervise- ja tööministri 20. mai 2016. a määruse nr 38 „Ravimiregistris olevate ravimite ja toodete kodeerimise ning pakendikoodi kasutamise kord“ § 5 lõige 2 sõnastatakse järgmiselt:</w:t>
      </w:r>
    </w:p>
    <w:p w14:paraId="29CCC53C" w14:textId="77777777" w:rsidR="00CF0854" w:rsidRPr="00CF0854" w:rsidRDefault="00CF0854" w:rsidP="00A850D4">
      <w:pPr>
        <w:jc w:val="both"/>
        <w:rPr>
          <w:bCs/>
        </w:rPr>
      </w:pPr>
    </w:p>
    <w:p w14:paraId="2FB76AA9" w14:textId="77777777" w:rsidR="00CF0854" w:rsidRPr="00CF0854" w:rsidRDefault="00CF0854" w:rsidP="00A850D4">
      <w:pPr>
        <w:jc w:val="both"/>
        <w:rPr>
          <w:bCs/>
        </w:rPr>
      </w:pPr>
      <w:r w:rsidRPr="00CF0854">
        <w:rPr>
          <w:bCs/>
        </w:rPr>
        <w:t xml:space="preserve">„(2) Müügiloata ravimi </w:t>
      </w:r>
      <w:proofErr w:type="spellStart"/>
      <w:r w:rsidRPr="00CF0854">
        <w:rPr>
          <w:bCs/>
        </w:rPr>
        <w:t>sissevedaja</w:t>
      </w:r>
      <w:proofErr w:type="spellEnd"/>
      <w:r w:rsidRPr="00CF0854">
        <w:rPr>
          <w:bCs/>
        </w:rPr>
        <w:t xml:space="preserve"> sisseveoteavituse või pakendikoodi taotluse alusel väljastatakse ravimile pakendikood viie tööpäeva jooksul.“.</w:t>
      </w:r>
    </w:p>
    <w:p w14:paraId="2A83A366" w14:textId="77777777" w:rsidR="00CF0854" w:rsidRPr="00CF0854" w:rsidRDefault="00CF0854" w:rsidP="00A850D4">
      <w:pPr>
        <w:jc w:val="both"/>
      </w:pPr>
    </w:p>
    <w:p w14:paraId="172036E8" w14:textId="77777777" w:rsidR="00CF0854" w:rsidRPr="00CF0854" w:rsidRDefault="00CF0854" w:rsidP="00A850D4">
      <w:pPr>
        <w:jc w:val="both"/>
        <w:rPr>
          <w:b/>
          <w:bCs/>
        </w:rPr>
      </w:pPr>
      <w:r w:rsidRPr="00CF0854">
        <w:rPr>
          <w:b/>
          <w:bCs/>
        </w:rPr>
        <w:t xml:space="preserve">§ 9. Tervise- ja tööministri </w:t>
      </w:r>
      <w:bookmarkStart w:id="16" w:name="_Hlk157158875"/>
      <w:r w:rsidRPr="00CF0854">
        <w:rPr>
          <w:b/>
          <w:bCs/>
        </w:rPr>
        <w:t>14. detsembri 2017. a määruse nr 51 „Ravimiameti tegevuslubade registri põhimäärus“ muutmine</w:t>
      </w:r>
      <w:bookmarkEnd w:id="16"/>
    </w:p>
    <w:p w14:paraId="49E71442" w14:textId="77777777" w:rsidR="00CF0854" w:rsidRPr="00CF0854" w:rsidRDefault="00CF0854" w:rsidP="00A850D4">
      <w:pPr>
        <w:jc w:val="both"/>
        <w:rPr>
          <w:b/>
          <w:bCs/>
        </w:rPr>
      </w:pPr>
    </w:p>
    <w:p w14:paraId="410107BC" w14:textId="77777777" w:rsidR="00CF0854" w:rsidRPr="00CF0854" w:rsidRDefault="00CF0854" w:rsidP="00A850D4">
      <w:pPr>
        <w:jc w:val="both"/>
        <w:rPr>
          <w:bCs/>
        </w:rPr>
      </w:pPr>
      <w:r w:rsidRPr="00CF0854">
        <w:rPr>
          <w:bCs/>
        </w:rPr>
        <w:t>Tervise- ja tööministri 14. detsembri 2017. a määruses nr 51 „Ravimiameti tegevuslubade registri põhimäärus“ tehakse järgmised muudatused:</w:t>
      </w:r>
    </w:p>
    <w:p w14:paraId="5F929661" w14:textId="77777777" w:rsidR="00CF0854" w:rsidRPr="00CF0854" w:rsidRDefault="00CF0854" w:rsidP="00A850D4">
      <w:pPr>
        <w:jc w:val="both"/>
        <w:rPr>
          <w:bCs/>
        </w:rPr>
      </w:pPr>
    </w:p>
    <w:p w14:paraId="159FF456" w14:textId="77777777" w:rsidR="00CF0854" w:rsidRPr="00CF0854" w:rsidRDefault="00CF0854" w:rsidP="00A850D4">
      <w:pPr>
        <w:jc w:val="both"/>
        <w:rPr>
          <w:bCs/>
        </w:rPr>
      </w:pPr>
      <w:r w:rsidRPr="00CF0854">
        <w:rPr>
          <w:b/>
          <w:bCs/>
        </w:rPr>
        <w:t>1)</w:t>
      </w:r>
      <w:r w:rsidRPr="00CF0854">
        <w:rPr>
          <w:bCs/>
        </w:rPr>
        <w:t xml:space="preserve"> paragrahvi 6 lõiget 1 täiendatakse punktiga 6</w:t>
      </w:r>
      <w:r w:rsidRPr="00CF0854">
        <w:rPr>
          <w:bCs/>
          <w:vertAlign w:val="superscript"/>
        </w:rPr>
        <w:t>1</w:t>
      </w:r>
      <w:r w:rsidRPr="00CF0854">
        <w:rPr>
          <w:bCs/>
        </w:rPr>
        <w:t xml:space="preserve"> järgmises sõnastuses:</w:t>
      </w:r>
    </w:p>
    <w:p w14:paraId="346D4CB4" w14:textId="77777777" w:rsidR="00CF0854" w:rsidRPr="00CF0854" w:rsidRDefault="00CF0854" w:rsidP="00A850D4">
      <w:pPr>
        <w:jc w:val="both"/>
        <w:rPr>
          <w:bCs/>
        </w:rPr>
      </w:pPr>
    </w:p>
    <w:p w14:paraId="6024577A" w14:textId="77777777" w:rsidR="00CF0854" w:rsidRPr="00CF0854" w:rsidRDefault="00CF0854" w:rsidP="00A850D4">
      <w:pPr>
        <w:jc w:val="both"/>
        <w:rPr>
          <w:bCs/>
        </w:rPr>
      </w:pPr>
      <w:r w:rsidRPr="00CF0854">
        <w:rPr>
          <w:bCs/>
        </w:rPr>
        <w:t>„6</w:t>
      </w:r>
      <w:r w:rsidRPr="00CF0854">
        <w:rPr>
          <w:bCs/>
          <w:vertAlign w:val="superscript"/>
        </w:rPr>
        <w:t>1</w:t>
      </w:r>
      <w:r w:rsidRPr="00CF0854">
        <w:rPr>
          <w:bCs/>
        </w:rPr>
        <w:t>) narkootikumide lähteainete käitlejate kohta riikliku järelevalve käigus kogutud andmed;“;</w:t>
      </w:r>
    </w:p>
    <w:p w14:paraId="6D3CC519" w14:textId="77777777" w:rsidR="00CF0854" w:rsidRPr="00CF0854" w:rsidRDefault="00CF0854" w:rsidP="00A850D4">
      <w:pPr>
        <w:jc w:val="both"/>
        <w:rPr>
          <w:b/>
          <w:bCs/>
        </w:rPr>
      </w:pPr>
    </w:p>
    <w:p w14:paraId="4F6251DB" w14:textId="77777777" w:rsidR="00CF0854" w:rsidRPr="00CF0854" w:rsidRDefault="00CF0854" w:rsidP="00A850D4">
      <w:pPr>
        <w:jc w:val="both"/>
      </w:pPr>
      <w:r w:rsidRPr="00CF0854">
        <w:rPr>
          <w:b/>
          <w:bCs/>
        </w:rPr>
        <w:t xml:space="preserve">2) </w:t>
      </w:r>
      <w:r w:rsidRPr="00CF0854">
        <w:t>paragrahvi 10 lõige 4 sõnastatakse järgmiselt:</w:t>
      </w:r>
    </w:p>
    <w:p w14:paraId="09EB2F7B" w14:textId="77777777" w:rsidR="00CF0854" w:rsidRPr="00CF0854" w:rsidRDefault="00CF0854" w:rsidP="00A850D4">
      <w:pPr>
        <w:jc w:val="both"/>
        <w:rPr>
          <w:bCs/>
        </w:rPr>
      </w:pPr>
    </w:p>
    <w:p w14:paraId="1E892AE6" w14:textId="77777777" w:rsidR="00CF0854" w:rsidRPr="00CF0854" w:rsidRDefault="00CF0854" w:rsidP="00A850D4">
      <w:pPr>
        <w:jc w:val="both"/>
        <w:rPr>
          <w:bCs/>
        </w:rPr>
      </w:pPr>
      <w:r w:rsidRPr="00CF0854">
        <w:rPr>
          <w:bCs/>
        </w:rPr>
        <w:t>„(4)</w:t>
      </w:r>
      <w:r w:rsidRPr="00CF0854">
        <w:t xml:space="preserve"> Andmete registrisse kandmise aluseks on ravimiseaduse § 100, narkootiliste ja psühhotroopsete ainete ning nende lähteainete seaduse § 12</w:t>
      </w:r>
      <w:r w:rsidRPr="00CF0854">
        <w:rPr>
          <w:vertAlign w:val="superscript"/>
        </w:rPr>
        <w:t>1</w:t>
      </w:r>
      <w:r w:rsidRPr="00CF0854">
        <w:t xml:space="preserve"> ning rakkude, kudede ja elundite hankimise, käitlemise ja siirdamise seaduse § 42 kohaselt järelevalve käigus kogutud andmed.</w:t>
      </w:r>
      <w:r w:rsidRPr="00CF0854">
        <w:rPr>
          <w:bCs/>
        </w:rPr>
        <w:t>“.</w:t>
      </w:r>
    </w:p>
    <w:p w14:paraId="0F3F694A" w14:textId="77777777" w:rsidR="00CF0854" w:rsidRPr="00CF0854" w:rsidRDefault="00CF0854" w:rsidP="00A850D4">
      <w:pPr>
        <w:jc w:val="both"/>
        <w:rPr>
          <w:bCs/>
        </w:rPr>
      </w:pPr>
    </w:p>
    <w:p w14:paraId="0EB6E40C" w14:textId="77777777" w:rsidR="00CF0854" w:rsidRPr="00CF0854" w:rsidRDefault="00CF0854" w:rsidP="00A850D4">
      <w:pPr>
        <w:jc w:val="both"/>
        <w:rPr>
          <w:b/>
        </w:rPr>
      </w:pPr>
      <w:r w:rsidRPr="00CF0854">
        <w:rPr>
          <w:b/>
          <w:bCs/>
        </w:rPr>
        <w:t>§ 10. Sotsiaalministri 17. veebruari 2005. a määruse nr 19 „Ravimite säilitamise ja transportimise</w:t>
      </w:r>
      <w:r w:rsidRPr="00CF0854">
        <w:rPr>
          <w:b/>
        </w:rPr>
        <w:t xml:space="preserve"> tingimused ja kord“ muutmine</w:t>
      </w:r>
    </w:p>
    <w:p w14:paraId="195761A0" w14:textId="77777777" w:rsidR="00CF0854" w:rsidRPr="00CF0854" w:rsidRDefault="00CF0854" w:rsidP="00A850D4">
      <w:pPr>
        <w:jc w:val="both"/>
      </w:pPr>
    </w:p>
    <w:p w14:paraId="4848F29E" w14:textId="77777777" w:rsidR="00CF0854" w:rsidRPr="00CF0854" w:rsidRDefault="00CF0854" w:rsidP="00A850D4">
      <w:pPr>
        <w:jc w:val="both"/>
        <w:rPr>
          <w:bCs/>
        </w:rPr>
      </w:pPr>
      <w:r w:rsidRPr="00CF0854">
        <w:rPr>
          <w:bCs/>
        </w:rPr>
        <w:t>Sotsiaalministri 17. veebruari 2005. a määruses nr 19 „Ravimite säilitamise ja transportimise tingimused ja kord“ tehakse järgmised muudatused:</w:t>
      </w:r>
    </w:p>
    <w:p w14:paraId="319079C8" w14:textId="77777777" w:rsidR="00CF0854" w:rsidRPr="00CF0854" w:rsidRDefault="00CF0854" w:rsidP="00A850D4">
      <w:pPr>
        <w:jc w:val="both"/>
        <w:rPr>
          <w:b/>
          <w:bCs/>
        </w:rPr>
      </w:pPr>
    </w:p>
    <w:p w14:paraId="0E9CB418" w14:textId="77777777" w:rsidR="00CF0854" w:rsidRPr="00CF0854" w:rsidRDefault="00CF0854" w:rsidP="00A850D4">
      <w:pPr>
        <w:jc w:val="both"/>
      </w:pPr>
      <w:r w:rsidRPr="00CF0854">
        <w:rPr>
          <w:b/>
        </w:rPr>
        <w:t xml:space="preserve">1) </w:t>
      </w:r>
      <w:r w:rsidRPr="00CF0854">
        <w:t>paragrahvi 1 lõige 1 sõnastatakse järgmiselt:</w:t>
      </w:r>
    </w:p>
    <w:p w14:paraId="2CB5A64E" w14:textId="77777777" w:rsidR="00CF0854" w:rsidRPr="00CF0854" w:rsidRDefault="00CF0854" w:rsidP="00A850D4">
      <w:pPr>
        <w:jc w:val="both"/>
      </w:pPr>
    </w:p>
    <w:p w14:paraId="4FB9D0E8" w14:textId="77777777" w:rsidR="00CF0854" w:rsidRPr="00CF0854" w:rsidRDefault="00CF0854" w:rsidP="00A850D4">
      <w:pPr>
        <w:jc w:val="both"/>
      </w:pPr>
      <w:r w:rsidRPr="00CF0854">
        <w:t xml:space="preserve">„(1) Määrusega kehtestatakse nõuded ravimite säilitamisele ja transportimisele ravimeid </w:t>
      </w:r>
      <w:proofErr w:type="spellStart"/>
      <w:r w:rsidRPr="00CF0854">
        <w:t>käitlevates</w:t>
      </w:r>
      <w:proofErr w:type="spellEnd"/>
      <w:r w:rsidRPr="00CF0854">
        <w:t xml:space="preserve"> ettevõtetes ja asutustes (edaspidi </w:t>
      </w:r>
      <w:r w:rsidRPr="00CF0854">
        <w:rPr>
          <w:i/>
          <w:iCs/>
        </w:rPr>
        <w:t>ettevõte</w:t>
      </w:r>
      <w:r w:rsidRPr="00CF0854">
        <w:t>). Käesoleva määruse nõudeid ei kohaldata isiklikuks tarbimiseks mõeldud ravimitele.“;</w:t>
      </w:r>
    </w:p>
    <w:p w14:paraId="26903491" w14:textId="77777777" w:rsidR="00CF0854" w:rsidRPr="00CF0854" w:rsidRDefault="00CF0854" w:rsidP="00A850D4">
      <w:pPr>
        <w:jc w:val="both"/>
      </w:pPr>
    </w:p>
    <w:p w14:paraId="053D61D1" w14:textId="77777777" w:rsidR="00CF0854" w:rsidRPr="00CF0854" w:rsidRDefault="00CF0854" w:rsidP="00A850D4">
      <w:pPr>
        <w:jc w:val="both"/>
      </w:pPr>
      <w:r w:rsidRPr="00CF0854">
        <w:rPr>
          <w:b/>
        </w:rPr>
        <w:t>2)</w:t>
      </w:r>
      <w:r w:rsidRPr="00CF0854">
        <w:t xml:space="preserve"> paragrahvi 1 lõige 2 tunnistatakse kehtetuks;</w:t>
      </w:r>
    </w:p>
    <w:p w14:paraId="1EDE38D0" w14:textId="77777777" w:rsidR="00CF0854" w:rsidRPr="00CF0854" w:rsidRDefault="00CF0854" w:rsidP="00A850D4">
      <w:pPr>
        <w:jc w:val="both"/>
      </w:pPr>
    </w:p>
    <w:p w14:paraId="4E364BA5" w14:textId="77777777" w:rsidR="00CF0854" w:rsidRPr="00CF0854" w:rsidRDefault="00CF0854" w:rsidP="00A850D4">
      <w:pPr>
        <w:jc w:val="both"/>
      </w:pPr>
      <w:r w:rsidRPr="00CF0854">
        <w:rPr>
          <w:b/>
        </w:rPr>
        <w:t xml:space="preserve">3) </w:t>
      </w:r>
      <w:r w:rsidRPr="00CF0854">
        <w:t>määrust täiendatakse §-ga 1</w:t>
      </w:r>
      <w:r w:rsidRPr="00CF0854">
        <w:rPr>
          <w:vertAlign w:val="superscript"/>
        </w:rPr>
        <w:t>1</w:t>
      </w:r>
      <w:r w:rsidRPr="00CF0854">
        <w:t xml:space="preserve"> järgmises sõnastuses:</w:t>
      </w:r>
    </w:p>
    <w:p w14:paraId="1400C8BE" w14:textId="77777777" w:rsidR="00CF0854" w:rsidRPr="00CF0854" w:rsidRDefault="00CF0854" w:rsidP="00A850D4">
      <w:pPr>
        <w:jc w:val="both"/>
      </w:pPr>
    </w:p>
    <w:p w14:paraId="7D21E5A8" w14:textId="77777777" w:rsidR="00CF0854" w:rsidRPr="00CF0854" w:rsidRDefault="00CF0854" w:rsidP="00A850D4">
      <w:pPr>
        <w:jc w:val="both"/>
        <w:rPr>
          <w:b/>
          <w:bCs/>
        </w:rPr>
      </w:pPr>
      <w:bookmarkStart w:id="17" w:name="_Hlk153811873"/>
      <w:r w:rsidRPr="00CF0854">
        <w:t>„</w:t>
      </w:r>
      <w:r w:rsidRPr="00CF0854">
        <w:rPr>
          <w:b/>
          <w:bCs/>
        </w:rPr>
        <w:t>§ 1</w:t>
      </w:r>
      <w:r w:rsidRPr="00CF0854">
        <w:rPr>
          <w:b/>
          <w:bCs/>
          <w:vertAlign w:val="superscript"/>
        </w:rPr>
        <w:t>1</w:t>
      </w:r>
      <w:r w:rsidRPr="00CF0854">
        <w:rPr>
          <w:b/>
          <w:bCs/>
        </w:rPr>
        <w:t>. Üldnõuded</w:t>
      </w:r>
    </w:p>
    <w:bookmarkEnd w:id="17"/>
    <w:p w14:paraId="1874468F" w14:textId="77777777" w:rsidR="00CF0854" w:rsidRPr="00CF0854" w:rsidRDefault="00CF0854" w:rsidP="00A850D4">
      <w:pPr>
        <w:jc w:val="both"/>
        <w:rPr>
          <w:b/>
          <w:bCs/>
        </w:rPr>
      </w:pPr>
    </w:p>
    <w:p w14:paraId="3FC39E69" w14:textId="77777777" w:rsidR="00CF0854" w:rsidRPr="00CF0854" w:rsidRDefault="00CF0854" w:rsidP="00A850D4">
      <w:pPr>
        <w:jc w:val="both"/>
      </w:pPr>
      <w:r w:rsidRPr="00CF0854">
        <w:t>(1) Ravimeid tuleb säilitada ja transportida tootja, valmistaja või müügiloa hoidja määratud säilitamis- ja transportimistingimustel ja tootja või valmistaja pakendis.</w:t>
      </w:r>
    </w:p>
    <w:p w14:paraId="4EA10067" w14:textId="77777777" w:rsidR="00CF0854" w:rsidRPr="00CF0854" w:rsidRDefault="00CF0854" w:rsidP="00A850D4">
      <w:pPr>
        <w:jc w:val="both"/>
      </w:pPr>
    </w:p>
    <w:p w14:paraId="11995C97" w14:textId="77777777" w:rsidR="00CF0854" w:rsidRPr="00CF0854" w:rsidRDefault="00CF0854" w:rsidP="00A850D4">
      <w:pPr>
        <w:jc w:val="both"/>
      </w:pPr>
      <w:r w:rsidRPr="00CF0854">
        <w:t xml:space="preserve">(2) Säilitamis- ja transportimistingimused peavad tagama ravimite säilivuse, ei tohi mõjutada ravimite kvaliteeti ega põhjustada ravimite saastumist või purunemist. </w:t>
      </w:r>
    </w:p>
    <w:p w14:paraId="4381D948" w14:textId="77777777" w:rsidR="00CF0854" w:rsidRPr="00CF0854" w:rsidRDefault="00CF0854" w:rsidP="00A850D4">
      <w:pPr>
        <w:jc w:val="both"/>
      </w:pPr>
    </w:p>
    <w:p w14:paraId="6779837C" w14:textId="77777777" w:rsidR="00CF0854" w:rsidRPr="00CF0854" w:rsidRDefault="00CF0854" w:rsidP="00A850D4">
      <w:pPr>
        <w:jc w:val="both"/>
      </w:pPr>
      <w:r w:rsidRPr="00CF0854">
        <w:t>(3) Kõrvaliste isikute juurdepääs ravimitele peab olema välistatud.</w:t>
      </w:r>
    </w:p>
    <w:p w14:paraId="3BB60E34" w14:textId="77777777" w:rsidR="00CF0854" w:rsidRPr="00CF0854" w:rsidRDefault="00CF0854" w:rsidP="00A850D4">
      <w:pPr>
        <w:jc w:val="both"/>
      </w:pPr>
    </w:p>
    <w:p w14:paraId="524BB8C8" w14:textId="77777777" w:rsidR="00CF0854" w:rsidRPr="00CF0854" w:rsidRDefault="00CF0854" w:rsidP="00A850D4">
      <w:pPr>
        <w:jc w:val="both"/>
      </w:pPr>
      <w:r w:rsidRPr="00CF0854">
        <w:lastRenderedPageBreak/>
        <w:t xml:space="preserve">(4) Töökorraldus peab tagama varem aeguvate ravimite väljastamise või kasutamise esmajärjekorras.“; </w:t>
      </w:r>
    </w:p>
    <w:p w14:paraId="3DFCACF8" w14:textId="77777777" w:rsidR="00CF0854" w:rsidRPr="00CF0854" w:rsidRDefault="00CF0854" w:rsidP="00A850D4">
      <w:pPr>
        <w:jc w:val="both"/>
      </w:pPr>
    </w:p>
    <w:p w14:paraId="2184778B" w14:textId="77777777" w:rsidR="00CF0854" w:rsidRPr="00CF0854" w:rsidRDefault="00CF0854" w:rsidP="00A850D4">
      <w:pPr>
        <w:jc w:val="both"/>
      </w:pPr>
      <w:r w:rsidRPr="00CF0854">
        <w:rPr>
          <w:b/>
        </w:rPr>
        <w:t xml:space="preserve">4) </w:t>
      </w:r>
      <w:r w:rsidRPr="00CF0854">
        <w:t>paragrahv 2 sõnastatakse järgmiselt:</w:t>
      </w:r>
    </w:p>
    <w:p w14:paraId="71EAD3FA" w14:textId="77777777" w:rsidR="00CF0854" w:rsidRPr="00CF0854" w:rsidRDefault="00CF0854" w:rsidP="00A850D4">
      <w:pPr>
        <w:jc w:val="both"/>
      </w:pPr>
    </w:p>
    <w:p w14:paraId="58D31EC5" w14:textId="77777777" w:rsidR="00CF0854" w:rsidRPr="00CF0854" w:rsidRDefault="00CF0854" w:rsidP="00A850D4">
      <w:pPr>
        <w:jc w:val="both"/>
        <w:rPr>
          <w:b/>
        </w:rPr>
      </w:pPr>
      <w:r w:rsidRPr="00CF0854">
        <w:rPr>
          <w:bCs/>
        </w:rPr>
        <w:t>„</w:t>
      </w:r>
      <w:r w:rsidRPr="00CF0854">
        <w:rPr>
          <w:b/>
        </w:rPr>
        <w:t>§ 2. Vastutajad ja tööeeskirjad</w:t>
      </w:r>
    </w:p>
    <w:p w14:paraId="36505CA2" w14:textId="77777777" w:rsidR="00CF0854" w:rsidRPr="00CF0854" w:rsidRDefault="00CF0854" w:rsidP="00A850D4">
      <w:pPr>
        <w:jc w:val="both"/>
      </w:pPr>
    </w:p>
    <w:p w14:paraId="43FE905D" w14:textId="77777777" w:rsidR="00CF0854" w:rsidRPr="00CF0854" w:rsidRDefault="00CF0854" w:rsidP="00A850D4">
      <w:pPr>
        <w:jc w:val="both"/>
      </w:pPr>
      <w:r w:rsidRPr="00CF0854">
        <w:t>(1) Ettevõttes peab olema ettevõtte juhi või tema määratud isiku poolt kirjalikult nimetatud ravimite säilitamise ja transportimise eest vastutaja ja tema asendaja.</w:t>
      </w:r>
    </w:p>
    <w:p w14:paraId="17F50DA3" w14:textId="77777777" w:rsidR="00CF0854" w:rsidRPr="00CF0854" w:rsidRDefault="00CF0854" w:rsidP="00A850D4">
      <w:pPr>
        <w:jc w:val="both"/>
      </w:pPr>
    </w:p>
    <w:p w14:paraId="2F18F57E" w14:textId="77777777" w:rsidR="00CF0854" w:rsidRPr="00CF0854" w:rsidRDefault="00CF0854" w:rsidP="00A850D4">
      <w:pPr>
        <w:jc w:val="both"/>
      </w:pPr>
      <w:r w:rsidRPr="00CF0854">
        <w:t>(2) Ravimite säilitamise ja transportimise kohta peavad ettevõttes olema aja- ja asjakohased tööeeskirjad, milles on märgitud:</w:t>
      </w:r>
    </w:p>
    <w:p w14:paraId="6B8E9CFE" w14:textId="77777777" w:rsidR="00CF0854" w:rsidRPr="00CF0854" w:rsidRDefault="00CF0854" w:rsidP="00A850D4">
      <w:pPr>
        <w:jc w:val="both"/>
      </w:pPr>
      <w:r w:rsidRPr="00CF0854">
        <w:t>1) erinevaid säilitamistingimusi nõudvate ravimite säilitamise kohad;</w:t>
      </w:r>
    </w:p>
    <w:p w14:paraId="59299B48" w14:textId="77777777" w:rsidR="00CF0854" w:rsidRPr="00CF0854" w:rsidRDefault="00CF0854" w:rsidP="00A850D4">
      <w:pPr>
        <w:jc w:val="both"/>
      </w:pPr>
      <w:r w:rsidRPr="00CF0854">
        <w:t>2) säilitamise temperatuurivahemikud;</w:t>
      </w:r>
    </w:p>
    <w:p w14:paraId="2C36FF49" w14:textId="77777777" w:rsidR="00CF0854" w:rsidRPr="00CF0854" w:rsidRDefault="00CF0854" w:rsidP="00A850D4">
      <w:pPr>
        <w:jc w:val="both"/>
      </w:pPr>
      <w:r w:rsidRPr="00CF0854">
        <w:t>3) temperatuuri ja õhuniiskuse reguleerimise ja/või mõõtmise seadmed, nende asukoht ja hooldus;</w:t>
      </w:r>
    </w:p>
    <w:p w14:paraId="54EC5D19" w14:textId="77777777" w:rsidR="00CF0854" w:rsidRPr="00CF0854" w:rsidRDefault="00CF0854" w:rsidP="00A850D4">
      <w:pPr>
        <w:jc w:val="both"/>
      </w:pPr>
      <w:r w:rsidRPr="00CF0854">
        <w:t>4) temperatuuri ja õhuniiskuse dokumenteerimine;</w:t>
      </w:r>
    </w:p>
    <w:p w14:paraId="0ABC7029" w14:textId="77777777" w:rsidR="00CF0854" w:rsidRPr="00CF0854" w:rsidRDefault="00CF0854" w:rsidP="00A850D4">
      <w:pPr>
        <w:jc w:val="both"/>
        <w:rPr>
          <w:i/>
        </w:rPr>
      </w:pPr>
      <w:r w:rsidRPr="00CF0854">
        <w:t>5) seadmete kontrollimise sagedus ja meetodid;</w:t>
      </w:r>
    </w:p>
    <w:p w14:paraId="7A2793D5" w14:textId="77777777" w:rsidR="00CF0854" w:rsidRPr="00CF0854" w:rsidRDefault="00CF0854" w:rsidP="00A850D4">
      <w:pPr>
        <w:jc w:val="both"/>
      </w:pPr>
      <w:r w:rsidRPr="00CF0854">
        <w:t>6) eeskiri juhtudeks, kui ravimite säilitamise tingimused ei vasta nõuetele;</w:t>
      </w:r>
    </w:p>
    <w:p w14:paraId="5B5F4265" w14:textId="77777777" w:rsidR="00CF0854" w:rsidRPr="00CF0854" w:rsidRDefault="00CF0854" w:rsidP="00A850D4">
      <w:pPr>
        <w:jc w:val="both"/>
      </w:pPr>
      <w:r w:rsidRPr="00CF0854">
        <w:t>7) alarmsüsteemi olemasolu korral selle kontrollimise sagedus ja meetodid;</w:t>
      </w:r>
    </w:p>
    <w:p w14:paraId="70830BCF" w14:textId="77777777" w:rsidR="00CF0854" w:rsidRPr="00CF0854" w:rsidDel="00F50C93" w:rsidRDefault="00CF0854" w:rsidP="00A850D4">
      <w:pPr>
        <w:jc w:val="both"/>
      </w:pPr>
      <w:r w:rsidRPr="00CF0854">
        <w:t>8</w:t>
      </w:r>
      <w:r w:rsidRPr="00CF0854" w:rsidDel="00F50C93">
        <w:t>)</w:t>
      </w:r>
      <w:r w:rsidRPr="00CF0854">
        <w:t xml:space="preserve"> </w:t>
      </w:r>
      <w:r w:rsidRPr="00CF0854" w:rsidDel="00F50C93">
        <w:t>kõrvaliste isikute juurdepääsu</w:t>
      </w:r>
      <w:r w:rsidRPr="00CF0854">
        <w:t xml:space="preserve"> piiramine</w:t>
      </w:r>
      <w:r w:rsidRPr="00CF0854" w:rsidDel="00F50C93">
        <w:t>;</w:t>
      </w:r>
    </w:p>
    <w:p w14:paraId="6E68EC59" w14:textId="77777777" w:rsidR="00CF0854" w:rsidRPr="00CF0854" w:rsidRDefault="00CF0854" w:rsidP="00A850D4">
      <w:pPr>
        <w:jc w:val="both"/>
      </w:pPr>
      <w:r w:rsidRPr="00CF0854">
        <w:t>9) ravimite transportimise korraldus, sealhulgas pakkimine, temperatuuri tagamine ja jälgimine.</w:t>
      </w:r>
    </w:p>
    <w:p w14:paraId="4A3FFEC1" w14:textId="77777777" w:rsidR="00CF0854" w:rsidRPr="00CF0854" w:rsidRDefault="00CF0854" w:rsidP="00A850D4">
      <w:pPr>
        <w:jc w:val="both"/>
      </w:pPr>
    </w:p>
    <w:p w14:paraId="141D05A9" w14:textId="77777777" w:rsidR="00CF0854" w:rsidRPr="00CF0854" w:rsidRDefault="00CF0854" w:rsidP="00A850D4">
      <w:pPr>
        <w:jc w:val="both"/>
      </w:pPr>
      <w:r w:rsidRPr="00CF0854">
        <w:t>(3) Ettevõte peab tagama tööeeskirjade ja asjakohaste õigusaktide tutvustamise töötajatele töö tegemiseks vajalikus ulatuses enne tööga alustamist ning tööeeskirjade ja õigusaktide muudatustest tuleb töötajaid kohe teavitada</w:t>
      </w:r>
      <w:r w:rsidRPr="00CF0854">
        <w:rPr>
          <w:iCs/>
        </w:rPr>
        <w:t>. Tööeeskirjade ja õigusaktidega tutvumist peab töötaja kinnitama kuupäeva ja allkirjaga.</w:t>
      </w:r>
      <w:r w:rsidRPr="00CF0854">
        <w:t>“;</w:t>
      </w:r>
    </w:p>
    <w:p w14:paraId="386EEC2D" w14:textId="77777777" w:rsidR="00CF0854" w:rsidRPr="00CF0854" w:rsidRDefault="00CF0854" w:rsidP="00A850D4">
      <w:pPr>
        <w:jc w:val="both"/>
        <w:rPr>
          <w:i/>
        </w:rPr>
      </w:pPr>
    </w:p>
    <w:p w14:paraId="126754A4" w14:textId="77777777" w:rsidR="00CF0854" w:rsidRPr="00CF0854" w:rsidRDefault="00CF0854" w:rsidP="00A850D4">
      <w:pPr>
        <w:jc w:val="both"/>
        <w:rPr>
          <w:b/>
        </w:rPr>
      </w:pPr>
      <w:r w:rsidRPr="00CF0854">
        <w:rPr>
          <w:b/>
        </w:rPr>
        <w:t xml:space="preserve">5) </w:t>
      </w:r>
      <w:r w:rsidRPr="00CF0854">
        <w:t>määrust täiendatakse §-ga 2</w:t>
      </w:r>
      <w:r w:rsidRPr="00CF0854">
        <w:rPr>
          <w:vertAlign w:val="superscript"/>
        </w:rPr>
        <w:t xml:space="preserve">1 </w:t>
      </w:r>
      <w:r w:rsidRPr="00CF0854">
        <w:t>järgmises sõnastuses:</w:t>
      </w:r>
      <w:r w:rsidRPr="00CF0854">
        <w:rPr>
          <w:b/>
        </w:rPr>
        <w:t xml:space="preserve"> </w:t>
      </w:r>
    </w:p>
    <w:p w14:paraId="2126C656" w14:textId="77777777" w:rsidR="00CF0854" w:rsidRPr="00CF0854" w:rsidRDefault="00CF0854" w:rsidP="00A850D4">
      <w:pPr>
        <w:jc w:val="both"/>
        <w:rPr>
          <w:b/>
        </w:rPr>
      </w:pPr>
    </w:p>
    <w:p w14:paraId="679391E7" w14:textId="77777777" w:rsidR="00CF0854" w:rsidRPr="00CF0854" w:rsidRDefault="00CF0854" w:rsidP="00A850D4">
      <w:pPr>
        <w:jc w:val="both"/>
        <w:rPr>
          <w:b/>
        </w:rPr>
      </w:pPr>
      <w:bookmarkStart w:id="18" w:name="_Hlk153811929"/>
      <w:r w:rsidRPr="00CF0854">
        <w:rPr>
          <w:bCs/>
        </w:rPr>
        <w:t>„</w:t>
      </w:r>
      <w:r w:rsidRPr="00CF0854">
        <w:rPr>
          <w:b/>
        </w:rPr>
        <w:t>§ 2</w:t>
      </w:r>
      <w:r w:rsidRPr="00CF0854">
        <w:rPr>
          <w:b/>
          <w:vertAlign w:val="superscript"/>
        </w:rPr>
        <w:t>1</w:t>
      </w:r>
      <w:r w:rsidRPr="00CF0854">
        <w:rPr>
          <w:b/>
        </w:rPr>
        <w:t>. Säilitamine</w:t>
      </w:r>
    </w:p>
    <w:bookmarkEnd w:id="18"/>
    <w:p w14:paraId="235141C2" w14:textId="77777777" w:rsidR="00CF0854" w:rsidRPr="00CF0854" w:rsidRDefault="00CF0854" w:rsidP="00A850D4">
      <w:pPr>
        <w:jc w:val="both"/>
        <w:rPr>
          <w:b/>
        </w:rPr>
      </w:pPr>
    </w:p>
    <w:p w14:paraId="7F546619" w14:textId="77777777" w:rsidR="00CF0854" w:rsidRPr="00CF0854" w:rsidRDefault="00CF0854" w:rsidP="00A850D4">
      <w:pPr>
        <w:jc w:val="both"/>
      </w:pPr>
      <w:r w:rsidRPr="00CF0854">
        <w:t>(1) Alates ravimite saabumisest vastutab ravimite kvaliteedi säilimise eest ravimid vastu võtnud ettevõte.</w:t>
      </w:r>
    </w:p>
    <w:p w14:paraId="63DDB6E1" w14:textId="77777777" w:rsidR="00CF0854" w:rsidRPr="00CF0854" w:rsidRDefault="00CF0854" w:rsidP="00A850D4">
      <w:pPr>
        <w:jc w:val="both"/>
      </w:pPr>
    </w:p>
    <w:p w14:paraId="4BBDC1DC" w14:textId="77777777" w:rsidR="00CF0854" w:rsidRPr="00CF0854" w:rsidRDefault="00CF0854" w:rsidP="00A850D4">
      <w:pPr>
        <w:jc w:val="both"/>
      </w:pPr>
      <w:r w:rsidRPr="00CF0854">
        <w:t>(2) Eritingimusi nõudvad ravimid tuleb viivitamata pärast saabumist paigutada nõuetekohasesse säilitamiskohta.</w:t>
      </w:r>
    </w:p>
    <w:p w14:paraId="49C2F2E2" w14:textId="77777777" w:rsidR="00CF0854" w:rsidRPr="00CF0854" w:rsidRDefault="00CF0854" w:rsidP="00A850D4">
      <w:pPr>
        <w:jc w:val="both"/>
        <w:rPr>
          <w:i/>
        </w:rPr>
      </w:pPr>
    </w:p>
    <w:p w14:paraId="56EC9966" w14:textId="77777777" w:rsidR="00CF0854" w:rsidRPr="00CF0854" w:rsidRDefault="00CF0854" w:rsidP="00A850D4">
      <w:pPr>
        <w:jc w:val="both"/>
      </w:pPr>
      <w:r w:rsidRPr="00CF0854">
        <w:t>(3) Ravimite säilitamisel tuleb füüsiliselt eraldada ja asjakohaselt märgistada:</w:t>
      </w:r>
    </w:p>
    <w:p w14:paraId="4DC5BAF7" w14:textId="77777777" w:rsidR="00CF0854" w:rsidRPr="00CF0854" w:rsidRDefault="00CF0854" w:rsidP="00A850D4">
      <w:pPr>
        <w:jc w:val="both"/>
      </w:pPr>
      <w:r w:rsidRPr="00CF0854">
        <w:t>1) narkootilised ja psühhotroopsed ained ning neid sisaldavad ravimid;</w:t>
      </w:r>
    </w:p>
    <w:p w14:paraId="35A27890" w14:textId="77777777" w:rsidR="00CF0854" w:rsidRPr="00CF0854" w:rsidRDefault="00CF0854" w:rsidP="00A850D4">
      <w:pPr>
        <w:jc w:val="both"/>
      </w:pPr>
      <w:r w:rsidRPr="00CF0854">
        <w:t>2) lõhnavad ained;</w:t>
      </w:r>
    </w:p>
    <w:p w14:paraId="34F7F631" w14:textId="77777777" w:rsidR="00CF0854" w:rsidRPr="00CF0854" w:rsidRDefault="00CF0854" w:rsidP="00A850D4">
      <w:pPr>
        <w:jc w:val="both"/>
      </w:pPr>
      <w:r w:rsidRPr="00CF0854">
        <w:t>3) värvivad ained;</w:t>
      </w:r>
    </w:p>
    <w:p w14:paraId="27AC9363" w14:textId="77777777" w:rsidR="00CF0854" w:rsidRPr="00CF0854" w:rsidRDefault="00CF0854" w:rsidP="00A850D4">
      <w:pPr>
        <w:jc w:val="both"/>
      </w:pPr>
      <w:r w:rsidRPr="00CF0854">
        <w:t>4) tule- ja plahvatusohtlikud ained;</w:t>
      </w:r>
    </w:p>
    <w:p w14:paraId="229F11C9" w14:textId="77777777" w:rsidR="00CF0854" w:rsidRPr="00CF0854" w:rsidRDefault="00CF0854" w:rsidP="00A850D4">
      <w:pPr>
        <w:jc w:val="both"/>
      </w:pPr>
      <w:r w:rsidRPr="00CF0854">
        <w:t xml:space="preserve">5) ohtlike ravimite rühma kuuluvad </w:t>
      </w:r>
      <w:proofErr w:type="spellStart"/>
      <w:r w:rsidRPr="00CF0854">
        <w:t>tsütostaatilised</w:t>
      </w:r>
      <w:proofErr w:type="spellEnd"/>
      <w:r w:rsidRPr="00CF0854">
        <w:t>, reprotoksilised ja mutageensed ravimid;</w:t>
      </w:r>
    </w:p>
    <w:p w14:paraId="4B7A172C" w14:textId="77777777" w:rsidR="00CF0854" w:rsidRPr="00CF0854" w:rsidRDefault="00CF0854" w:rsidP="00A850D4">
      <w:pPr>
        <w:jc w:val="both"/>
      </w:pPr>
      <w:r w:rsidRPr="00CF0854">
        <w:t>6) saatedokumendita ravimid;</w:t>
      </w:r>
    </w:p>
    <w:p w14:paraId="25D7D3F2" w14:textId="77777777" w:rsidR="00CF0854" w:rsidRPr="00CF0854" w:rsidRDefault="00CF0854" w:rsidP="00A850D4">
      <w:pPr>
        <w:jc w:val="both"/>
      </w:pPr>
      <w:r w:rsidRPr="00CF0854">
        <w:t>7) võltsitud ravimid;</w:t>
      </w:r>
    </w:p>
    <w:p w14:paraId="63EAA009" w14:textId="77777777" w:rsidR="00CF0854" w:rsidRPr="00CF0854" w:rsidRDefault="00CF0854" w:rsidP="00A850D4">
      <w:pPr>
        <w:jc w:val="both"/>
      </w:pPr>
      <w:r w:rsidRPr="00CF0854">
        <w:t>8) tagasikutsutud ravimid ja ravimid, mille väljastamine on lõpetatud;</w:t>
      </w:r>
    </w:p>
    <w:p w14:paraId="3B0A7128" w14:textId="77777777" w:rsidR="00CF0854" w:rsidRPr="00CF0854" w:rsidRDefault="00CF0854" w:rsidP="00A850D4">
      <w:pPr>
        <w:jc w:val="both"/>
      </w:pPr>
      <w:r w:rsidRPr="00CF0854">
        <w:t>9) kõlbmatud ravimid.</w:t>
      </w:r>
    </w:p>
    <w:p w14:paraId="1AA3D6FD" w14:textId="77777777" w:rsidR="00CF0854" w:rsidRPr="00CF0854" w:rsidRDefault="00CF0854" w:rsidP="00A850D4">
      <w:pPr>
        <w:jc w:val="both"/>
      </w:pPr>
    </w:p>
    <w:p w14:paraId="1A7B5804" w14:textId="77777777" w:rsidR="00CF0854" w:rsidRPr="00CF0854" w:rsidRDefault="00CF0854" w:rsidP="00A850D4">
      <w:pPr>
        <w:jc w:val="both"/>
      </w:pPr>
      <w:r w:rsidRPr="00CF0854">
        <w:t xml:space="preserve">(4) Ravimite säilitamisel tuleb füüsiliselt või võrdväärset tulemust tagava elektroonilise süsteemi abil eraldada ja asjakohaselt märgistada: </w:t>
      </w:r>
    </w:p>
    <w:p w14:paraId="08EC5C76" w14:textId="77777777" w:rsidR="00CF0854" w:rsidRPr="00CF0854" w:rsidRDefault="00CF0854" w:rsidP="00A850D4">
      <w:pPr>
        <w:jc w:val="both"/>
      </w:pPr>
      <w:r w:rsidRPr="00CF0854">
        <w:t>1) raviminäidised;</w:t>
      </w:r>
    </w:p>
    <w:p w14:paraId="6EA3C786" w14:textId="77777777" w:rsidR="00CF0854" w:rsidRPr="00CF0854" w:rsidRDefault="00CF0854" w:rsidP="00A850D4">
      <w:pPr>
        <w:jc w:val="both"/>
      </w:pPr>
      <w:r w:rsidRPr="00CF0854">
        <w:t>2) kliinilise uuringu ravimid;</w:t>
      </w:r>
    </w:p>
    <w:p w14:paraId="1C2A4369" w14:textId="77777777" w:rsidR="00CF0854" w:rsidRPr="00CF0854" w:rsidRDefault="00CF0854" w:rsidP="00A850D4">
      <w:pPr>
        <w:jc w:val="both"/>
      </w:pPr>
      <w:r w:rsidRPr="00CF0854">
        <w:t>3) välisabi korras saabunud ravimid;</w:t>
      </w:r>
    </w:p>
    <w:p w14:paraId="1C68E3FF" w14:textId="77777777" w:rsidR="00CF0854" w:rsidRPr="00CF0854" w:rsidRDefault="00CF0854" w:rsidP="00A850D4">
      <w:pPr>
        <w:jc w:val="both"/>
      </w:pPr>
      <w:r w:rsidRPr="00CF0854">
        <w:t>4) ravimid, mille väljastamine on peatatud;</w:t>
      </w:r>
    </w:p>
    <w:p w14:paraId="7EFF60BC" w14:textId="77777777" w:rsidR="00CF0854" w:rsidRPr="00CF0854" w:rsidRDefault="00CF0854" w:rsidP="00A850D4">
      <w:pPr>
        <w:jc w:val="both"/>
        <w:rPr>
          <w:i/>
        </w:rPr>
      </w:pPr>
      <w:r w:rsidRPr="00CF0854">
        <w:t>5) ravimid, mille kvaliteedis on saatedokumentide põhjal või muul põhjusel alust kahelda;</w:t>
      </w:r>
    </w:p>
    <w:p w14:paraId="262F07DB" w14:textId="77777777" w:rsidR="00CF0854" w:rsidRPr="00CF0854" w:rsidRDefault="00CF0854" w:rsidP="00A850D4">
      <w:pPr>
        <w:jc w:val="both"/>
      </w:pPr>
      <w:r w:rsidRPr="00CF0854">
        <w:lastRenderedPageBreak/>
        <w:t>6) võltsingukahtlusega ravimid.</w:t>
      </w:r>
    </w:p>
    <w:p w14:paraId="754D2443" w14:textId="77777777" w:rsidR="00CF0854" w:rsidRPr="00CF0854" w:rsidRDefault="00CF0854" w:rsidP="00A850D4">
      <w:pPr>
        <w:jc w:val="both"/>
        <w:rPr>
          <w:i/>
        </w:rPr>
      </w:pPr>
    </w:p>
    <w:p w14:paraId="2B751806" w14:textId="77777777" w:rsidR="00CF0854" w:rsidRPr="00CF0854" w:rsidRDefault="00CF0854" w:rsidP="00A850D4">
      <w:pPr>
        <w:jc w:val="both"/>
      </w:pPr>
      <w:r w:rsidRPr="00CF0854">
        <w:t xml:space="preserve">(5) Ravimite hulgimüügi või tootmise tegevusloaga ettevõttes tuleb täiendavalt füüsiliselt </w:t>
      </w:r>
      <w:bookmarkStart w:id="19" w:name="_Hlk150778123"/>
      <w:r w:rsidRPr="00CF0854">
        <w:t>või võrdväärset tulemust tagava elektroonilise süsteemi abil eraldada</w:t>
      </w:r>
      <w:bookmarkEnd w:id="19"/>
      <w:r w:rsidRPr="00CF0854">
        <w:t xml:space="preserve"> ja asjakohaselt märgistada:</w:t>
      </w:r>
    </w:p>
    <w:p w14:paraId="4627776B" w14:textId="77777777" w:rsidR="00CF0854" w:rsidRPr="00CF0854" w:rsidRDefault="00CF0854" w:rsidP="00A850D4">
      <w:pPr>
        <w:jc w:val="both"/>
      </w:pPr>
      <w:r w:rsidRPr="00CF0854">
        <w:t xml:space="preserve">1) müügiloata ravimid, </w:t>
      </w:r>
      <w:bookmarkStart w:id="20" w:name="_Hlk153812690"/>
      <w:r w:rsidRPr="00CF0854">
        <w:t>mida turustatakse Eestis</w:t>
      </w:r>
      <w:bookmarkEnd w:id="20"/>
      <w:r w:rsidRPr="00CF0854">
        <w:t>;</w:t>
      </w:r>
    </w:p>
    <w:p w14:paraId="731D2A85" w14:textId="77777777" w:rsidR="00CF0854" w:rsidRPr="00CF0854" w:rsidRDefault="00CF0854" w:rsidP="00A850D4">
      <w:pPr>
        <w:jc w:val="both"/>
      </w:pPr>
      <w:r w:rsidRPr="00CF0854">
        <w:t>2) müügiloata ravimid, mida Eestis ei turustata;</w:t>
      </w:r>
    </w:p>
    <w:p w14:paraId="40F52AAD" w14:textId="77777777" w:rsidR="00CF0854" w:rsidRPr="00CF0854" w:rsidRDefault="00CF0854" w:rsidP="00A850D4">
      <w:pPr>
        <w:jc w:val="both"/>
      </w:pPr>
      <w:r w:rsidRPr="00CF0854">
        <w:t>3) eestikeelse infota ravimid, kui eestikeelne info on nõutav;</w:t>
      </w:r>
    </w:p>
    <w:p w14:paraId="1872FA27" w14:textId="77777777" w:rsidR="00CF0854" w:rsidRPr="00CF0854" w:rsidRDefault="00CF0854" w:rsidP="00A850D4">
      <w:pPr>
        <w:jc w:val="both"/>
      </w:pPr>
      <w:r w:rsidRPr="00CF0854">
        <w:t>4) veterinaarravimid.</w:t>
      </w:r>
    </w:p>
    <w:p w14:paraId="0DF372B4" w14:textId="77777777" w:rsidR="00CF0854" w:rsidRPr="00CF0854" w:rsidRDefault="00CF0854" w:rsidP="00A850D4">
      <w:pPr>
        <w:jc w:val="both"/>
      </w:pPr>
    </w:p>
    <w:p w14:paraId="4F841046" w14:textId="77777777" w:rsidR="00CF0854" w:rsidRPr="00CF0854" w:rsidRDefault="00CF0854" w:rsidP="00A850D4">
      <w:pPr>
        <w:jc w:val="both"/>
      </w:pPr>
      <w:r w:rsidRPr="00CF0854">
        <w:t xml:space="preserve">(6) Ravimite käitlemise tegevusloaga ettevõttes tuleb täiendavalt füüsiliselt eraldada ja asjakohaselt märgistada </w:t>
      </w:r>
      <w:proofErr w:type="spellStart"/>
      <w:r w:rsidRPr="00CF0854">
        <w:t>sissetulnud</w:t>
      </w:r>
      <w:proofErr w:type="spellEnd"/>
      <w:r w:rsidRPr="00CF0854">
        <w:t xml:space="preserve"> ravimid kuni vastuvõtukontrolli tegemiseni.</w:t>
      </w:r>
    </w:p>
    <w:p w14:paraId="18711FB4" w14:textId="77777777" w:rsidR="00CF0854" w:rsidRPr="00CF0854" w:rsidRDefault="00CF0854" w:rsidP="00A850D4">
      <w:pPr>
        <w:jc w:val="both"/>
      </w:pPr>
    </w:p>
    <w:p w14:paraId="46DA00CD" w14:textId="77777777" w:rsidR="00CF0854" w:rsidRPr="00CF0854" w:rsidRDefault="00CF0854" w:rsidP="00A850D4">
      <w:pPr>
        <w:jc w:val="both"/>
      </w:pPr>
      <w:r w:rsidRPr="00CF0854">
        <w:t>(7) Ravimite hulgimüügi või tootmise tegevusloaga ettevõttes tuleb täiendavalt füüsiliselt eraldada ja asjakohaselt märgistada:</w:t>
      </w:r>
    </w:p>
    <w:p w14:paraId="345D8C18" w14:textId="77777777" w:rsidR="00CF0854" w:rsidRPr="00CF0854" w:rsidRDefault="00CF0854" w:rsidP="00A850D4">
      <w:pPr>
        <w:jc w:val="both"/>
      </w:pPr>
      <w:r w:rsidRPr="00CF0854">
        <w:t>1) väljastpoolt Euroopa Liitu või Euroopa Majanduspiirkonda Eestisse transporditud ravimid, mis pole mõeldud Euroopa Liidus või Euroopa Majanduspiirkonnas turustamiseks;</w:t>
      </w:r>
    </w:p>
    <w:p w14:paraId="03D44379" w14:textId="77777777" w:rsidR="00CF0854" w:rsidRPr="00CF0854" w:rsidRDefault="00CF0854" w:rsidP="00A850D4">
      <w:pPr>
        <w:jc w:val="both"/>
      </w:pPr>
      <w:r w:rsidRPr="00CF0854">
        <w:t>2) tagastatud ravimid kuni väljastamist lubava otsuse tegemiseni.</w:t>
      </w:r>
      <w:r w:rsidRPr="00CF0854" w:rsidDel="006C0087">
        <w:t xml:space="preserve"> </w:t>
      </w:r>
    </w:p>
    <w:p w14:paraId="012D28C4" w14:textId="77777777" w:rsidR="00CF0854" w:rsidRPr="00CF0854" w:rsidRDefault="00CF0854" w:rsidP="00A850D4">
      <w:pPr>
        <w:jc w:val="both"/>
      </w:pPr>
    </w:p>
    <w:p w14:paraId="3C819655" w14:textId="77777777" w:rsidR="00CF0854" w:rsidRPr="00CF0854" w:rsidRDefault="00CF0854" w:rsidP="00A850D4">
      <w:pPr>
        <w:jc w:val="both"/>
      </w:pPr>
      <w:r w:rsidRPr="00CF0854">
        <w:t>(8) Apteegiteenuse tegevusloaga ettevõttes tuleb täiendavalt füüsiliselt eraldada ja asjakohaselt märgistada müügiloata ravimid ja veterinaarravimid või rakendada muid eristamist tagavaid efektiivseid abinõusid.</w:t>
      </w:r>
    </w:p>
    <w:p w14:paraId="52711E62" w14:textId="77777777" w:rsidR="00CF0854" w:rsidRPr="00CF0854" w:rsidRDefault="00CF0854" w:rsidP="00A850D4">
      <w:pPr>
        <w:jc w:val="both"/>
      </w:pPr>
    </w:p>
    <w:p w14:paraId="58A7834C" w14:textId="77777777" w:rsidR="00CF0854" w:rsidRPr="00CF0854" w:rsidRDefault="00CF0854" w:rsidP="00A850D4">
      <w:pPr>
        <w:jc w:val="both"/>
      </w:pPr>
      <w:r w:rsidRPr="00CF0854">
        <w:t>(9) Ravimi märgistamise asemel võib märgistada ravimi säilitamise koha.</w:t>
      </w:r>
    </w:p>
    <w:p w14:paraId="2D64D174" w14:textId="77777777" w:rsidR="00CF0854" w:rsidRPr="00CF0854" w:rsidRDefault="00CF0854" w:rsidP="00A850D4">
      <w:pPr>
        <w:jc w:val="both"/>
      </w:pPr>
    </w:p>
    <w:p w14:paraId="0FC416A0" w14:textId="77777777" w:rsidR="00CF0854" w:rsidRPr="00CF0854" w:rsidRDefault="00CF0854" w:rsidP="00A850D4">
      <w:pPr>
        <w:jc w:val="both"/>
      </w:pPr>
      <w:r w:rsidRPr="00CF0854">
        <w:t>(10) Säilitamise ajal tuleb jälgida ravimipakendite seisundit ja ravimite väliseid muutusi. Välise muutuse korral tuleb rakendada vajalikke abinõusid veendumaks, et ravim vastab kvaliteedinõuetele.</w:t>
      </w:r>
    </w:p>
    <w:p w14:paraId="70A4B68A" w14:textId="77777777" w:rsidR="00CF0854" w:rsidRPr="00CF0854" w:rsidRDefault="00CF0854" w:rsidP="00A850D4">
      <w:pPr>
        <w:jc w:val="both"/>
      </w:pPr>
    </w:p>
    <w:p w14:paraId="79FBB1BB" w14:textId="77777777" w:rsidR="00CF0854" w:rsidRPr="00CF0854" w:rsidRDefault="00CF0854" w:rsidP="00A850D4">
      <w:pPr>
        <w:jc w:val="both"/>
      </w:pPr>
      <w:r w:rsidRPr="00CF0854">
        <w:t>(11) Tule- ja plahvatusohtlikke aineid tuleb säilitada eraldi ruumis. Apteegis, tervishoiuasutuses ja hoolekandeasutuses võib etüülalkoholi ja etüüleetrit säilitada metallkapis. Kuni 3 kg etüülalkoholi ja 0,5 kg etüüleetrit võib säilitada seestpoolt plekiga üle löödud kapis. Kuni 0,5 kg pudelis võib etüülalkoholi hoida riiulil või tavalises kapis.“;</w:t>
      </w:r>
    </w:p>
    <w:p w14:paraId="47DE5ED3" w14:textId="77777777" w:rsidR="00CF0854" w:rsidRPr="00CF0854" w:rsidRDefault="00CF0854" w:rsidP="00A850D4">
      <w:pPr>
        <w:jc w:val="both"/>
        <w:rPr>
          <w:iCs/>
        </w:rPr>
      </w:pPr>
    </w:p>
    <w:p w14:paraId="38E8A34A" w14:textId="77777777" w:rsidR="00CF0854" w:rsidRPr="00CF0854" w:rsidRDefault="00CF0854" w:rsidP="00A850D4">
      <w:pPr>
        <w:jc w:val="both"/>
      </w:pPr>
      <w:r w:rsidRPr="00CF0854">
        <w:rPr>
          <w:b/>
        </w:rPr>
        <w:t>6)</w:t>
      </w:r>
      <w:r w:rsidRPr="00CF0854">
        <w:t xml:space="preserve"> paragrahv 3 sõnastatakse järgmiselt:</w:t>
      </w:r>
    </w:p>
    <w:p w14:paraId="4FCD112B" w14:textId="77777777" w:rsidR="00CF0854" w:rsidRPr="00CF0854" w:rsidRDefault="00CF0854" w:rsidP="00A850D4">
      <w:pPr>
        <w:jc w:val="both"/>
      </w:pPr>
    </w:p>
    <w:p w14:paraId="09187CCF" w14:textId="77777777" w:rsidR="00CF0854" w:rsidRPr="00CF0854" w:rsidRDefault="00CF0854" w:rsidP="00A850D4">
      <w:pPr>
        <w:jc w:val="both"/>
        <w:rPr>
          <w:b/>
        </w:rPr>
      </w:pPr>
      <w:r w:rsidRPr="00CF0854">
        <w:rPr>
          <w:bCs/>
        </w:rPr>
        <w:t>„</w:t>
      </w:r>
      <w:r w:rsidRPr="00CF0854">
        <w:rPr>
          <w:b/>
        </w:rPr>
        <w:t>§ 3. Säilitamiskoht</w:t>
      </w:r>
    </w:p>
    <w:p w14:paraId="0B78D10B" w14:textId="77777777" w:rsidR="00CF0854" w:rsidRPr="00CF0854" w:rsidRDefault="00CF0854" w:rsidP="00A850D4">
      <w:pPr>
        <w:jc w:val="both"/>
        <w:rPr>
          <w:b/>
        </w:rPr>
      </w:pPr>
    </w:p>
    <w:p w14:paraId="34F83D2F" w14:textId="77777777" w:rsidR="00CF0854" w:rsidRPr="00CF0854" w:rsidRDefault="00CF0854" w:rsidP="00A850D4">
      <w:pPr>
        <w:jc w:val="both"/>
      </w:pPr>
      <w:r w:rsidRPr="00CF0854">
        <w:t>(1) Ravimeid tuleb säilitada selleks ette nähtud kohas. Ravimite tootmise või hulgimüügi tegevusloaga ettevõttel peab säilitamiseks olema eraldi ruum. Apteegiteenuse tegevusloaga ettevõttel peab säilitamiseks olema eraldi ruum või selleks ette nähtud ruumiosa. Teistes ravimite käitlemise ettevõtetes peab säilitamiseks olema eraldi lukustatav ruum või lukustatav kapp.</w:t>
      </w:r>
    </w:p>
    <w:p w14:paraId="324FF1AB" w14:textId="77777777" w:rsidR="00CF0854" w:rsidRPr="00CF0854" w:rsidRDefault="00CF0854" w:rsidP="00A850D4">
      <w:pPr>
        <w:jc w:val="both"/>
      </w:pPr>
    </w:p>
    <w:p w14:paraId="3FF6EC70" w14:textId="77777777" w:rsidR="00CF0854" w:rsidRPr="00CF0854" w:rsidRDefault="00CF0854" w:rsidP="00A850D4">
      <w:pPr>
        <w:jc w:val="both"/>
      </w:pPr>
      <w:r w:rsidRPr="00CF0854">
        <w:t>(2) Ravimite säilitamise kohas ei tohi hoida isiklikuks tarbimiseks mõeldud toitu ega ravimeid.</w:t>
      </w:r>
    </w:p>
    <w:p w14:paraId="7ED94AD1" w14:textId="77777777" w:rsidR="00CF0854" w:rsidRPr="00CF0854" w:rsidRDefault="00CF0854" w:rsidP="00A850D4">
      <w:pPr>
        <w:jc w:val="both"/>
      </w:pPr>
    </w:p>
    <w:p w14:paraId="711834BA" w14:textId="77777777" w:rsidR="00CF0854" w:rsidRPr="00CF0854" w:rsidRDefault="00CF0854" w:rsidP="00A850D4">
      <w:pPr>
        <w:jc w:val="both"/>
      </w:pPr>
      <w:r w:rsidRPr="00CF0854">
        <w:t xml:space="preserve">(3) Ravimid peavad olema paigutatud ratsionaalselt. </w:t>
      </w:r>
    </w:p>
    <w:p w14:paraId="48ABA6B3" w14:textId="77777777" w:rsidR="00CF0854" w:rsidRPr="00CF0854" w:rsidRDefault="00CF0854" w:rsidP="00A850D4">
      <w:pPr>
        <w:jc w:val="both"/>
      </w:pPr>
    </w:p>
    <w:p w14:paraId="7C2706DA" w14:textId="77777777" w:rsidR="00CF0854" w:rsidRPr="00CF0854" w:rsidRDefault="00CF0854" w:rsidP="00A850D4">
      <w:pPr>
        <w:jc w:val="both"/>
      </w:pPr>
      <w:r w:rsidRPr="00CF0854">
        <w:t>(4) Kõlbmatute ravimite jaoks peab olema selleks ette nähtud ja vastavalt märgistatud koht.</w:t>
      </w:r>
    </w:p>
    <w:p w14:paraId="003ED3A2" w14:textId="77777777" w:rsidR="00CF0854" w:rsidRPr="00CF0854" w:rsidRDefault="00CF0854" w:rsidP="00A850D4">
      <w:pPr>
        <w:jc w:val="both"/>
      </w:pPr>
    </w:p>
    <w:p w14:paraId="054999D7" w14:textId="77777777" w:rsidR="00CF0854" w:rsidRPr="00CF0854" w:rsidRDefault="00CF0854" w:rsidP="00A850D4">
      <w:pPr>
        <w:jc w:val="both"/>
      </w:pPr>
      <w:r w:rsidRPr="00CF0854">
        <w:t>(5) Ruum, kus säilitatakse ravimeid, peab olema puhas, pinnad peavad olema siledad ja hästi puhastatavad ning võimaldama niisket koristust. Sisustus peab olema hästi puhastatav.</w:t>
      </w:r>
    </w:p>
    <w:p w14:paraId="739F721E" w14:textId="77777777" w:rsidR="00CF0854" w:rsidRPr="00CF0854" w:rsidRDefault="00CF0854" w:rsidP="00A850D4">
      <w:pPr>
        <w:jc w:val="both"/>
      </w:pPr>
    </w:p>
    <w:p w14:paraId="46E9ED22" w14:textId="77777777" w:rsidR="00CF0854" w:rsidRPr="00CF0854" w:rsidRDefault="00CF0854" w:rsidP="00A850D4">
      <w:pPr>
        <w:jc w:val="both"/>
      </w:pPr>
      <w:r w:rsidRPr="00CF0854">
        <w:t xml:space="preserve">(6) Ruum, kus säilitatakse ravimeid, peab olema hästi ventileeritav ja hästi valgustatud ning valvesignalisatsiooniga. </w:t>
      </w:r>
    </w:p>
    <w:p w14:paraId="173B0B32" w14:textId="77777777" w:rsidR="00CF0854" w:rsidRPr="00CF0854" w:rsidRDefault="00CF0854" w:rsidP="00A850D4">
      <w:pPr>
        <w:jc w:val="both"/>
      </w:pPr>
    </w:p>
    <w:p w14:paraId="4F292879" w14:textId="77777777" w:rsidR="00CF0854" w:rsidRPr="00CF0854" w:rsidRDefault="00CF0854" w:rsidP="00A850D4">
      <w:pPr>
        <w:jc w:val="both"/>
      </w:pPr>
      <w:r w:rsidRPr="00CF0854">
        <w:lastRenderedPageBreak/>
        <w:t>(7) Vajaduse korral tuleb teha kahjulike organismide tõrjet. Kahjulike organismide tõrje tuleb dokumenteerida (kuupäev, meetod, tegija).</w:t>
      </w:r>
    </w:p>
    <w:p w14:paraId="79028358" w14:textId="77777777" w:rsidR="00CF0854" w:rsidRPr="00CF0854" w:rsidRDefault="00CF0854" w:rsidP="00A850D4">
      <w:pPr>
        <w:jc w:val="both"/>
      </w:pPr>
    </w:p>
    <w:p w14:paraId="7075BB8E" w14:textId="77777777" w:rsidR="00CF0854" w:rsidRPr="00CF0854" w:rsidRDefault="00CF0854" w:rsidP="00A850D4">
      <w:pPr>
        <w:jc w:val="both"/>
      </w:pPr>
      <w:r w:rsidRPr="00CF0854">
        <w:t xml:space="preserve">(8) Ravimeid tuleb säilitada vähemalt 10 cm kõrgusel põrandast. </w:t>
      </w:r>
    </w:p>
    <w:p w14:paraId="6FA928B3" w14:textId="77777777" w:rsidR="00CF0854" w:rsidRPr="00CF0854" w:rsidRDefault="00CF0854" w:rsidP="00A850D4">
      <w:pPr>
        <w:jc w:val="both"/>
      </w:pPr>
    </w:p>
    <w:p w14:paraId="478B4D71" w14:textId="77777777" w:rsidR="00CF0854" w:rsidRPr="00CF0854" w:rsidRDefault="00CF0854" w:rsidP="00A850D4">
      <w:pPr>
        <w:jc w:val="both"/>
      </w:pPr>
      <w:r w:rsidRPr="00CF0854">
        <w:t>(9) Ravimid tuleb paigutada küttekehadest eemale.</w:t>
      </w:r>
    </w:p>
    <w:p w14:paraId="4626CFFA" w14:textId="77777777" w:rsidR="00CF0854" w:rsidRPr="00CF0854" w:rsidRDefault="00CF0854" w:rsidP="00A850D4">
      <w:pPr>
        <w:jc w:val="both"/>
        <w:rPr>
          <w:i/>
        </w:rPr>
      </w:pPr>
    </w:p>
    <w:p w14:paraId="5A05812F" w14:textId="77777777" w:rsidR="00CF0854" w:rsidRPr="00CF0854" w:rsidRDefault="00CF0854" w:rsidP="00A850D4">
      <w:pPr>
        <w:jc w:val="both"/>
      </w:pPr>
      <w:r w:rsidRPr="00CF0854">
        <w:t>(10) Ahikütte korral peab ahjusuu asuma väljaspool ravimite säilitamiseks kasutatavat ruumi.</w:t>
      </w:r>
    </w:p>
    <w:p w14:paraId="2039E056" w14:textId="77777777" w:rsidR="00CF0854" w:rsidRPr="00CF0854" w:rsidRDefault="00CF0854" w:rsidP="00A850D4">
      <w:pPr>
        <w:jc w:val="both"/>
      </w:pPr>
    </w:p>
    <w:p w14:paraId="67600B2C" w14:textId="77777777" w:rsidR="00CF0854" w:rsidRPr="00CF0854" w:rsidRDefault="00CF0854" w:rsidP="00A850D4">
      <w:pPr>
        <w:jc w:val="both"/>
      </w:pPr>
      <w:r w:rsidRPr="00CF0854">
        <w:t>(11) Ravimite tootmise või hulgimüügi tegevusloaga ettevõttes peab säilitamisruumis olema statsionaarne küttesüsteem.</w:t>
      </w:r>
    </w:p>
    <w:p w14:paraId="6A997F35" w14:textId="77777777" w:rsidR="00CF0854" w:rsidRPr="00CF0854" w:rsidRDefault="00CF0854" w:rsidP="00A850D4">
      <w:pPr>
        <w:jc w:val="both"/>
      </w:pPr>
    </w:p>
    <w:p w14:paraId="1DB2077F" w14:textId="77777777" w:rsidR="00CF0854" w:rsidRPr="00CF0854" w:rsidRDefault="00CF0854" w:rsidP="00A850D4">
      <w:pPr>
        <w:jc w:val="both"/>
      </w:pPr>
      <w:r w:rsidRPr="00CF0854">
        <w:t>(12) Ruumis, kus säilitatakse ravimeid, tuleb hoida ühtlast temperatuurirežiimi. Ruumid peavad olema kuivad.</w:t>
      </w:r>
      <w:r w:rsidRPr="00CF0854" w:rsidDel="00B6472D">
        <w:t xml:space="preserve"> </w:t>
      </w:r>
    </w:p>
    <w:p w14:paraId="51D6548C" w14:textId="77777777" w:rsidR="00CF0854" w:rsidRPr="00CF0854" w:rsidRDefault="00CF0854" w:rsidP="00A850D4">
      <w:pPr>
        <w:jc w:val="both"/>
      </w:pPr>
    </w:p>
    <w:p w14:paraId="26766EA7" w14:textId="77777777" w:rsidR="00CF0854" w:rsidRPr="00CF0854" w:rsidRDefault="00CF0854" w:rsidP="00A850D4">
      <w:pPr>
        <w:jc w:val="both"/>
      </w:pPr>
      <w:r w:rsidRPr="00CF0854">
        <w:t xml:space="preserve">(13) Igas ruumis ja külmkapis, kus säilitatakse ravimeid, peab olema termomeeter või muu temperatuuri mõõtmise või registreerimise seade. Ettevõte peab veenduma, et temperatuuri mõõtmiseks või registreerimiseks kasutatav seade on sobiva mõõtevahemiku ja -täpsusega, töökorras ja usaldusväärne </w:t>
      </w:r>
      <w:bookmarkStart w:id="21" w:name="_Hlk153814178"/>
      <w:r w:rsidRPr="00CF0854">
        <w:t>ning paigaldatud tööks sobivas asendis</w:t>
      </w:r>
      <w:bookmarkEnd w:id="21"/>
      <w:r w:rsidRPr="00CF0854">
        <w:t xml:space="preserve">. Kui ravimite säilitamise ruumi või külmkapi erinevates osades on erinev temperatuur, tuleb igas ruumi või külmkapi osas oleva temperatuuri jälgimiseks kasutada eraldi termomeetrit või muud temperatuuri mõõtmise seadet. </w:t>
      </w:r>
    </w:p>
    <w:p w14:paraId="287FD6CF" w14:textId="77777777" w:rsidR="00CF0854" w:rsidRPr="00CF0854" w:rsidRDefault="00CF0854" w:rsidP="00A850D4">
      <w:pPr>
        <w:jc w:val="both"/>
      </w:pPr>
    </w:p>
    <w:p w14:paraId="4B608A61" w14:textId="77777777" w:rsidR="00CF0854" w:rsidRPr="00CF0854" w:rsidRDefault="00CF0854" w:rsidP="00A850D4">
      <w:pPr>
        <w:jc w:val="both"/>
      </w:pPr>
      <w:r w:rsidRPr="00CF0854">
        <w:t xml:space="preserve">(14) Ravimite käitlemise tegevusloaga ettevõtte igas ruumis, kus säilitatakse ravimeid, peab olema </w:t>
      </w:r>
      <w:proofErr w:type="spellStart"/>
      <w:r w:rsidRPr="00CF0854">
        <w:t>hügromeeter</w:t>
      </w:r>
      <w:proofErr w:type="spellEnd"/>
      <w:r w:rsidRPr="00CF0854">
        <w:t>, mis on optimaalse skaalaga ja paigaldatud ühte või mitmesse kohta tööks sobivas asendis. Kui õhuniiskus ületab 65%, tuleb teha riskihindamine. Kui õhuniiskus ületab 75%, tuleb rakendada abinõusid, et välistada võimalik ebasoodne mõju ravimite kvaliteedile.</w:t>
      </w:r>
    </w:p>
    <w:p w14:paraId="51A99A82" w14:textId="77777777" w:rsidR="00CF0854" w:rsidRPr="00CF0854" w:rsidRDefault="00CF0854" w:rsidP="00A850D4">
      <w:pPr>
        <w:jc w:val="both"/>
      </w:pPr>
    </w:p>
    <w:p w14:paraId="72993CF3" w14:textId="77777777" w:rsidR="00CF0854" w:rsidRPr="00CF0854" w:rsidRDefault="00CF0854" w:rsidP="00A850D4">
      <w:pPr>
        <w:jc w:val="both"/>
      </w:pPr>
      <w:r w:rsidRPr="00CF0854">
        <w:t xml:space="preserve">(15) Ravimite tootmise või hulgimüügi tegevusloaga ettevõttes peab igas ravimite säilitamise kohas olema temperatuuriandmete salvestamise seade ja igas ravimite säilitamise ruumis peab olema õhuniiskusandmete salvestamise seade, mis näitab, kas temperatuur ja õhuniiskus on olnud teatud perioodil ettenähtud vahemikus. Iga tööpäeva alguses tuleb temperatuuri- ja õhuniiskusandmeid salvestava seadme näite kontrollida kuni eelmise kontrollitud näiduni. Kontrollimised ja näidud peavad olema taasesitamist võimaldavas vormis tuvastatavad ja kättesaadavad vähemalt üks aasta. Kui mõõte- ja salvestussüsteem on integreeritud elektroonse kõrvalekalletest teavitamise süsteemiga ja süsteemi toimimises veendumine on regulaarselt tagatud, ei ole näitude igapäevane kontrollimine kohustuslik. </w:t>
      </w:r>
    </w:p>
    <w:p w14:paraId="7BC41A4E" w14:textId="77777777" w:rsidR="00CF0854" w:rsidRPr="00CF0854" w:rsidRDefault="00CF0854" w:rsidP="00A850D4">
      <w:pPr>
        <w:jc w:val="both"/>
      </w:pPr>
    </w:p>
    <w:p w14:paraId="2D320F0F" w14:textId="77777777" w:rsidR="00CF0854" w:rsidRPr="00CF0854" w:rsidRDefault="00CF0854" w:rsidP="00A850D4">
      <w:pPr>
        <w:jc w:val="both"/>
      </w:pPr>
      <w:r w:rsidRPr="00CF0854">
        <w:t xml:space="preserve">(16) </w:t>
      </w:r>
      <w:bookmarkStart w:id="22" w:name="_Hlk135224435"/>
      <w:r w:rsidRPr="00CF0854">
        <w:t>Apteegiteenuse osutaja, tervishoiuteenuse osutaja, kliinilise uuringu tegija, veterinaararsti ja hoolekandeteenuse osutaja ettevõttes tuleb iga päev kontrollida termomeetri või muu temperatuuri mõõtmise seadme näite. Kui kasutatakse temperatuuriandmeid salvestavaid seadmeid, võib nende näite kontrollida iga tööpäeva alguses kuni eelmise kontrollitud näiduni. Kontrollimised ja näidud peavad olema taasesitamist võimaldavas vormis tuvastatavad ja kättesaadavad vähemalt üks aasta.</w:t>
      </w:r>
      <w:bookmarkEnd w:id="22"/>
      <w:r w:rsidRPr="00CF0854">
        <w:t xml:space="preserve"> Kui mõõte- ja salvestussüsteem on integreeritud elektroonse kõrvalekalletest teavitamise süsteemiga ja süsteemi toimimises veendumine on regulaarselt tagatud, ei ole näitude igapäevane kontrollimine kohustuslik.</w:t>
      </w:r>
    </w:p>
    <w:p w14:paraId="74787B80" w14:textId="77777777" w:rsidR="00CF0854" w:rsidRPr="00CF0854" w:rsidRDefault="00CF0854" w:rsidP="00A850D4">
      <w:pPr>
        <w:jc w:val="both"/>
      </w:pPr>
    </w:p>
    <w:p w14:paraId="4D26E186" w14:textId="77777777" w:rsidR="00CF0854" w:rsidRPr="00CF0854" w:rsidRDefault="00CF0854" w:rsidP="00A850D4">
      <w:pPr>
        <w:jc w:val="both"/>
      </w:pPr>
      <w:r w:rsidRPr="00CF0854">
        <w:t xml:space="preserve">(17) Käesoleva paragrahvi lõigetes 15 ja 16 nimetamata ettevõtetes tuleb ravimite säilitamise tingimusi kontrollida ja dokumenteerida igal ettevõtte tööpäeval. Kontrollimised ja näidud peavad olema taasesitamist võimaldavas vormis tuvastatavad ja kättesaadavad vähemalt üks aasta. </w:t>
      </w:r>
    </w:p>
    <w:p w14:paraId="67A6AD9D" w14:textId="77777777" w:rsidR="00CF0854" w:rsidRPr="00CF0854" w:rsidRDefault="00CF0854" w:rsidP="00A850D4">
      <w:pPr>
        <w:jc w:val="both"/>
      </w:pPr>
    </w:p>
    <w:p w14:paraId="005F5B5F" w14:textId="77777777" w:rsidR="00CF0854" w:rsidRPr="00CF0854" w:rsidRDefault="00CF0854" w:rsidP="00A850D4">
      <w:pPr>
        <w:jc w:val="both"/>
      </w:pPr>
      <w:r w:rsidRPr="00CF0854">
        <w:t xml:space="preserve">(18) Ravimite tootmise või hulgimüügi tegevusloaga ettevõttes tuleb ravimite säilitamise ruumides teha temperatuuri kaardistamine. Esmane kaardistamine tuleb teha enne ruumide kasutusele võtmist, edaspidi vastavalt riskihindamise tulemustele. Temperatuuri ja </w:t>
      </w:r>
      <w:r w:rsidRPr="00CF0854">
        <w:lastRenderedPageBreak/>
        <w:t>õhuniiskuse mõõtmise kohtade valikul tuleb arvestada riskihindamise ja/või temperatuuri kaardistamise tulemusi.“;</w:t>
      </w:r>
      <w:r w:rsidRPr="00CF0854" w:rsidDel="00190CF7">
        <w:t xml:space="preserve"> </w:t>
      </w:r>
    </w:p>
    <w:p w14:paraId="6540FE3C" w14:textId="77777777" w:rsidR="00CF0854" w:rsidRPr="00CF0854" w:rsidRDefault="00CF0854" w:rsidP="00A850D4">
      <w:pPr>
        <w:jc w:val="both"/>
      </w:pPr>
    </w:p>
    <w:p w14:paraId="096642E1" w14:textId="77777777" w:rsidR="00CF0854" w:rsidRPr="00CF0854" w:rsidRDefault="00CF0854" w:rsidP="00A850D4">
      <w:pPr>
        <w:jc w:val="both"/>
      </w:pPr>
      <w:r w:rsidRPr="00CF0854">
        <w:rPr>
          <w:b/>
        </w:rPr>
        <w:t xml:space="preserve">7) </w:t>
      </w:r>
      <w:r w:rsidRPr="00CF0854">
        <w:t>paragrahv 4 sõnastatakse järgmiselt:</w:t>
      </w:r>
    </w:p>
    <w:p w14:paraId="33207600" w14:textId="77777777" w:rsidR="00CF0854" w:rsidRPr="00CF0854" w:rsidRDefault="00CF0854" w:rsidP="00A850D4">
      <w:pPr>
        <w:jc w:val="both"/>
      </w:pPr>
    </w:p>
    <w:p w14:paraId="7F5BA3AE" w14:textId="77777777" w:rsidR="00CF0854" w:rsidRPr="00CF0854" w:rsidRDefault="00CF0854" w:rsidP="00A850D4">
      <w:pPr>
        <w:jc w:val="both"/>
        <w:rPr>
          <w:b/>
        </w:rPr>
      </w:pPr>
      <w:r w:rsidRPr="00CF0854">
        <w:rPr>
          <w:bCs/>
        </w:rPr>
        <w:t>„</w:t>
      </w:r>
      <w:r w:rsidRPr="00CF0854">
        <w:rPr>
          <w:b/>
        </w:rPr>
        <w:t>§ 4. Transport</w:t>
      </w:r>
    </w:p>
    <w:p w14:paraId="79A34790" w14:textId="77777777" w:rsidR="00CF0854" w:rsidRPr="00CF0854" w:rsidRDefault="00CF0854" w:rsidP="00A850D4">
      <w:pPr>
        <w:jc w:val="both"/>
      </w:pPr>
      <w:r w:rsidRPr="00CF0854">
        <w:t xml:space="preserve"> </w:t>
      </w:r>
      <w:r w:rsidRPr="00CF0854" w:rsidDel="00374766">
        <w:t xml:space="preserve"> </w:t>
      </w:r>
    </w:p>
    <w:p w14:paraId="07FD5B2C" w14:textId="77777777" w:rsidR="00CF0854" w:rsidRPr="00CF0854" w:rsidRDefault="00CF0854" w:rsidP="00A850D4">
      <w:pPr>
        <w:jc w:val="both"/>
      </w:pPr>
      <w:r w:rsidRPr="00CF0854">
        <w:t>(1) Ravimite transportimiseks kasutatavad konteinerid ja muud mahutid ei tohi mõjutada ravimite kvaliteeti ning peavad tagama ravimite kaitse väliste mõjude, sealhulgas saastumise eest. Konteinerid ja muud mahutid peavad olema märgistatud viisil, mis võimaldab neid identifitseerida ja mis annab edasi piisavalt infot ravimite kvaliteedi tagamiseks nõutavate säilitamis- ja käitlemistingimuste kohta.</w:t>
      </w:r>
    </w:p>
    <w:p w14:paraId="1D9F6434" w14:textId="77777777" w:rsidR="00CF0854" w:rsidRPr="00CF0854" w:rsidRDefault="00CF0854" w:rsidP="00A850D4">
      <w:pPr>
        <w:jc w:val="both"/>
      </w:pPr>
    </w:p>
    <w:p w14:paraId="06D3E1BB" w14:textId="77777777" w:rsidR="00CF0854" w:rsidRPr="00CF0854" w:rsidRDefault="00CF0854" w:rsidP="00A850D4">
      <w:pPr>
        <w:jc w:val="both"/>
      </w:pPr>
      <w:r w:rsidRPr="00CF0854">
        <w:t>(2) Eritingimusi nõudvate ravimite transpordipakendil peab olema märgistus nende transportimise tingimuste kohta.</w:t>
      </w:r>
      <w:r w:rsidRPr="00CF0854" w:rsidDel="00C010E0">
        <w:t xml:space="preserve"> </w:t>
      </w:r>
      <w:r w:rsidRPr="00CF0854">
        <w:t xml:space="preserve">Ohtlike ravimite transportimisel peab transpordipakend olema asjakohaselt märgistatud ja hoiatama potentsiaalse ohu eest. </w:t>
      </w:r>
    </w:p>
    <w:p w14:paraId="09877750" w14:textId="77777777" w:rsidR="00CF0854" w:rsidRPr="00CF0854" w:rsidRDefault="00CF0854" w:rsidP="00A850D4">
      <w:pPr>
        <w:jc w:val="both"/>
      </w:pPr>
    </w:p>
    <w:p w14:paraId="2CF8EA44" w14:textId="77777777" w:rsidR="00CF0854" w:rsidRPr="00CF0854" w:rsidRDefault="00CF0854" w:rsidP="00A850D4">
      <w:pPr>
        <w:jc w:val="both"/>
      </w:pPr>
      <w:r w:rsidRPr="00CF0854">
        <w:t>(3) Transportimine tuleb korraldada nii, et sellele kuluv aeg on võimalikult lühike.</w:t>
      </w:r>
    </w:p>
    <w:p w14:paraId="64400100" w14:textId="77777777" w:rsidR="00CF0854" w:rsidRPr="00CF0854" w:rsidRDefault="00CF0854" w:rsidP="00A850D4">
      <w:pPr>
        <w:jc w:val="both"/>
      </w:pPr>
    </w:p>
    <w:p w14:paraId="06735617" w14:textId="77777777" w:rsidR="00CF0854" w:rsidRPr="00CF0854" w:rsidRDefault="00CF0854" w:rsidP="00A850D4">
      <w:pPr>
        <w:jc w:val="both"/>
      </w:pPr>
      <w:r w:rsidRPr="00CF0854">
        <w:t>(4) Kui ravimite transportimisel kasutatakse külmakehasid, tuleb tagada, et need ei satu ravimipakenditega vahetusse kokkupuutesse.</w:t>
      </w:r>
    </w:p>
    <w:p w14:paraId="11BA51DA" w14:textId="77777777" w:rsidR="00CF0854" w:rsidRPr="00CF0854" w:rsidRDefault="00CF0854" w:rsidP="00A850D4">
      <w:pPr>
        <w:jc w:val="both"/>
      </w:pPr>
    </w:p>
    <w:p w14:paraId="33E2D317" w14:textId="77777777" w:rsidR="00CF0854" w:rsidRPr="00CF0854" w:rsidRDefault="00CF0854" w:rsidP="00A850D4">
      <w:pPr>
        <w:jc w:val="both"/>
      </w:pPr>
      <w:r w:rsidRPr="00CF0854">
        <w:t>(5) Ravimite transportimisel peab ravimitega kaasas olema dokument saadetise kohta.</w:t>
      </w:r>
    </w:p>
    <w:p w14:paraId="1FC8EA5B" w14:textId="77777777" w:rsidR="00CF0854" w:rsidRPr="00CF0854" w:rsidRDefault="00CF0854" w:rsidP="00A850D4">
      <w:pPr>
        <w:jc w:val="both"/>
      </w:pPr>
    </w:p>
    <w:p w14:paraId="79D36618" w14:textId="77777777" w:rsidR="00CF0854" w:rsidRPr="00CF0854" w:rsidRDefault="00CF0854" w:rsidP="00A850D4">
      <w:pPr>
        <w:jc w:val="both"/>
      </w:pPr>
      <w:r w:rsidRPr="00CF0854">
        <w:t>(6) Ravimite tootmise või hulgimüügi tegevusloaga ettevõte peab täitma lisaks käesoleva paragrahvi lõigetes 1–5 sätestatule järgmisi nõudeid:</w:t>
      </w:r>
    </w:p>
    <w:p w14:paraId="3E009A09" w14:textId="77777777" w:rsidR="00CF0854" w:rsidRPr="00CF0854" w:rsidRDefault="00CF0854" w:rsidP="00A850D4">
      <w:pPr>
        <w:jc w:val="both"/>
      </w:pPr>
      <w:r w:rsidRPr="00CF0854">
        <w:t>1) ettevõte vastutab selle eest, et ravimite käitlemiseks kasutatavad sõidukid ja muud vahendid on sobilikud ning on piisavalt varustatud, et tagada ravimite säilitamise tingimused ja kaitsta ravimipakendit kahjustuste eest transportimisel. Transportimisel kasutatavaid temperatuuri jälgimise seadmeid tuleb nõuetele vastavalt hooldada ja kontrollida;</w:t>
      </w:r>
    </w:p>
    <w:p w14:paraId="382213BA" w14:textId="77777777" w:rsidR="00CF0854" w:rsidRPr="00CF0854" w:rsidRDefault="00CF0854" w:rsidP="00A850D4">
      <w:pPr>
        <w:jc w:val="both"/>
      </w:pPr>
      <w:r w:rsidRPr="00CF0854">
        <w:t>2) ettevõte peab kliendi nõudmisel esitama talle andmed transportimise käigus ravimite säilitamise tingimuste järgimise kohta;</w:t>
      </w:r>
    </w:p>
    <w:p w14:paraId="0E5B92DA" w14:textId="77777777" w:rsidR="00CF0854" w:rsidRPr="00CF0854" w:rsidRDefault="00CF0854" w:rsidP="00A850D4">
      <w:pPr>
        <w:jc w:val="both"/>
      </w:pPr>
      <w:r w:rsidRPr="00CF0854">
        <w:t>3) ettevõttes tuleb riskihindamisega kindlaks määrata, milliste transpordimarsruutide korral on vaja rakendada täiendavaid tehnilisi abinõusid, et tagada temperatuuri kontrolli all hoidmine.“.</w:t>
      </w:r>
    </w:p>
    <w:p w14:paraId="6A1D6539" w14:textId="77777777" w:rsidR="00CF0854" w:rsidRPr="00CF0854" w:rsidRDefault="00CF0854" w:rsidP="00A850D4">
      <w:pPr>
        <w:jc w:val="both"/>
      </w:pPr>
    </w:p>
    <w:p w14:paraId="04C1261C" w14:textId="77777777" w:rsidR="00CF0854" w:rsidRPr="00CF0854" w:rsidRDefault="00CF0854" w:rsidP="00A850D4">
      <w:pPr>
        <w:jc w:val="both"/>
        <w:rPr>
          <w:b/>
          <w:bCs/>
        </w:rPr>
      </w:pPr>
      <w:r w:rsidRPr="00CF0854">
        <w:rPr>
          <w:b/>
          <w:bCs/>
        </w:rPr>
        <w:t xml:space="preserve">§ 11. Tervise- ja tööministri 3. detsembri 2014. a määruse nr 69 „Ravimite apteegis valmistamise, </w:t>
      </w:r>
      <w:proofErr w:type="spellStart"/>
      <w:r w:rsidRPr="00CF0854">
        <w:rPr>
          <w:b/>
          <w:bCs/>
        </w:rPr>
        <w:t>jaendamise</w:t>
      </w:r>
      <w:proofErr w:type="spellEnd"/>
      <w:r w:rsidRPr="00CF0854">
        <w:rPr>
          <w:b/>
          <w:bCs/>
        </w:rPr>
        <w:t xml:space="preserve"> ja kontrollimise tingimused ja kord ning apteegis </w:t>
      </w:r>
      <w:proofErr w:type="spellStart"/>
      <w:r w:rsidRPr="00CF0854">
        <w:rPr>
          <w:b/>
          <w:bCs/>
        </w:rPr>
        <w:t>seeriaviisiliselt</w:t>
      </w:r>
      <w:proofErr w:type="spellEnd"/>
      <w:r w:rsidRPr="00CF0854">
        <w:rPr>
          <w:b/>
          <w:bCs/>
        </w:rPr>
        <w:t xml:space="preserve"> valmistatavate ravimite loetelu“ muutmine</w:t>
      </w:r>
    </w:p>
    <w:p w14:paraId="00DFB0F4" w14:textId="77777777" w:rsidR="00CF0854" w:rsidRPr="00CF0854" w:rsidRDefault="00CF0854" w:rsidP="00A850D4">
      <w:pPr>
        <w:jc w:val="both"/>
      </w:pPr>
    </w:p>
    <w:p w14:paraId="20943DA2" w14:textId="77777777" w:rsidR="00CF0854" w:rsidRPr="00CF0854" w:rsidRDefault="00CF0854" w:rsidP="00A850D4">
      <w:pPr>
        <w:jc w:val="both"/>
      </w:pPr>
      <w:bookmarkStart w:id="23" w:name="_Hlk152620334"/>
      <w:r w:rsidRPr="00CF0854">
        <w:t xml:space="preserve">Tervise- ja tööministri 3. detsembri 2014. a määruses nr 69 „Ravimite apteegis valmistamise, </w:t>
      </w:r>
      <w:proofErr w:type="spellStart"/>
      <w:r w:rsidRPr="00CF0854">
        <w:t>jaendamise</w:t>
      </w:r>
      <w:proofErr w:type="spellEnd"/>
      <w:r w:rsidRPr="00CF0854">
        <w:t xml:space="preserve"> ja kontrollimise tingimused ja kord ning apteegis </w:t>
      </w:r>
      <w:proofErr w:type="spellStart"/>
      <w:r w:rsidRPr="00CF0854">
        <w:t>seeriaviisiliselt</w:t>
      </w:r>
      <w:proofErr w:type="spellEnd"/>
      <w:r w:rsidRPr="00CF0854">
        <w:t xml:space="preserve"> valmistatavate ravimite loetelu“ </w:t>
      </w:r>
      <w:bookmarkEnd w:id="23"/>
      <w:r w:rsidRPr="00CF0854">
        <w:t>tehakse järgmised muudatused:</w:t>
      </w:r>
    </w:p>
    <w:p w14:paraId="720D4425" w14:textId="77777777" w:rsidR="00CF0854" w:rsidRPr="00CF0854" w:rsidRDefault="00CF0854" w:rsidP="00A850D4">
      <w:pPr>
        <w:jc w:val="both"/>
      </w:pPr>
    </w:p>
    <w:p w14:paraId="01FC320C" w14:textId="77777777" w:rsidR="00CF0854" w:rsidRPr="00CF0854" w:rsidRDefault="00CF0854" w:rsidP="00A850D4">
      <w:pPr>
        <w:jc w:val="both"/>
      </w:pPr>
      <w:r w:rsidRPr="00CF0854">
        <w:rPr>
          <w:b/>
          <w:bCs/>
        </w:rPr>
        <w:t>1)</w:t>
      </w:r>
      <w:r w:rsidRPr="00CF0854">
        <w:t xml:space="preserve"> paragrahvi 1 lõige 3 sõnastatakse järgmiselt:</w:t>
      </w:r>
    </w:p>
    <w:p w14:paraId="4318B620" w14:textId="77777777" w:rsidR="00CF0854" w:rsidRPr="00CF0854" w:rsidRDefault="00CF0854" w:rsidP="00A850D4">
      <w:pPr>
        <w:jc w:val="both"/>
      </w:pPr>
    </w:p>
    <w:p w14:paraId="260FB335" w14:textId="77777777" w:rsidR="00CF0854" w:rsidRPr="00CF0854" w:rsidRDefault="00CF0854" w:rsidP="00A850D4">
      <w:pPr>
        <w:jc w:val="both"/>
      </w:pPr>
      <w:r w:rsidRPr="00CF0854">
        <w:t xml:space="preserve">„(3) Toidulisandite personaalsele </w:t>
      </w:r>
      <w:proofErr w:type="spellStart"/>
      <w:r w:rsidRPr="00CF0854">
        <w:t>jaendamisele</w:t>
      </w:r>
      <w:proofErr w:type="spellEnd"/>
      <w:r w:rsidRPr="00CF0854">
        <w:t xml:space="preserve"> koos ravimitega kehtivad ravimite </w:t>
      </w:r>
      <w:proofErr w:type="spellStart"/>
      <w:r w:rsidRPr="00CF0854">
        <w:t>jaendamise</w:t>
      </w:r>
      <w:proofErr w:type="spellEnd"/>
      <w:r w:rsidRPr="00CF0854">
        <w:t xml:space="preserve"> nõuded.“;</w:t>
      </w:r>
    </w:p>
    <w:p w14:paraId="435AD0F8" w14:textId="77777777" w:rsidR="00CF0854" w:rsidRPr="00CF0854" w:rsidRDefault="00CF0854" w:rsidP="00A850D4">
      <w:pPr>
        <w:jc w:val="both"/>
      </w:pPr>
    </w:p>
    <w:p w14:paraId="0E0F9655" w14:textId="77777777" w:rsidR="00CF0854" w:rsidRPr="00CF0854" w:rsidRDefault="00CF0854" w:rsidP="00A850D4">
      <w:pPr>
        <w:jc w:val="both"/>
      </w:pPr>
      <w:r w:rsidRPr="00CF0854">
        <w:rPr>
          <w:b/>
          <w:bCs/>
        </w:rPr>
        <w:t>2)</w:t>
      </w:r>
      <w:r w:rsidRPr="00CF0854">
        <w:t xml:space="preserve"> paragrahvi 2 täiendatakse lõikega 1</w:t>
      </w:r>
      <w:r w:rsidRPr="00CF0854">
        <w:rPr>
          <w:vertAlign w:val="superscript"/>
        </w:rPr>
        <w:t>2</w:t>
      </w:r>
      <w:r w:rsidRPr="00CF0854">
        <w:t xml:space="preserve"> järgmises sõnastuses:</w:t>
      </w:r>
    </w:p>
    <w:p w14:paraId="0707055D" w14:textId="77777777" w:rsidR="00CF0854" w:rsidRPr="00CF0854" w:rsidRDefault="00CF0854" w:rsidP="00A850D4">
      <w:pPr>
        <w:jc w:val="both"/>
      </w:pPr>
    </w:p>
    <w:p w14:paraId="33656307" w14:textId="77777777" w:rsidR="00CF0854" w:rsidRPr="00CF0854" w:rsidRDefault="00CF0854" w:rsidP="00A850D4">
      <w:pPr>
        <w:jc w:val="both"/>
      </w:pPr>
      <w:r w:rsidRPr="00CF0854">
        <w:t>„(1</w:t>
      </w:r>
      <w:r w:rsidRPr="00CF0854">
        <w:rPr>
          <w:vertAlign w:val="superscript"/>
        </w:rPr>
        <w:t>2</w:t>
      </w:r>
      <w:r w:rsidRPr="00CF0854">
        <w:t xml:space="preserve">) Apteegis valmistatava ravimi koostises kasutatav aine on toimeaine ja abiaine (edaspidi </w:t>
      </w:r>
      <w:r w:rsidRPr="00CF0854">
        <w:rPr>
          <w:i/>
          <w:iCs/>
        </w:rPr>
        <w:t>aine</w:t>
      </w:r>
      <w:r w:rsidRPr="00CF0854">
        <w:t>).“;</w:t>
      </w:r>
    </w:p>
    <w:p w14:paraId="5394DDC1" w14:textId="77777777" w:rsidR="00CF0854" w:rsidRPr="00CF0854" w:rsidRDefault="00CF0854" w:rsidP="00A850D4">
      <w:pPr>
        <w:jc w:val="both"/>
      </w:pPr>
    </w:p>
    <w:p w14:paraId="110C29A1" w14:textId="77777777" w:rsidR="00CF0854" w:rsidRPr="00CF0854" w:rsidRDefault="00CF0854" w:rsidP="00A850D4">
      <w:pPr>
        <w:jc w:val="both"/>
      </w:pPr>
      <w:r w:rsidRPr="00CF0854">
        <w:rPr>
          <w:b/>
          <w:bCs/>
        </w:rPr>
        <w:t>3)</w:t>
      </w:r>
      <w:r w:rsidRPr="00CF0854">
        <w:t xml:space="preserve"> määruses asendatakse sõna „tooraine“ sõnaga „aine“ vastavas käändes;</w:t>
      </w:r>
    </w:p>
    <w:p w14:paraId="1AA5CA46" w14:textId="77777777" w:rsidR="00CF0854" w:rsidRPr="00CF0854" w:rsidRDefault="00CF0854" w:rsidP="00A850D4">
      <w:pPr>
        <w:jc w:val="both"/>
      </w:pPr>
    </w:p>
    <w:p w14:paraId="654DAF87" w14:textId="77777777" w:rsidR="00CF0854" w:rsidRPr="00CF0854" w:rsidRDefault="00CF0854" w:rsidP="00A850D4">
      <w:pPr>
        <w:jc w:val="both"/>
      </w:pPr>
      <w:r w:rsidRPr="00CF0854">
        <w:rPr>
          <w:b/>
          <w:bCs/>
        </w:rPr>
        <w:t>4)</w:t>
      </w:r>
      <w:r w:rsidRPr="00CF0854">
        <w:t xml:space="preserve"> paragrahvi 4 lõikes 5 asendatakse sõna „</w:t>
      </w:r>
      <w:proofErr w:type="spellStart"/>
      <w:r w:rsidRPr="00CF0854">
        <w:t>steriiliplokist</w:t>
      </w:r>
      <w:proofErr w:type="spellEnd"/>
      <w:r w:rsidRPr="00CF0854">
        <w:t>“ sõnaga „puhasruumist“;</w:t>
      </w:r>
    </w:p>
    <w:p w14:paraId="7053AE8C" w14:textId="77777777" w:rsidR="00CF0854" w:rsidRPr="00CF0854" w:rsidRDefault="00CF0854" w:rsidP="00A850D4">
      <w:pPr>
        <w:jc w:val="both"/>
      </w:pPr>
    </w:p>
    <w:p w14:paraId="555C2F43" w14:textId="77777777" w:rsidR="00CF0854" w:rsidRPr="00CF0854" w:rsidRDefault="00CF0854" w:rsidP="00A850D4">
      <w:pPr>
        <w:jc w:val="both"/>
      </w:pPr>
      <w:r w:rsidRPr="00CF0854">
        <w:rPr>
          <w:b/>
          <w:bCs/>
        </w:rPr>
        <w:t>5)</w:t>
      </w:r>
      <w:r w:rsidRPr="00CF0854">
        <w:t xml:space="preserve"> paragrahvi 6 lõike 1 punkt 2 sõnastatakse järgmiselt:</w:t>
      </w:r>
    </w:p>
    <w:p w14:paraId="4C8E07AA" w14:textId="77777777" w:rsidR="00CF0854" w:rsidRPr="00CF0854" w:rsidRDefault="00CF0854" w:rsidP="00A850D4">
      <w:pPr>
        <w:jc w:val="both"/>
      </w:pPr>
    </w:p>
    <w:p w14:paraId="7FC8D4ED" w14:textId="77777777" w:rsidR="00CF0854" w:rsidRPr="00CF0854" w:rsidRDefault="00CF0854" w:rsidP="00A850D4">
      <w:pPr>
        <w:jc w:val="both"/>
      </w:pPr>
      <w:r w:rsidRPr="00CF0854">
        <w:t>„2) aseptiliselt valmistatud ravimid – 7 ööpäeva;“;</w:t>
      </w:r>
    </w:p>
    <w:p w14:paraId="569D95F0" w14:textId="77777777" w:rsidR="00CF0854" w:rsidRPr="00CF0854" w:rsidRDefault="00CF0854" w:rsidP="00A850D4">
      <w:pPr>
        <w:jc w:val="both"/>
      </w:pPr>
    </w:p>
    <w:p w14:paraId="768DEC2E" w14:textId="77777777" w:rsidR="00CF0854" w:rsidRPr="00CF0854" w:rsidRDefault="00CF0854" w:rsidP="00A850D4">
      <w:pPr>
        <w:jc w:val="both"/>
      </w:pPr>
      <w:r w:rsidRPr="00CF0854">
        <w:rPr>
          <w:b/>
          <w:bCs/>
        </w:rPr>
        <w:t>6)</w:t>
      </w:r>
      <w:r w:rsidRPr="00CF0854">
        <w:t xml:space="preserve"> paragrahvi 12 lõike 1 punkt 2 tunnistatakse kehtetuks;</w:t>
      </w:r>
    </w:p>
    <w:p w14:paraId="3DAA924D" w14:textId="77777777" w:rsidR="00CF0854" w:rsidRPr="00CF0854" w:rsidRDefault="00CF0854" w:rsidP="00A850D4">
      <w:pPr>
        <w:jc w:val="both"/>
      </w:pPr>
    </w:p>
    <w:p w14:paraId="53BB7BE6" w14:textId="77777777" w:rsidR="00CF0854" w:rsidRPr="00CF0854" w:rsidRDefault="00CF0854" w:rsidP="00A850D4">
      <w:pPr>
        <w:jc w:val="both"/>
      </w:pPr>
      <w:r w:rsidRPr="00CF0854">
        <w:rPr>
          <w:b/>
          <w:bCs/>
        </w:rPr>
        <w:t>7)</w:t>
      </w:r>
      <w:r w:rsidRPr="00CF0854">
        <w:t xml:space="preserve"> paragrahvi 21 lõige 2 sõnastatakse järgmiselt:</w:t>
      </w:r>
    </w:p>
    <w:p w14:paraId="5A8CFDEB" w14:textId="77777777" w:rsidR="00CF0854" w:rsidRPr="00CF0854" w:rsidRDefault="00CF0854" w:rsidP="00A850D4">
      <w:pPr>
        <w:jc w:val="both"/>
      </w:pPr>
    </w:p>
    <w:p w14:paraId="6DF618A1" w14:textId="77777777" w:rsidR="00CF0854" w:rsidRPr="00CF0854" w:rsidRDefault="00CF0854" w:rsidP="00A850D4">
      <w:pPr>
        <w:jc w:val="both"/>
      </w:pPr>
      <w:r w:rsidRPr="00CF0854">
        <w:t xml:space="preserve">„(2) Iga valmistatud ja pakendist </w:t>
      </w:r>
      <w:proofErr w:type="spellStart"/>
      <w:r w:rsidRPr="00CF0854">
        <w:t>jaendatud</w:t>
      </w:r>
      <w:proofErr w:type="spellEnd"/>
      <w:r w:rsidRPr="00CF0854">
        <w:t xml:space="preserve"> ravim tuleb kontrollida organoleptiliselt sellele iseloomulike omaduste osas: värvus, segamise ühtlus (homogeensus), silmaga nähtavate lisandite puudumine ja lõhn. Visuaalselt hinnatakse ravimi kogust ja pakendi sulgemiskindlust. Kahtluse korral kontrollitakse ravimi kogust </w:t>
      </w:r>
      <w:proofErr w:type="spellStart"/>
      <w:r w:rsidRPr="00CF0854">
        <w:t>ülekaalumise</w:t>
      </w:r>
      <w:proofErr w:type="spellEnd"/>
      <w:r w:rsidRPr="00CF0854">
        <w:t xml:space="preserve"> või </w:t>
      </w:r>
      <w:proofErr w:type="spellStart"/>
      <w:r w:rsidRPr="00CF0854">
        <w:t>ülemõõtmise</w:t>
      </w:r>
      <w:proofErr w:type="spellEnd"/>
      <w:r w:rsidRPr="00CF0854">
        <w:t xml:space="preserve"> teel. Aseptiliselt valmistatud ravimitele kohalduvad ravimi omadusi arvestades organoleptilised või muud, sealhulgas infotehnoloogiliste lahenduste abil rakendatavad kontrollimeetmed. Sobiva keemilise samastumisreaktsiooni puudumise korral peab ravimi valmistamist jälgima teine proviisor või farmatseut.“.</w:t>
      </w:r>
    </w:p>
    <w:p w14:paraId="151BC6C9" w14:textId="77777777" w:rsidR="00CF0854" w:rsidRPr="00CF0854" w:rsidRDefault="00CF0854" w:rsidP="00A850D4">
      <w:pPr>
        <w:jc w:val="both"/>
      </w:pPr>
    </w:p>
    <w:p w14:paraId="65A5CEE1" w14:textId="77777777" w:rsidR="00CF0854" w:rsidRPr="00CF0854" w:rsidRDefault="00CF0854" w:rsidP="00A850D4">
      <w:pPr>
        <w:jc w:val="both"/>
        <w:rPr>
          <w:b/>
        </w:rPr>
      </w:pPr>
      <w:r w:rsidRPr="00CF0854">
        <w:rPr>
          <w:b/>
          <w:bCs/>
        </w:rPr>
        <w:t xml:space="preserve">§ 12. </w:t>
      </w:r>
      <w:bookmarkStart w:id="24" w:name="_Hlk157158897"/>
      <w:r w:rsidRPr="00CF0854">
        <w:rPr>
          <w:b/>
          <w:bCs/>
        </w:rPr>
        <w:t>Tervise- ja tööministri 5. juuli 2022. a määruse nr 55 „Ravimi müügiloa muutmise ning erialase hindamise tingimused ja tasu suurus</w:t>
      </w:r>
      <w:r w:rsidRPr="00CF0854">
        <w:rPr>
          <w:b/>
        </w:rPr>
        <w:t>“ muutmine</w:t>
      </w:r>
    </w:p>
    <w:bookmarkEnd w:id="24"/>
    <w:p w14:paraId="24FE80FB" w14:textId="77777777" w:rsidR="00CF0854" w:rsidRPr="00CF0854" w:rsidRDefault="00CF0854" w:rsidP="00A850D4">
      <w:pPr>
        <w:jc w:val="both"/>
      </w:pPr>
    </w:p>
    <w:p w14:paraId="52A6DE98" w14:textId="77777777" w:rsidR="00CF0854" w:rsidRPr="00CF0854" w:rsidRDefault="00CF0854" w:rsidP="00A850D4">
      <w:pPr>
        <w:jc w:val="both"/>
        <w:rPr>
          <w:bCs/>
        </w:rPr>
      </w:pPr>
      <w:bookmarkStart w:id="25" w:name="_Hlk152871931"/>
      <w:r w:rsidRPr="00CF0854">
        <w:rPr>
          <w:bCs/>
        </w:rPr>
        <w:t>Tervise- ja tööministri 5. juuli 2022. a määruses nr 55 „Ravimi müügiloa muutmise ning erialase hindamise tingimused ja tasu suurus“</w:t>
      </w:r>
      <w:bookmarkEnd w:id="25"/>
      <w:r w:rsidRPr="00CF0854">
        <w:rPr>
          <w:bCs/>
        </w:rPr>
        <w:t xml:space="preserve"> tehakse järgmised muudatused:</w:t>
      </w:r>
    </w:p>
    <w:p w14:paraId="66B65D02" w14:textId="77777777" w:rsidR="00CF0854" w:rsidRPr="00CF0854" w:rsidRDefault="00CF0854" w:rsidP="00A850D4">
      <w:pPr>
        <w:jc w:val="both"/>
        <w:rPr>
          <w:bCs/>
        </w:rPr>
      </w:pPr>
    </w:p>
    <w:p w14:paraId="7D1B163A" w14:textId="77777777" w:rsidR="00CF0854" w:rsidRPr="00CF0854" w:rsidRDefault="00CF0854" w:rsidP="00A850D4">
      <w:pPr>
        <w:jc w:val="both"/>
        <w:rPr>
          <w:bCs/>
        </w:rPr>
      </w:pPr>
      <w:r w:rsidRPr="00CF0854">
        <w:rPr>
          <w:b/>
        </w:rPr>
        <w:t>1)</w:t>
      </w:r>
      <w:r w:rsidRPr="00CF0854">
        <w:rPr>
          <w:bCs/>
        </w:rPr>
        <w:t xml:space="preserve"> määruse pealkiri sõnastatakse järgmiselt:</w:t>
      </w:r>
    </w:p>
    <w:p w14:paraId="13309C9E" w14:textId="77777777" w:rsidR="00CF0854" w:rsidRPr="00CF0854" w:rsidRDefault="00CF0854" w:rsidP="00A850D4">
      <w:pPr>
        <w:jc w:val="both"/>
        <w:rPr>
          <w:bCs/>
        </w:rPr>
      </w:pPr>
    </w:p>
    <w:p w14:paraId="4AF52274" w14:textId="77777777" w:rsidR="00CF0854" w:rsidRPr="00CF0854" w:rsidRDefault="00CF0854" w:rsidP="00A850D4">
      <w:pPr>
        <w:jc w:val="both"/>
        <w:rPr>
          <w:bCs/>
        </w:rPr>
      </w:pPr>
      <w:r w:rsidRPr="00CF0854">
        <w:t>„</w:t>
      </w:r>
      <w:r w:rsidRPr="00CF0854">
        <w:rPr>
          <w:b/>
          <w:bCs/>
        </w:rPr>
        <w:t>Ravimi müügiloa muutmise ning erialase hindamise tingimused ja tasud</w:t>
      </w:r>
      <w:r w:rsidRPr="00CF0854">
        <w:t>“;</w:t>
      </w:r>
    </w:p>
    <w:p w14:paraId="393799CD" w14:textId="77777777" w:rsidR="00CF0854" w:rsidRPr="00CF0854" w:rsidRDefault="00CF0854" w:rsidP="00A850D4">
      <w:pPr>
        <w:jc w:val="both"/>
        <w:rPr>
          <w:bCs/>
        </w:rPr>
      </w:pPr>
    </w:p>
    <w:p w14:paraId="25142943" w14:textId="55CD9C2D" w:rsidR="00CF0854" w:rsidRPr="00CF0854" w:rsidRDefault="00CF0854" w:rsidP="00A850D4">
      <w:pPr>
        <w:jc w:val="both"/>
        <w:rPr>
          <w:bCs/>
        </w:rPr>
      </w:pPr>
      <w:r w:rsidRPr="00CF0854">
        <w:rPr>
          <w:b/>
        </w:rPr>
        <w:t>2)</w:t>
      </w:r>
      <w:r w:rsidRPr="00CF0854">
        <w:rPr>
          <w:bCs/>
        </w:rPr>
        <w:t xml:space="preserve"> paragrahvi 1 teksti täiendatakse pärast sõnu „arvestamise tingimused ja kord“ sõnadega „</w:t>
      </w:r>
      <w:bookmarkStart w:id="26" w:name="_Hlk152872104"/>
      <w:r w:rsidRPr="00CF0854">
        <w:rPr>
          <w:bCs/>
        </w:rPr>
        <w:t>ning veterinaarravimi müügiloa haldamise aastatasu suurus ja selle arvestamise tingimused ja kord</w:t>
      </w:r>
      <w:bookmarkEnd w:id="26"/>
      <w:r w:rsidRPr="00CF0854">
        <w:rPr>
          <w:bCs/>
        </w:rPr>
        <w:t>.“</w:t>
      </w:r>
      <w:r w:rsidR="0000539B">
        <w:rPr>
          <w:bCs/>
        </w:rPr>
        <w:t>;</w:t>
      </w:r>
    </w:p>
    <w:p w14:paraId="117FB660" w14:textId="77777777" w:rsidR="00CF0854" w:rsidRPr="00CF0854" w:rsidRDefault="00CF0854" w:rsidP="00A850D4">
      <w:pPr>
        <w:jc w:val="both"/>
        <w:rPr>
          <w:bCs/>
        </w:rPr>
      </w:pPr>
    </w:p>
    <w:p w14:paraId="6B843BD7" w14:textId="77777777" w:rsidR="00CF0854" w:rsidRPr="00CF0854" w:rsidRDefault="00CF0854" w:rsidP="00A850D4">
      <w:pPr>
        <w:jc w:val="both"/>
        <w:rPr>
          <w:bCs/>
        </w:rPr>
      </w:pPr>
      <w:r w:rsidRPr="00CF0854">
        <w:rPr>
          <w:b/>
        </w:rPr>
        <w:t>3)</w:t>
      </w:r>
      <w:r w:rsidRPr="00CF0854">
        <w:rPr>
          <w:bCs/>
        </w:rPr>
        <w:t xml:space="preserve"> paragrahvi 7 pealkiri sõnastatakse järgmiselt: </w:t>
      </w:r>
    </w:p>
    <w:p w14:paraId="4AF8A56F" w14:textId="77777777" w:rsidR="00CF0854" w:rsidRPr="00CF0854" w:rsidRDefault="00CF0854" w:rsidP="00A850D4">
      <w:pPr>
        <w:jc w:val="both"/>
        <w:rPr>
          <w:bCs/>
        </w:rPr>
      </w:pPr>
    </w:p>
    <w:p w14:paraId="3FEF76C1" w14:textId="77777777" w:rsidR="00CF0854" w:rsidRPr="00CF0854" w:rsidRDefault="00CF0854" w:rsidP="00A850D4">
      <w:pPr>
        <w:jc w:val="both"/>
        <w:rPr>
          <w:bCs/>
        </w:rPr>
      </w:pPr>
      <w:r w:rsidRPr="00CF0854">
        <w:rPr>
          <w:bCs/>
        </w:rPr>
        <w:t>„</w:t>
      </w:r>
      <w:r w:rsidRPr="0000539B">
        <w:rPr>
          <w:b/>
        </w:rPr>
        <w:t>§ 7.  Müügiloa tingimuste muutmise taotluse erialase hindamise tasu ja müügiloa haldamise tasu</w:t>
      </w:r>
      <w:r w:rsidRPr="00CF0854">
        <w:rPr>
          <w:bCs/>
        </w:rPr>
        <w:t>“;</w:t>
      </w:r>
    </w:p>
    <w:p w14:paraId="60ABA560" w14:textId="77777777" w:rsidR="00CF0854" w:rsidRPr="00CF0854" w:rsidRDefault="00CF0854" w:rsidP="00A850D4">
      <w:pPr>
        <w:jc w:val="both"/>
        <w:rPr>
          <w:bCs/>
        </w:rPr>
      </w:pPr>
    </w:p>
    <w:p w14:paraId="33F436DB" w14:textId="77777777" w:rsidR="00CF0854" w:rsidRPr="00CF0854" w:rsidRDefault="00CF0854" w:rsidP="00A850D4">
      <w:pPr>
        <w:jc w:val="both"/>
        <w:rPr>
          <w:bCs/>
        </w:rPr>
      </w:pPr>
      <w:r w:rsidRPr="00CF0854">
        <w:rPr>
          <w:b/>
        </w:rPr>
        <w:t>4)</w:t>
      </w:r>
      <w:r w:rsidRPr="00CF0854">
        <w:rPr>
          <w:bCs/>
        </w:rPr>
        <w:t xml:space="preserve"> paragrahvi 7 lõige 5 sõnastatakse järgmiselt: </w:t>
      </w:r>
    </w:p>
    <w:p w14:paraId="3AE94760" w14:textId="77777777" w:rsidR="00CF0854" w:rsidRPr="00CF0854" w:rsidRDefault="00CF0854" w:rsidP="00A850D4">
      <w:pPr>
        <w:jc w:val="both"/>
        <w:rPr>
          <w:bCs/>
        </w:rPr>
      </w:pPr>
    </w:p>
    <w:p w14:paraId="22640338" w14:textId="06E597E7" w:rsidR="00CF0854" w:rsidRPr="00CF0854" w:rsidRDefault="00CF0854" w:rsidP="00A850D4">
      <w:pPr>
        <w:jc w:val="both"/>
        <w:rPr>
          <w:bCs/>
        </w:rPr>
      </w:pPr>
      <w:r w:rsidRPr="00CF0854">
        <w:rPr>
          <w:bCs/>
        </w:rPr>
        <w:t>„</w:t>
      </w:r>
      <w:r w:rsidR="0000539B">
        <w:rPr>
          <w:bCs/>
        </w:rPr>
        <w:t xml:space="preserve">(5) </w:t>
      </w:r>
      <w:r w:rsidRPr="00CF0854">
        <w:rPr>
          <w:bCs/>
        </w:rPr>
        <w:t>Veterinaarravimi müügiloa tingimuste muudatuste haldamiseks, hindamist mittevajavate muudatuste haldamiseks, müügiloaandmete haldamiseks, järelevalve toimingute haldamiseks ja ravimite registreerimistoimingute andmebaasis haldamiseks tasub müügiloa hoidja veterinaarravimi müügiloa haldamise aastatasu 1395 eurot müügiloa kohta.“</w:t>
      </w:r>
      <w:r w:rsidR="0000539B">
        <w:rPr>
          <w:bCs/>
        </w:rPr>
        <w:t>.</w:t>
      </w:r>
    </w:p>
    <w:p w14:paraId="599501D9" w14:textId="77777777" w:rsidR="00CC5B01" w:rsidRDefault="00CC5B01" w:rsidP="00A850D4">
      <w:pPr>
        <w:jc w:val="both"/>
        <w:rPr>
          <w:rFonts w:cs="Arial"/>
        </w:rPr>
      </w:pPr>
    </w:p>
    <w:p w14:paraId="599501DA" w14:textId="77777777" w:rsidR="00CC5B01" w:rsidRDefault="00CC5B01" w:rsidP="00094BF0">
      <w:pPr>
        <w:rPr>
          <w:rFonts w:cs="Arial"/>
        </w:rPr>
      </w:pPr>
    </w:p>
    <w:p w14:paraId="599501DB" w14:textId="77777777" w:rsidR="00CC5B01" w:rsidRDefault="00CC5B01" w:rsidP="00094BF0">
      <w:pPr>
        <w:rPr>
          <w:rFonts w:cs="Arial"/>
        </w:rPr>
      </w:pPr>
    </w:p>
    <w:p w14:paraId="599501DC" w14:textId="77777777" w:rsidR="00CC5B01" w:rsidRDefault="00CC5B01" w:rsidP="00094BF0">
      <w:pPr>
        <w:rPr>
          <w:rFonts w:cs="Arial"/>
        </w:rPr>
      </w:pPr>
    </w:p>
    <w:p w14:paraId="599501DD"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599501DE" w14:textId="189086F6" w:rsidR="007B2940" w:rsidRDefault="00E57228" w:rsidP="00094BF0">
      <w:pPr>
        <w:rPr>
          <w:rFonts w:cs="Arial"/>
        </w:rPr>
      </w:pPr>
      <w:r>
        <w:rPr>
          <w:rFonts w:cs="Arial"/>
        </w:rPr>
        <w:fldChar w:fldCharType="begin"/>
      </w:r>
      <w:r w:rsidR="006D6878">
        <w:rPr>
          <w:rFonts w:cs="Arial"/>
        </w:rPr>
        <w:instrText xml:space="preserve"> delta_signerName  \* MERGEFORMAT</w:instrText>
      </w:r>
      <w:r>
        <w:rPr>
          <w:rFonts w:cs="Arial"/>
        </w:rPr>
        <w:fldChar w:fldCharType="separate"/>
      </w:r>
      <w:r w:rsidR="006D6878">
        <w:rPr>
          <w:rFonts w:cs="Arial"/>
        </w:rPr>
        <w:t xml:space="preserve">Riina </w:t>
      </w:r>
      <w:proofErr w:type="spellStart"/>
      <w:r w:rsidR="006D6878">
        <w:rPr>
          <w:rFonts w:cs="Arial"/>
        </w:rPr>
        <w:t>Sikkut</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599501DF" w14:textId="4DFE55C1" w:rsidR="007C0F7C" w:rsidRDefault="00E57228" w:rsidP="00094BF0">
      <w:pPr>
        <w:rPr>
          <w:rFonts w:cs="Arial"/>
        </w:rPr>
      </w:pPr>
      <w:r>
        <w:rPr>
          <w:rFonts w:cs="Arial"/>
        </w:rPr>
        <w:fldChar w:fldCharType="begin"/>
      </w:r>
      <w:r w:rsidR="006D6878">
        <w:rPr>
          <w:rFonts w:cs="Arial"/>
        </w:rPr>
        <w:instrText xml:space="preserve"> delta_signerJobTitle  \* MERGEFORMAT</w:instrText>
      </w:r>
      <w:r>
        <w:rPr>
          <w:rFonts w:cs="Arial"/>
        </w:rPr>
        <w:fldChar w:fldCharType="separate"/>
      </w:r>
      <w:r w:rsidR="006D6878">
        <w:rPr>
          <w:rFonts w:cs="Arial"/>
        </w:rPr>
        <w:t>terviseminister</w:t>
      </w:r>
      <w:r>
        <w:rPr>
          <w:rFonts w:cs="Arial"/>
        </w:rPr>
        <w:fldChar w:fldCharType="end"/>
      </w:r>
      <w:r>
        <w:rPr>
          <w:rFonts w:cs="Arial"/>
        </w:rPr>
        <w:tab/>
      </w:r>
      <w:r>
        <w:rPr>
          <w:rFonts w:cs="Arial"/>
        </w:rPr>
        <w:tab/>
      </w:r>
      <w:r>
        <w:rPr>
          <w:rFonts w:cs="Arial"/>
        </w:rPr>
        <w:tab/>
      </w:r>
      <w:r>
        <w:rPr>
          <w:rFonts w:cs="Arial"/>
        </w:rPr>
        <w:tab/>
      </w:r>
      <w:r>
        <w:rPr>
          <w:rFonts w:cs="Arial"/>
        </w:rPr>
        <w:tab/>
      </w:r>
    </w:p>
    <w:p w14:paraId="599501E0" w14:textId="77777777" w:rsidR="007B2940" w:rsidRDefault="007B2940" w:rsidP="00B066FE">
      <w:pPr>
        <w:rPr>
          <w:rFonts w:cs="Arial"/>
        </w:rPr>
      </w:pPr>
    </w:p>
    <w:p w14:paraId="599501E1" w14:textId="23047BB5" w:rsidR="00E52553" w:rsidRDefault="00100F1A" w:rsidP="00B066FE">
      <w:r>
        <w:rPr>
          <w:rFonts w:cs="Arial"/>
        </w:rPr>
        <w:br/>
      </w:r>
      <w:r w:rsidR="007B2940">
        <w:rPr>
          <w:rFonts w:cs="Arial"/>
        </w:rPr>
        <w:t>(allkirjastatud digitaalselt)</w:t>
      </w:r>
    </w:p>
    <w:p w14:paraId="599501E2" w14:textId="77777777" w:rsidR="001D53AE" w:rsidRDefault="001D53AE" w:rsidP="00B066FE">
      <w:pPr>
        <w:sectPr w:rsidR="001D53AE" w:rsidSect="001D53AE">
          <w:headerReference w:type="default" r:id="rId7"/>
          <w:type w:val="continuous"/>
          <w:pgSz w:w="11907" w:h="16839" w:code="9"/>
          <w:pgMar w:top="907" w:right="1021" w:bottom="1418" w:left="1814" w:header="709" w:footer="709" w:gutter="0"/>
          <w:cols w:space="708"/>
          <w:titlePg/>
          <w:docGrid w:linePitch="360"/>
        </w:sectPr>
      </w:pPr>
    </w:p>
    <w:p w14:paraId="599501E3" w14:textId="1725064D" w:rsidR="007B2940" w:rsidRDefault="008476E5" w:rsidP="007B2940">
      <w:pPr>
        <w:rPr>
          <w:rFonts w:cs="Arial"/>
        </w:rPr>
      </w:pPr>
      <w:r>
        <w:rPr>
          <w:rFonts w:cs="Arial"/>
        </w:rPr>
        <w:fldChar w:fldCharType="begin"/>
      </w:r>
      <w:r w:rsidR="006D6878">
        <w:rPr>
          <w:rFonts w:cs="Arial"/>
        </w:rPr>
        <w:instrText xml:space="preserve"> delta_secondsignerName  \* MERGEFORMAT</w:instrText>
      </w:r>
      <w:r>
        <w:rPr>
          <w:rFonts w:cs="Arial"/>
        </w:rPr>
        <w:fldChar w:fldCharType="separate"/>
      </w:r>
      <w:proofErr w:type="spellStart"/>
      <w:r w:rsidR="006D6878">
        <w:rPr>
          <w:rFonts w:cs="Arial"/>
        </w:rPr>
        <w:t>Maarjo</w:t>
      </w:r>
      <w:proofErr w:type="spellEnd"/>
      <w:r w:rsidR="006D6878">
        <w:rPr>
          <w:rFonts w:cs="Arial"/>
        </w:rPr>
        <w:t xml:space="preserve"> Mändmaa</w:t>
      </w:r>
      <w:r>
        <w:rPr>
          <w:rFonts w:cs="Arial"/>
        </w:rPr>
        <w:fldChar w:fldCharType="end"/>
      </w:r>
    </w:p>
    <w:p w14:paraId="599501E4" w14:textId="35441824" w:rsidR="008476E5" w:rsidRDefault="008476E5" w:rsidP="007B2940">
      <w:pPr>
        <w:rPr>
          <w:rFonts w:cs="Arial"/>
        </w:rPr>
      </w:pPr>
      <w:r>
        <w:rPr>
          <w:rFonts w:cs="Arial"/>
        </w:rPr>
        <w:fldChar w:fldCharType="begin"/>
      </w:r>
      <w:r w:rsidR="006D6878">
        <w:rPr>
          <w:rFonts w:cs="Arial"/>
        </w:rPr>
        <w:instrText xml:space="preserve"> delta_secondsignerJobTitle  \* MERGEFORMAT</w:instrText>
      </w:r>
      <w:r>
        <w:rPr>
          <w:rFonts w:cs="Arial"/>
        </w:rPr>
        <w:fldChar w:fldCharType="separate"/>
      </w:r>
      <w:r w:rsidR="006D6878">
        <w:rPr>
          <w:rFonts w:cs="Arial"/>
        </w:rPr>
        <w:t>kantsler</w:t>
      </w:r>
      <w:r>
        <w:rPr>
          <w:rFonts w:cs="Arial"/>
        </w:rPr>
        <w:fldChar w:fldCharType="end"/>
      </w:r>
      <w:r w:rsidR="006D6878">
        <w:rPr>
          <w:rFonts w:cs="Arial"/>
        </w:rPr>
        <w:t xml:space="preserve"> </w:t>
      </w:r>
    </w:p>
    <w:p w14:paraId="599501E5"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01EA" w14:textId="77777777" w:rsidR="00B45145" w:rsidRDefault="00B45145" w:rsidP="00E52553">
      <w:r>
        <w:separator/>
      </w:r>
    </w:p>
  </w:endnote>
  <w:endnote w:type="continuationSeparator" w:id="0">
    <w:p w14:paraId="599501EB"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01E8" w14:textId="77777777" w:rsidR="00B45145" w:rsidRDefault="00B45145" w:rsidP="00E52553">
      <w:r>
        <w:separator/>
      </w:r>
    </w:p>
  </w:footnote>
  <w:footnote w:type="continuationSeparator" w:id="0">
    <w:p w14:paraId="599501E9"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599501EC"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6D6878">
          <w:rPr>
            <w:noProof/>
            <w:sz w:val="20"/>
            <w:szCs w:val="20"/>
          </w:rPr>
          <w:t>1</w:t>
        </w:r>
        <w:r w:rsidR="006D6878">
          <w:rPr>
            <w:noProof/>
            <w:sz w:val="20"/>
            <w:szCs w:val="20"/>
          </w:rPr>
          <w:t>1</w:t>
        </w:r>
        <w:r w:rsidRPr="00E52553">
          <w:rPr>
            <w:sz w:val="20"/>
            <w:szCs w:val="20"/>
          </w:rPr>
          <w:fldChar w:fldCharType="end"/>
        </w:r>
      </w:p>
    </w:sdtContent>
  </w:sdt>
  <w:p w14:paraId="599501ED"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0539B"/>
    <w:rsid w:val="00070153"/>
    <w:rsid w:val="000725E2"/>
    <w:rsid w:val="0009319A"/>
    <w:rsid w:val="00094BF0"/>
    <w:rsid w:val="000C6B61"/>
    <w:rsid w:val="000D0B25"/>
    <w:rsid w:val="000D7732"/>
    <w:rsid w:val="000E125F"/>
    <w:rsid w:val="000E7648"/>
    <w:rsid w:val="00100F1A"/>
    <w:rsid w:val="00113F1F"/>
    <w:rsid w:val="00144C39"/>
    <w:rsid w:val="001604DB"/>
    <w:rsid w:val="001D53AE"/>
    <w:rsid w:val="00202D28"/>
    <w:rsid w:val="00222719"/>
    <w:rsid w:val="002534CF"/>
    <w:rsid w:val="00293ECF"/>
    <w:rsid w:val="002E51DC"/>
    <w:rsid w:val="00311234"/>
    <w:rsid w:val="003925B0"/>
    <w:rsid w:val="003B3CE2"/>
    <w:rsid w:val="00433613"/>
    <w:rsid w:val="00436532"/>
    <w:rsid w:val="00437173"/>
    <w:rsid w:val="0048061D"/>
    <w:rsid w:val="00492545"/>
    <w:rsid w:val="00567685"/>
    <w:rsid w:val="00587F56"/>
    <w:rsid w:val="005B6FF3"/>
    <w:rsid w:val="00604C04"/>
    <w:rsid w:val="00610A9F"/>
    <w:rsid w:val="006305F8"/>
    <w:rsid w:val="006D6878"/>
    <w:rsid w:val="007135C5"/>
    <w:rsid w:val="007325C5"/>
    <w:rsid w:val="007352AA"/>
    <w:rsid w:val="007B2940"/>
    <w:rsid w:val="007C0F7C"/>
    <w:rsid w:val="00805127"/>
    <w:rsid w:val="00805BB9"/>
    <w:rsid w:val="00812D03"/>
    <w:rsid w:val="008476E5"/>
    <w:rsid w:val="00890213"/>
    <w:rsid w:val="008B1F70"/>
    <w:rsid w:val="009835FB"/>
    <w:rsid w:val="00A07444"/>
    <w:rsid w:val="00A31525"/>
    <w:rsid w:val="00A42D4B"/>
    <w:rsid w:val="00A850D4"/>
    <w:rsid w:val="00A92036"/>
    <w:rsid w:val="00AA6C33"/>
    <w:rsid w:val="00B066FE"/>
    <w:rsid w:val="00B25BF0"/>
    <w:rsid w:val="00B45145"/>
    <w:rsid w:val="00B55121"/>
    <w:rsid w:val="00B81116"/>
    <w:rsid w:val="00B9060F"/>
    <w:rsid w:val="00BE049C"/>
    <w:rsid w:val="00C16907"/>
    <w:rsid w:val="00C21D9A"/>
    <w:rsid w:val="00C55F57"/>
    <w:rsid w:val="00C6556C"/>
    <w:rsid w:val="00CA5CEE"/>
    <w:rsid w:val="00CC5B01"/>
    <w:rsid w:val="00CF0854"/>
    <w:rsid w:val="00D321B8"/>
    <w:rsid w:val="00D35360"/>
    <w:rsid w:val="00D85F55"/>
    <w:rsid w:val="00DA3FAA"/>
    <w:rsid w:val="00E52553"/>
    <w:rsid w:val="00E57228"/>
    <w:rsid w:val="00EA42AE"/>
    <w:rsid w:val="00EB023C"/>
    <w:rsid w:val="00EB07A4"/>
    <w:rsid w:val="00EC175B"/>
    <w:rsid w:val="00EF0205"/>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01BA"/>
  <w15:chartTrackingRefBased/>
  <w15:docId w15:val="{078448B6-8E5B-4909-B651-C9EB88FA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4147</Words>
  <Characters>24054</Characters>
  <Application>Microsoft Office Word</Application>
  <DocSecurity>0</DocSecurity>
  <Lines>200</Lines>
  <Paragraphs>56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2024-02-08T09:16:00Z</dcterms:created>
  <dcterms:modified xsi:type="dcterms:W3CDTF">2024-02-08T09:16:00Z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ies>
</file>