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B82F" w14:textId="6A18D9A2" w:rsidR="00924CCD" w:rsidRPr="00243C89" w:rsidRDefault="002150AB">
      <w:pPr>
        <w:pStyle w:val="P68B1DB1-Normaallaad1"/>
        <w:jc w:val="center"/>
        <w:rPr>
          <w:lang w:val="en-GB"/>
        </w:rPr>
      </w:pPr>
      <w:r w:rsidRPr="00243C89">
        <w:rPr>
          <w:lang w:val="en-GB"/>
        </w:rPr>
        <w:t>PURCHASE TENDER</w:t>
      </w:r>
    </w:p>
    <w:p w14:paraId="54037020" w14:textId="168F5FF1" w:rsidR="00924CCD" w:rsidRPr="00243C89" w:rsidRDefault="00000000">
      <w:pPr>
        <w:pStyle w:val="P68B1DB1-Normaallaad2"/>
        <w:jc w:val="center"/>
        <w:rPr>
          <w:rFonts w:eastAsia="Calibri"/>
          <w:i/>
          <w:lang w:val="en-GB"/>
        </w:rPr>
      </w:pPr>
      <w:r w:rsidRPr="00243C89">
        <w:rPr>
          <w:lang w:val="en-GB"/>
        </w:rPr>
        <w:t xml:space="preserve">Training </w:t>
      </w:r>
      <w:r w:rsidR="00E44FEE" w:rsidRPr="00243C89">
        <w:rPr>
          <w:lang w:val="en-GB"/>
        </w:rPr>
        <w:t>‘</w:t>
      </w:r>
      <w:r w:rsidRPr="00243C89">
        <w:rPr>
          <w:lang w:val="en-GB"/>
        </w:rPr>
        <w:t xml:space="preserve">Multicultural approach </w:t>
      </w:r>
      <w:r w:rsidR="00C266FE">
        <w:rPr>
          <w:lang w:val="en-GB"/>
        </w:rPr>
        <w:t>to</w:t>
      </w:r>
      <w:r w:rsidR="00C266FE" w:rsidRPr="00243C89">
        <w:rPr>
          <w:lang w:val="en-GB"/>
        </w:rPr>
        <w:t xml:space="preserve"> </w:t>
      </w:r>
      <w:r w:rsidRPr="00243C89">
        <w:rPr>
          <w:lang w:val="en-GB"/>
        </w:rPr>
        <w:t xml:space="preserve">the work of a </w:t>
      </w:r>
      <w:r w:rsidR="00E44FEE" w:rsidRPr="00243C89">
        <w:rPr>
          <w:lang w:val="en-GB"/>
        </w:rPr>
        <w:t>C</w:t>
      </w:r>
      <w:r w:rsidRPr="00243C89">
        <w:rPr>
          <w:lang w:val="en-GB"/>
        </w:rPr>
        <w:t>hildren</w:t>
      </w:r>
      <w:r w:rsidR="00E44FEE" w:rsidRPr="00243C89">
        <w:rPr>
          <w:lang w:val="en-GB"/>
        </w:rPr>
        <w:t>’</w:t>
      </w:r>
      <w:r w:rsidRPr="00243C89">
        <w:rPr>
          <w:lang w:val="en-GB"/>
        </w:rPr>
        <w:t xml:space="preserve">s </w:t>
      </w:r>
      <w:r w:rsidR="00E44FEE" w:rsidRPr="00243C89">
        <w:rPr>
          <w:lang w:val="en-GB"/>
        </w:rPr>
        <w:t>H</w:t>
      </w:r>
      <w:r w:rsidRPr="00243C89">
        <w:rPr>
          <w:lang w:val="en-GB"/>
        </w:rPr>
        <w:t>ouse</w:t>
      </w:r>
      <w:r w:rsidR="00E44FEE" w:rsidRPr="00243C89">
        <w:rPr>
          <w:lang w:val="en-GB"/>
        </w:rPr>
        <w:t>’</w:t>
      </w:r>
    </w:p>
    <w:p w14:paraId="0DE10CB9" w14:textId="77777777" w:rsidR="00924CCD" w:rsidRPr="00243C89" w:rsidRDefault="00924CCD">
      <w:pPr>
        <w:spacing w:after="60"/>
        <w:jc w:val="both"/>
        <w:rPr>
          <w:rFonts w:ascii="Arial" w:hAnsi="Arial" w:cs="Arial"/>
          <w:b/>
          <w:sz w:val="22"/>
          <w:szCs w:val="22"/>
          <w:lang w:val="en-GB"/>
        </w:rPr>
      </w:pPr>
    </w:p>
    <w:p w14:paraId="05E2A74A" w14:textId="2E9DC3B5" w:rsidR="00924CCD" w:rsidRPr="00243C89" w:rsidRDefault="00000000">
      <w:pPr>
        <w:pStyle w:val="P68B1DB1-Normaallaad1"/>
        <w:spacing w:after="60"/>
        <w:jc w:val="both"/>
        <w:rPr>
          <w:lang w:val="en-GB"/>
        </w:rPr>
      </w:pPr>
      <w:r w:rsidRPr="00243C89">
        <w:rPr>
          <w:lang w:val="en-GB"/>
        </w:rPr>
        <w:t>1. General</w:t>
      </w:r>
    </w:p>
    <w:tbl>
      <w:tblPr>
        <w:tblStyle w:val="TableGrid"/>
        <w:tblW w:w="8989" w:type="dxa"/>
        <w:tblInd w:w="137" w:type="dxa"/>
        <w:tblLook w:val="04A0" w:firstRow="1" w:lastRow="0" w:firstColumn="1" w:lastColumn="0" w:noHBand="0" w:noVBand="1"/>
      </w:tblPr>
      <w:tblGrid>
        <w:gridCol w:w="645"/>
        <w:gridCol w:w="3016"/>
        <w:gridCol w:w="5328"/>
      </w:tblGrid>
      <w:tr w:rsidR="00924CCD" w:rsidRPr="00243C89" w14:paraId="0D51892F" w14:textId="77777777">
        <w:trPr>
          <w:trHeight w:val="871"/>
        </w:trPr>
        <w:tc>
          <w:tcPr>
            <w:tcW w:w="645" w:type="dxa"/>
          </w:tcPr>
          <w:p w14:paraId="633864A6" w14:textId="587545A6" w:rsidR="00924CCD" w:rsidRPr="00243C89" w:rsidRDefault="00000000">
            <w:pPr>
              <w:pStyle w:val="P68B1DB1-Normaallaad2"/>
              <w:spacing w:after="60"/>
              <w:jc w:val="both"/>
              <w:rPr>
                <w:lang w:val="en-GB"/>
              </w:rPr>
            </w:pPr>
            <w:r w:rsidRPr="00243C89">
              <w:rPr>
                <w:lang w:val="en-GB"/>
              </w:rPr>
              <w:t>1.1</w:t>
            </w:r>
          </w:p>
        </w:tc>
        <w:tc>
          <w:tcPr>
            <w:tcW w:w="3016" w:type="dxa"/>
          </w:tcPr>
          <w:p w14:paraId="057A18F0" w14:textId="15605D05" w:rsidR="00924CCD" w:rsidRPr="00243C89" w:rsidRDefault="00000000">
            <w:pPr>
              <w:pStyle w:val="P68B1DB1-Normaallaad2"/>
              <w:spacing w:after="60"/>
              <w:jc w:val="both"/>
              <w:rPr>
                <w:lang w:val="en-GB"/>
              </w:rPr>
            </w:pPr>
            <w:r w:rsidRPr="00243C89">
              <w:rPr>
                <w:lang w:val="en-GB"/>
              </w:rPr>
              <w:t xml:space="preserve">Contracting </w:t>
            </w:r>
            <w:r w:rsidR="00E44FEE" w:rsidRPr="00243C89">
              <w:rPr>
                <w:lang w:val="en-GB"/>
              </w:rPr>
              <w:t>Authority</w:t>
            </w:r>
          </w:p>
        </w:tc>
        <w:tc>
          <w:tcPr>
            <w:tcW w:w="5328" w:type="dxa"/>
          </w:tcPr>
          <w:p w14:paraId="327D4DEE" w14:textId="0C881797" w:rsidR="00924CCD" w:rsidRPr="00243C89" w:rsidRDefault="00000000">
            <w:pPr>
              <w:pStyle w:val="P68B1DB1-Normaallaad2"/>
              <w:jc w:val="both"/>
              <w:rPr>
                <w:lang w:val="en-GB"/>
              </w:rPr>
            </w:pPr>
            <w:r w:rsidRPr="00243C89">
              <w:rPr>
                <w:lang w:val="en-GB"/>
              </w:rPr>
              <w:t>Social Insurance Board</w:t>
            </w:r>
          </w:p>
          <w:p w14:paraId="0C236BFF" w14:textId="6953B915" w:rsidR="00924CCD" w:rsidRPr="00243C89" w:rsidRDefault="00000000">
            <w:pPr>
              <w:pStyle w:val="P68B1DB1-Normaallaad2"/>
              <w:jc w:val="both"/>
              <w:rPr>
                <w:lang w:val="en-GB"/>
              </w:rPr>
            </w:pPr>
            <w:r w:rsidRPr="00243C89">
              <w:rPr>
                <w:lang w:val="en-GB"/>
              </w:rPr>
              <w:t>Registry code 70001975</w:t>
            </w:r>
          </w:p>
          <w:p w14:paraId="381B607E" w14:textId="7A36549B" w:rsidR="00924CCD" w:rsidRPr="00243C89" w:rsidRDefault="00000000">
            <w:pPr>
              <w:pStyle w:val="P68B1DB1-Normaallaad2"/>
              <w:jc w:val="both"/>
              <w:rPr>
                <w:lang w:val="en-GB"/>
              </w:rPr>
            </w:pPr>
            <w:r w:rsidRPr="00243C89">
              <w:rPr>
                <w:lang w:val="en-GB"/>
              </w:rPr>
              <w:t xml:space="preserve">Paldiski mnt 80, 15092 Tallinn </w:t>
            </w:r>
          </w:p>
        </w:tc>
      </w:tr>
      <w:tr w:rsidR="00924CCD" w:rsidRPr="00243C89" w14:paraId="08AACB34" w14:textId="77777777">
        <w:trPr>
          <w:trHeight w:val="448"/>
        </w:trPr>
        <w:tc>
          <w:tcPr>
            <w:tcW w:w="645" w:type="dxa"/>
          </w:tcPr>
          <w:p w14:paraId="0C088786" w14:textId="18E7C842" w:rsidR="00924CCD" w:rsidRPr="00243C89" w:rsidRDefault="00000000">
            <w:pPr>
              <w:pStyle w:val="P68B1DB1-Normaallaad2"/>
              <w:spacing w:after="60"/>
              <w:jc w:val="both"/>
              <w:rPr>
                <w:lang w:val="en-GB"/>
              </w:rPr>
            </w:pPr>
            <w:r w:rsidRPr="00243C89">
              <w:rPr>
                <w:lang w:val="en-GB"/>
              </w:rPr>
              <w:t>1.2</w:t>
            </w:r>
          </w:p>
        </w:tc>
        <w:tc>
          <w:tcPr>
            <w:tcW w:w="3016" w:type="dxa"/>
          </w:tcPr>
          <w:p w14:paraId="2FA2065F" w14:textId="2CDD52B2" w:rsidR="00924CCD" w:rsidRPr="00243C89" w:rsidRDefault="00871E0C">
            <w:pPr>
              <w:pStyle w:val="P68B1DB1-Normaallaad2"/>
              <w:spacing w:after="60"/>
              <w:jc w:val="both"/>
              <w:rPr>
                <w:lang w:val="en-GB"/>
              </w:rPr>
            </w:pPr>
            <w:r w:rsidRPr="00243C89">
              <w:rPr>
                <w:lang w:val="en-GB"/>
              </w:rPr>
              <w:t xml:space="preserve">Procurement Title </w:t>
            </w:r>
          </w:p>
        </w:tc>
        <w:tc>
          <w:tcPr>
            <w:tcW w:w="5328" w:type="dxa"/>
          </w:tcPr>
          <w:p w14:paraId="5CFA480C" w14:textId="73DDFF76" w:rsidR="00924CCD" w:rsidRPr="00243C89" w:rsidRDefault="00000000">
            <w:pPr>
              <w:pStyle w:val="P68B1DB1-Normaallaad2"/>
              <w:spacing w:after="60"/>
              <w:jc w:val="both"/>
              <w:rPr>
                <w:b/>
                <w:bCs/>
                <w:highlight w:val="lightGray"/>
                <w:lang w:val="en-GB"/>
              </w:rPr>
            </w:pPr>
            <w:r w:rsidRPr="00243C89">
              <w:rPr>
                <w:lang w:val="en-GB"/>
              </w:rPr>
              <w:t xml:space="preserve">Training </w:t>
            </w:r>
            <w:r w:rsidR="005163D8" w:rsidRPr="00243C89">
              <w:rPr>
                <w:lang w:val="en-GB"/>
              </w:rPr>
              <w:t>‘</w:t>
            </w:r>
            <w:r w:rsidRPr="00243C89">
              <w:rPr>
                <w:lang w:val="en-GB"/>
              </w:rPr>
              <w:t xml:space="preserve">Multicultural approach </w:t>
            </w:r>
            <w:r w:rsidR="00CF41FC" w:rsidRPr="00243C89">
              <w:rPr>
                <w:lang w:val="en-GB"/>
              </w:rPr>
              <w:t xml:space="preserve">in </w:t>
            </w:r>
            <w:r w:rsidRPr="00243C89">
              <w:rPr>
                <w:lang w:val="en-GB"/>
              </w:rPr>
              <w:t xml:space="preserve">the work of a </w:t>
            </w:r>
            <w:r w:rsidR="005163D8" w:rsidRPr="00243C89">
              <w:rPr>
                <w:lang w:val="en-GB"/>
              </w:rPr>
              <w:t>Children’s H</w:t>
            </w:r>
            <w:r w:rsidRPr="00243C89">
              <w:rPr>
                <w:lang w:val="en-GB"/>
              </w:rPr>
              <w:t>ouse</w:t>
            </w:r>
            <w:r w:rsidR="005163D8" w:rsidRPr="00243C89">
              <w:rPr>
                <w:lang w:val="en-GB"/>
              </w:rPr>
              <w:t>’</w:t>
            </w:r>
          </w:p>
        </w:tc>
      </w:tr>
      <w:tr w:rsidR="00924CCD" w:rsidRPr="00243C89" w14:paraId="08981CFD" w14:textId="77777777">
        <w:trPr>
          <w:trHeight w:val="508"/>
        </w:trPr>
        <w:tc>
          <w:tcPr>
            <w:tcW w:w="645" w:type="dxa"/>
          </w:tcPr>
          <w:p w14:paraId="1B24F452" w14:textId="125465E0" w:rsidR="00924CCD" w:rsidRPr="00243C89" w:rsidRDefault="00000000">
            <w:pPr>
              <w:pStyle w:val="P68B1DB1-Normaallaad2"/>
              <w:spacing w:after="60"/>
              <w:jc w:val="both"/>
              <w:rPr>
                <w:lang w:val="en-GB"/>
              </w:rPr>
            </w:pPr>
            <w:r w:rsidRPr="00243C89">
              <w:rPr>
                <w:lang w:val="en-GB"/>
              </w:rPr>
              <w:t>1.3</w:t>
            </w:r>
          </w:p>
        </w:tc>
        <w:tc>
          <w:tcPr>
            <w:tcW w:w="3016" w:type="dxa"/>
          </w:tcPr>
          <w:p w14:paraId="73BDA9BB" w14:textId="541B4790" w:rsidR="00924CCD" w:rsidRPr="00243C89" w:rsidRDefault="00000000">
            <w:pPr>
              <w:pStyle w:val="P68B1DB1-Normaallaad2"/>
              <w:spacing w:after="60"/>
              <w:jc w:val="both"/>
              <w:rPr>
                <w:u w:val="single"/>
                <w:lang w:val="en-GB"/>
              </w:rPr>
            </w:pPr>
            <w:r w:rsidRPr="00243C89">
              <w:rPr>
                <w:lang w:val="en-GB"/>
              </w:rPr>
              <w:t xml:space="preserve">E-mail address for information and </w:t>
            </w:r>
            <w:r w:rsidRPr="00243C89">
              <w:rPr>
                <w:u w:val="single"/>
                <w:lang w:val="en-GB"/>
              </w:rPr>
              <w:t>submission of tenders</w:t>
            </w:r>
          </w:p>
        </w:tc>
        <w:tc>
          <w:tcPr>
            <w:tcW w:w="5328" w:type="dxa"/>
          </w:tcPr>
          <w:p w14:paraId="290D5D37" w14:textId="0698031E" w:rsidR="00924CCD" w:rsidRPr="00243C89" w:rsidRDefault="00924CCD">
            <w:pPr>
              <w:spacing w:after="60"/>
              <w:jc w:val="both"/>
              <w:rPr>
                <w:rStyle w:val="Hyperlink"/>
                <w:rFonts w:ascii="Arial" w:hAnsi="Arial" w:cs="Arial"/>
                <w:sz w:val="22"/>
                <w:szCs w:val="22"/>
                <w:lang w:val="en-GB"/>
              </w:rPr>
            </w:pPr>
            <w:hyperlink r:id="rId8" w:history="1">
              <w:r w:rsidRPr="00243C89">
                <w:rPr>
                  <w:rStyle w:val="Hyperlink"/>
                  <w:rFonts w:ascii="Arial" w:hAnsi="Arial" w:cs="Arial"/>
                  <w:sz w:val="22"/>
                  <w:szCs w:val="22"/>
                  <w:lang w:val="en-GB"/>
                </w:rPr>
                <w:t>hanked@sotsiaalkindlustusamet.ee</w:t>
              </w:r>
            </w:hyperlink>
          </w:p>
          <w:p w14:paraId="0F9D4782" w14:textId="77777777" w:rsidR="00924CCD" w:rsidRPr="00243C89" w:rsidRDefault="00924CCD">
            <w:pPr>
              <w:spacing w:after="60"/>
              <w:jc w:val="both"/>
              <w:rPr>
                <w:rStyle w:val="Hyperlink"/>
                <w:rFonts w:ascii="Arial" w:hAnsi="Arial" w:cs="Arial"/>
                <w:sz w:val="22"/>
                <w:szCs w:val="22"/>
                <w:lang w:val="en-GB"/>
              </w:rPr>
            </w:pPr>
          </w:p>
          <w:p w14:paraId="1FCCF7AF" w14:textId="56221F72" w:rsidR="00924CCD" w:rsidRPr="00243C89" w:rsidRDefault="00000000">
            <w:pPr>
              <w:pStyle w:val="P68B1DB1-Normaallaad2"/>
              <w:spacing w:after="60"/>
              <w:jc w:val="both"/>
              <w:rPr>
                <w:lang w:val="en-GB"/>
              </w:rPr>
            </w:pPr>
            <w:r w:rsidRPr="00243C89">
              <w:rPr>
                <w:lang w:val="en-GB"/>
              </w:rPr>
              <w:t xml:space="preserve">Estimated value of the procurement </w:t>
            </w:r>
            <w:r w:rsidR="00756C11" w:rsidRPr="00243C89">
              <w:rPr>
                <w:lang w:val="en-GB"/>
              </w:rPr>
              <w:t>excluding</w:t>
            </w:r>
            <w:r w:rsidR="00C56C45" w:rsidRPr="00243C89">
              <w:rPr>
                <w:lang w:val="en-GB"/>
              </w:rPr>
              <w:t xml:space="preserve"> </w:t>
            </w:r>
            <w:r w:rsidRPr="00243C89">
              <w:rPr>
                <w:lang w:val="en-GB"/>
              </w:rPr>
              <w:t>VAT: EUR 13</w:t>
            </w:r>
            <w:r w:rsidR="0064015F" w:rsidRPr="00243C89">
              <w:rPr>
                <w:lang w:val="en-GB"/>
              </w:rPr>
              <w:t>,</w:t>
            </w:r>
            <w:r w:rsidRPr="00243C89">
              <w:rPr>
                <w:lang w:val="en-GB"/>
              </w:rPr>
              <w:t>000</w:t>
            </w:r>
          </w:p>
          <w:p w14:paraId="78E6EEE4" w14:textId="77777777" w:rsidR="00924CCD" w:rsidRPr="00243C89" w:rsidRDefault="00000000">
            <w:pPr>
              <w:pStyle w:val="P68B1DB1-Normaallaad2"/>
              <w:spacing w:after="60"/>
              <w:jc w:val="both"/>
              <w:rPr>
                <w:lang w:val="en-GB"/>
              </w:rPr>
            </w:pPr>
            <w:r w:rsidRPr="00243C89">
              <w:rPr>
                <w:lang w:val="en-GB"/>
              </w:rPr>
              <w:t>CPV code: 80510000-2 Professional training</w:t>
            </w:r>
          </w:p>
          <w:p w14:paraId="75A86389" w14:textId="77777777" w:rsidR="00924CCD" w:rsidRPr="00243C89" w:rsidRDefault="00924CCD">
            <w:pPr>
              <w:spacing w:after="60"/>
              <w:jc w:val="both"/>
              <w:rPr>
                <w:rFonts w:ascii="Arial" w:hAnsi="Arial" w:cs="Arial"/>
                <w:sz w:val="22"/>
                <w:szCs w:val="22"/>
                <w:lang w:val="en-GB"/>
              </w:rPr>
            </w:pPr>
          </w:p>
          <w:p w14:paraId="4E2550C3" w14:textId="31525AEF" w:rsidR="00924CCD" w:rsidRPr="00243C89" w:rsidRDefault="00000000">
            <w:pPr>
              <w:pStyle w:val="P68B1DB1-Normaallaad3"/>
              <w:jc w:val="both"/>
              <w:rPr>
                <w:lang w:val="en-GB"/>
              </w:rPr>
            </w:pPr>
            <w:r w:rsidRPr="00243C89">
              <w:rPr>
                <w:lang w:val="en-GB"/>
              </w:rPr>
              <w:t xml:space="preserve">The procurement is financed under </w:t>
            </w:r>
            <w:r w:rsidR="00EA1F47" w:rsidRPr="00243C89">
              <w:rPr>
                <w:lang w:val="en-GB"/>
              </w:rPr>
              <w:t>2021–2027 Cohesion Policy Funds measure 21.4.7.9 ‘Services aimed at children and families are of high quality and meet the needs of families’, ‘Supporting children and families’ grant conditions, activity 2.2. ‘Supporting children and their families with diverse needs’</w:t>
            </w:r>
            <w:r w:rsidRPr="00243C89">
              <w:rPr>
                <w:lang w:val="en-GB"/>
              </w:rPr>
              <w:t>.</w:t>
            </w:r>
          </w:p>
        </w:tc>
      </w:tr>
      <w:tr w:rsidR="00924CCD" w:rsidRPr="00243C89" w14:paraId="176BFD51" w14:textId="77777777">
        <w:trPr>
          <w:trHeight w:val="348"/>
        </w:trPr>
        <w:tc>
          <w:tcPr>
            <w:tcW w:w="645" w:type="dxa"/>
          </w:tcPr>
          <w:p w14:paraId="36FB2025" w14:textId="4AD4FFBE" w:rsidR="00924CCD" w:rsidRPr="00243C89" w:rsidRDefault="00000000">
            <w:pPr>
              <w:pStyle w:val="P68B1DB1-Normaallaad2"/>
              <w:spacing w:after="60"/>
              <w:jc w:val="both"/>
              <w:rPr>
                <w:lang w:val="en-GB"/>
              </w:rPr>
            </w:pPr>
            <w:r w:rsidRPr="00243C89">
              <w:rPr>
                <w:lang w:val="en-GB"/>
              </w:rPr>
              <w:t>1.4</w:t>
            </w:r>
          </w:p>
        </w:tc>
        <w:tc>
          <w:tcPr>
            <w:tcW w:w="3016" w:type="dxa"/>
          </w:tcPr>
          <w:p w14:paraId="5B0D0607" w14:textId="3F775C4A" w:rsidR="00924CCD" w:rsidRPr="00243C89" w:rsidRDefault="00000000">
            <w:pPr>
              <w:pStyle w:val="P68B1DB1-Normaallaad1"/>
              <w:spacing w:after="60"/>
              <w:jc w:val="both"/>
              <w:rPr>
                <w:bCs/>
                <w:lang w:val="en-GB"/>
              </w:rPr>
            </w:pPr>
            <w:r w:rsidRPr="00243C89">
              <w:rPr>
                <w:lang w:val="en-GB"/>
              </w:rPr>
              <w:t>Deadline for submission of tenders</w:t>
            </w:r>
          </w:p>
        </w:tc>
        <w:tc>
          <w:tcPr>
            <w:tcW w:w="5328" w:type="dxa"/>
          </w:tcPr>
          <w:p w14:paraId="1DAD2B8A" w14:textId="611C5813" w:rsidR="00924CCD" w:rsidRPr="00243C89" w:rsidRDefault="00000000">
            <w:pPr>
              <w:pStyle w:val="P68B1DB1-Normaallaad2"/>
              <w:spacing w:after="60"/>
              <w:jc w:val="both"/>
              <w:rPr>
                <w:color w:val="FF0000"/>
                <w:lang w:val="en-GB"/>
              </w:rPr>
            </w:pPr>
            <w:r w:rsidRPr="00243C89">
              <w:rPr>
                <w:lang w:val="en-GB"/>
              </w:rPr>
              <w:t xml:space="preserve">No later than </w:t>
            </w:r>
            <w:r w:rsidRPr="00243C89">
              <w:rPr>
                <w:b/>
                <w:highlight w:val="lightGray"/>
                <w:lang w:val="en-GB"/>
              </w:rPr>
              <w:t>10:00</w:t>
            </w:r>
            <w:r w:rsidRPr="00243C89">
              <w:rPr>
                <w:b/>
                <w:lang w:val="en-GB"/>
              </w:rPr>
              <w:t xml:space="preserve"> </w:t>
            </w:r>
            <w:r w:rsidRPr="00243C89">
              <w:rPr>
                <w:b/>
                <w:highlight w:val="lightGray"/>
                <w:lang w:val="en-GB"/>
              </w:rPr>
              <w:t>(Estonian time) on</w:t>
            </w:r>
            <w:r w:rsidRPr="00243C89">
              <w:rPr>
                <w:lang w:val="en-GB"/>
              </w:rPr>
              <w:t xml:space="preserve"> </w:t>
            </w:r>
            <w:r w:rsidRPr="00243C89">
              <w:rPr>
                <w:b/>
                <w:lang w:val="en-GB"/>
              </w:rPr>
              <w:t>xx.xx.2025.</w:t>
            </w:r>
            <w:r w:rsidRPr="00243C89">
              <w:rPr>
                <w:lang w:val="en-GB"/>
              </w:rPr>
              <w:t xml:space="preserve"> Tenders submitted after this deadline will not be considered.</w:t>
            </w:r>
          </w:p>
        </w:tc>
      </w:tr>
      <w:tr w:rsidR="00924CCD" w:rsidRPr="00243C89" w14:paraId="5391B974" w14:textId="77777777">
        <w:trPr>
          <w:trHeight w:val="1459"/>
        </w:trPr>
        <w:tc>
          <w:tcPr>
            <w:tcW w:w="645" w:type="dxa"/>
          </w:tcPr>
          <w:p w14:paraId="16607117" w14:textId="71323912" w:rsidR="00924CCD" w:rsidRPr="00243C89" w:rsidRDefault="00000000">
            <w:pPr>
              <w:pStyle w:val="P68B1DB1-Normaallaad2"/>
              <w:spacing w:after="60"/>
              <w:jc w:val="both"/>
              <w:rPr>
                <w:lang w:val="en-GB"/>
              </w:rPr>
            </w:pPr>
            <w:r w:rsidRPr="00243C89">
              <w:rPr>
                <w:lang w:val="en-GB"/>
              </w:rPr>
              <w:t>1.5</w:t>
            </w:r>
          </w:p>
        </w:tc>
        <w:tc>
          <w:tcPr>
            <w:tcW w:w="3016" w:type="dxa"/>
          </w:tcPr>
          <w:p w14:paraId="0CDF2E7D" w14:textId="027647DC" w:rsidR="00924CCD" w:rsidRPr="00243C89" w:rsidRDefault="00502847">
            <w:pPr>
              <w:pStyle w:val="P68B1DB1-Normaallaad2"/>
              <w:spacing w:after="60"/>
              <w:jc w:val="both"/>
              <w:rPr>
                <w:lang w:val="en-GB"/>
              </w:rPr>
            </w:pPr>
            <w:r w:rsidRPr="00243C89">
              <w:rPr>
                <w:lang w:val="en-GB"/>
              </w:rPr>
              <w:t>Tender validity period</w:t>
            </w:r>
            <w:r w:rsidR="00000000" w:rsidRPr="00243C89">
              <w:rPr>
                <w:lang w:val="en-GB"/>
              </w:rPr>
              <w:t xml:space="preserve"> (from the </w:t>
            </w:r>
            <w:r w:rsidR="00795E86" w:rsidRPr="00243C89">
              <w:rPr>
                <w:lang w:val="en-GB"/>
              </w:rPr>
              <w:t xml:space="preserve">deadline </w:t>
            </w:r>
            <w:r w:rsidR="00000000" w:rsidRPr="00243C89">
              <w:rPr>
                <w:lang w:val="en-GB"/>
              </w:rPr>
              <w:t xml:space="preserve">for </w:t>
            </w:r>
            <w:r w:rsidR="00795E86" w:rsidRPr="00243C89">
              <w:rPr>
                <w:lang w:val="en-GB"/>
              </w:rPr>
              <w:t xml:space="preserve">the </w:t>
            </w:r>
            <w:r w:rsidR="00000000" w:rsidRPr="00243C89">
              <w:rPr>
                <w:lang w:val="en-GB"/>
              </w:rPr>
              <w:t>submission of tender</w:t>
            </w:r>
            <w:r w:rsidR="00795E86" w:rsidRPr="00243C89">
              <w:rPr>
                <w:lang w:val="en-GB"/>
              </w:rPr>
              <w:t>s</w:t>
            </w:r>
            <w:r w:rsidR="00000000" w:rsidRPr="00243C89">
              <w:rPr>
                <w:lang w:val="en-GB"/>
              </w:rPr>
              <w:t>)</w:t>
            </w:r>
          </w:p>
        </w:tc>
        <w:tc>
          <w:tcPr>
            <w:tcW w:w="5328" w:type="dxa"/>
          </w:tcPr>
          <w:p w14:paraId="69072E8D" w14:textId="04D1C9E8" w:rsidR="00924CCD" w:rsidRPr="00243C89" w:rsidRDefault="00000000">
            <w:pPr>
              <w:pStyle w:val="P68B1DB1-Normaallaad2"/>
              <w:jc w:val="both"/>
              <w:rPr>
                <w:lang w:val="en-GB"/>
              </w:rPr>
            </w:pPr>
            <w:r w:rsidRPr="00243C89">
              <w:rPr>
                <w:b/>
                <w:lang w:val="en-GB"/>
              </w:rPr>
              <w:t>60 days</w:t>
            </w:r>
            <w:r w:rsidRPr="00243C89">
              <w:rPr>
                <w:lang w:val="en-GB"/>
              </w:rPr>
              <w:t xml:space="preserve">. By submitting a tender, it is </w:t>
            </w:r>
            <w:r w:rsidR="008A23B4" w:rsidRPr="00243C89">
              <w:rPr>
                <w:lang w:val="en-GB"/>
              </w:rPr>
              <w:t xml:space="preserve">assumed </w:t>
            </w:r>
            <w:r w:rsidRPr="00243C89">
              <w:rPr>
                <w:lang w:val="en-GB"/>
              </w:rPr>
              <w:t xml:space="preserve">that the tender is valid for at least the specified period and the tenderer </w:t>
            </w:r>
            <w:r w:rsidR="008A23B4" w:rsidRPr="00243C89">
              <w:rPr>
                <w:lang w:val="en-GB"/>
              </w:rPr>
              <w:t>does not have</w:t>
            </w:r>
            <w:r w:rsidRPr="00243C89">
              <w:rPr>
                <w:lang w:val="en-GB"/>
              </w:rPr>
              <w:t xml:space="preserve"> to </w:t>
            </w:r>
            <w:r w:rsidR="003F775F" w:rsidRPr="00243C89">
              <w:rPr>
                <w:lang w:val="en-GB"/>
              </w:rPr>
              <w:t xml:space="preserve">separately </w:t>
            </w:r>
            <w:r w:rsidRPr="00243C89">
              <w:rPr>
                <w:lang w:val="en-GB"/>
              </w:rPr>
              <w:t xml:space="preserve">indicate the </w:t>
            </w:r>
            <w:r w:rsidR="003F775F" w:rsidRPr="00243C89">
              <w:rPr>
                <w:lang w:val="en-GB"/>
              </w:rPr>
              <w:t xml:space="preserve">tender </w:t>
            </w:r>
            <w:r w:rsidRPr="00243C89">
              <w:rPr>
                <w:lang w:val="en-GB"/>
              </w:rPr>
              <w:t xml:space="preserve">validity </w:t>
            </w:r>
            <w:r w:rsidR="008A23B4" w:rsidRPr="00243C89">
              <w:rPr>
                <w:lang w:val="en-GB"/>
              </w:rPr>
              <w:t xml:space="preserve">period </w:t>
            </w:r>
            <w:r w:rsidRPr="00243C89">
              <w:rPr>
                <w:lang w:val="en-GB"/>
              </w:rPr>
              <w:t>in the tender (</w:t>
            </w:r>
            <w:r w:rsidR="003F775F" w:rsidRPr="00243C89">
              <w:rPr>
                <w:lang w:val="en-GB"/>
              </w:rPr>
              <w:t xml:space="preserve">it </w:t>
            </w:r>
            <w:r w:rsidRPr="00243C89">
              <w:rPr>
                <w:lang w:val="en-GB"/>
              </w:rPr>
              <w:t>may be indicated if it is longer than the above).</w:t>
            </w:r>
          </w:p>
        </w:tc>
      </w:tr>
      <w:tr w:rsidR="00924CCD" w:rsidRPr="00243C89" w14:paraId="3DBFF273" w14:textId="77777777">
        <w:trPr>
          <w:trHeight w:val="2361"/>
        </w:trPr>
        <w:tc>
          <w:tcPr>
            <w:tcW w:w="645" w:type="dxa"/>
          </w:tcPr>
          <w:p w14:paraId="713F2047" w14:textId="40177268" w:rsidR="00924CCD" w:rsidRPr="00243C89" w:rsidRDefault="00000000">
            <w:pPr>
              <w:pStyle w:val="P68B1DB1-Normaallaad2"/>
              <w:spacing w:after="60"/>
              <w:jc w:val="both"/>
              <w:rPr>
                <w:lang w:val="en-GB"/>
              </w:rPr>
            </w:pPr>
            <w:r w:rsidRPr="00243C89">
              <w:rPr>
                <w:lang w:val="en-GB"/>
              </w:rPr>
              <w:t>1.6</w:t>
            </w:r>
          </w:p>
        </w:tc>
        <w:tc>
          <w:tcPr>
            <w:tcW w:w="3016" w:type="dxa"/>
          </w:tcPr>
          <w:p w14:paraId="1DC62E6B" w14:textId="69CD2656" w:rsidR="00924CCD" w:rsidRPr="00243C89" w:rsidRDefault="00000000">
            <w:pPr>
              <w:pStyle w:val="P68B1DB1-Normaallaad2"/>
              <w:spacing w:after="60"/>
              <w:jc w:val="both"/>
              <w:rPr>
                <w:lang w:val="en-GB"/>
              </w:rPr>
            </w:pPr>
            <w:r w:rsidRPr="00243C89">
              <w:rPr>
                <w:lang w:val="en-GB"/>
              </w:rPr>
              <w:t>Estimated time</w:t>
            </w:r>
            <w:r w:rsidR="004805AD" w:rsidRPr="00243C89">
              <w:rPr>
                <w:lang w:val="en-GB"/>
              </w:rPr>
              <w:t xml:space="preserve">table for </w:t>
            </w:r>
            <w:r w:rsidRPr="00243C89">
              <w:rPr>
                <w:lang w:val="en-GB"/>
              </w:rPr>
              <w:t>the procurement and</w:t>
            </w:r>
            <w:r w:rsidR="004805AD" w:rsidRPr="00243C89">
              <w:rPr>
                <w:lang w:val="en-GB"/>
              </w:rPr>
              <w:t xml:space="preserve"> the</w:t>
            </w:r>
            <w:r w:rsidRPr="00243C89">
              <w:rPr>
                <w:lang w:val="en-GB"/>
              </w:rPr>
              <w:t xml:space="preserve"> </w:t>
            </w:r>
            <w:r w:rsidR="003F775F" w:rsidRPr="00243C89">
              <w:rPr>
                <w:lang w:val="en-GB"/>
              </w:rPr>
              <w:t>deadline</w:t>
            </w:r>
            <w:r w:rsidRPr="00243C89">
              <w:rPr>
                <w:lang w:val="en-GB"/>
              </w:rPr>
              <w:t xml:space="preserve"> for </w:t>
            </w:r>
            <w:r w:rsidR="003F775F" w:rsidRPr="00243C89">
              <w:rPr>
                <w:lang w:val="en-GB"/>
              </w:rPr>
              <w:t xml:space="preserve">the </w:t>
            </w:r>
            <w:r w:rsidRPr="00243C89">
              <w:rPr>
                <w:lang w:val="en-GB"/>
              </w:rPr>
              <w:t xml:space="preserve">performance of the </w:t>
            </w:r>
            <w:r w:rsidR="003F775F" w:rsidRPr="00243C89">
              <w:rPr>
                <w:lang w:val="en-GB"/>
              </w:rPr>
              <w:t xml:space="preserve">procurement </w:t>
            </w:r>
            <w:r w:rsidRPr="00243C89">
              <w:rPr>
                <w:lang w:val="en-GB"/>
              </w:rPr>
              <w:t>contract</w:t>
            </w:r>
          </w:p>
        </w:tc>
        <w:tc>
          <w:tcPr>
            <w:tcW w:w="5328" w:type="dxa"/>
          </w:tcPr>
          <w:p w14:paraId="396D48B1" w14:textId="7E44A501" w:rsidR="00924CCD" w:rsidRPr="00243C89" w:rsidRDefault="00000000">
            <w:pPr>
              <w:pStyle w:val="P68B1DB1-Normaallaad2"/>
              <w:jc w:val="both"/>
              <w:rPr>
                <w:lang w:val="en-GB"/>
              </w:rPr>
            </w:pPr>
            <w:r w:rsidRPr="00243C89">
              <w:rPr>
                <w:lang w:val="en-GB"/>
              </w:rPr>
              <w:t xml:space="preserve">The time-limits set out in the following timetable are indicative and have no legal effect, i.e. if, for any reason, it is not possible to award the </w:t>
            </w:r>
            <w:r w:rsidR="00C3289E" w:rsidRPr="00243C89">
              <w:rPr>
                <w:lang w:val="en-GB"/>
              </w:rPr>
              <w:t xml:space="preserve">Agreement </w:t>
            </w:r>
            <w:r w:rsidRPr="00243C89">
              <w:rPr>
                <w:lang w:val="en-GB"/>
              </w:rPr>
              <w:t>within the time-limit indicated, the time-limits listed below will be postponed by the corresponding period.</w:t>
            </w:r>
          </w:p>
          <w:p w14:paraId="5EA9F732" w14:textId="4EABA006" w:rsidR="00924CCD" w:rsidRPr="00243C89" w:rsidRDefault="00000000">
            <w:pPr>
              <w:pStyle w:val="P68B1DB1-Loendilik4"/>
              <w:numPr>
                <w:ilvl w:val="0"/>
                <w:numId w:val="23"/>
              </w:numPr>
              <w:ind w:left="301" w:hanging="284"/>
              <w:jc w:val="both"/>
              <w:rPr>
                <w:lang w:val="en-GB"/>
              </w:rPr>
            </w:pPr>
            <w:r w:rsidRPr="00243C89">
              <w:rPr>
                <w:lang w:val="en-GB"/>
              </w:rPr>
              <w:t>Conclusion of the Agreement – xx.xx.2026.</w:t>
            </w:r>
          </w:p>
          <w:p w14:paraId="56EF84A1" w14:textId="2A7B098E" w:rsidR="00924CCD" w:rsidRPr="00243C89" w:rsidRDefault="00000000">
            <w:pPr>
              <w:pStyle w:val="P68B1DB1-Loendilik4"/>
              <w:numPr>
                <w:ilvl w:val="0"/>
                <w:numId w:val="23"/>
              </w:numPr>
              <w:spacing w:after="60"/>
              <w:ind w:left="301" w:hanging="284"/>
              <w:contextualSpacing w:val="0"/>
              <w:jc w:val="both"/>
              <w:rPr>
                <w:lang w:val="en-GB"/>
              </w:rPr>
            </w:pPr>
            <w:r w:rsidRPr="00243C89">
              <w:rPr>
                <w:lang w:val="en-GB"/>
              </w:rPr>
              <w:t xml:space="preserve">Performance of the </w:t>
            </w:r>
            <w:r w:rsidR="001079B8" w:rsidRPr="00243C89">
              <w:rPr>
                <w:lang w:val="en-GB"/>
              </w:rPr>
              <w:t xml:space="preserve">Agreement </w:t>
            </w:r>
            <w:r w:rsidRPr="00243C89">
              <w:rPr>
                <w:lang w:val="en-GB"/>
              </w:rPr>
              <w:t>– xx months.</w:t>
            </w:r>
          </w:p>
        </w:tc>
      </w:tr>
      <w:tr w:rsidR="00924CCD" w:rsidRPr="00243C89" w14:paraId="381516EC" w14:textId="77777777">
        <w:trPr>
          <w:trHeight w:val="643"/>
        </w:trPr>
        <w:tc>
          <w:tcPr>
            <w:tcW w:w="645" w:type="dxa"/>
          </w:tcPr>
          <w:p w14:paraId="5A20BDC1" w14:textId="5EB04179" w:rsidR="00924CCD" w:rsidRPr="00243C89" w:rsidRDefault="00000000">
            <w:pPr>
              <w:pStyle w:val="P68B1DB1-Normaallaad2"/>
              <w:spacing w:after="60"/>
              <w:jc w:val="both"/>
              <w:rPr>
                <w:lang w:val="en-GB"/>
              </w:rPr>
            </w:pPr>
            <w:r w:rsidRPr="00243C89">
              <w:rPr>
                <w:lang w:val="en-GB"/>
              </w:rPr>
              <w:t>1.7</w:t>
            </w:r>
          </w:p>
        </w:tc>
        <w:tc>
          <w:tcPr>
            <w:tcW w:w="3016" w:type="dxa"/>
          </w:tcPr>
          <w:p w14:paraId="46257281" w14:textId="5135CBFE" w:rsidR="00924CCD" w:rsidRPr="00243C89" w:rsidRDefault="00000000">
            <w:pPr>
              <w:pStyle w:val="P68B1DB1-Normaallaad2"/>
              <w:spacing w:after="60"/>
              <w:jc w:val="both"/>
              <w:rPr>
                <w:lang w:val="en-GB"/>
              </w:rPr>
            </w:pPr>
            <w:r w:rsidRPr="00243C89">
              <w:rPr>
                <w:lang w:val="en-GB"/>
              </w:rPr>
              <w:t xml:space="preserve">Annexes to the invitation to tender </w:t>
            </w:r>
          </w:p>
        </w:tc>
        <w:tc>
          <w:tcPr>
            <w:tcW w:w="5328" w:type="dxa"/>
          </w:tcPr>
          <w:p w14:paraId="6F3218A3" w14:textId="400AD816" w:rsidR="00924CCD" w:rsidRPr="00243C89" w:rsidRDefault="00000000">
            <w:pPr>
              <w:pStyle w:val="P68B1DB1-Normaallaad2"/>
              <w:jc w:val="both"/>
              <w:rPr>
                <w:lang w:val="en-GB"/>
              </w:rPr>
            </w:pPr>
            <w:r w:rsidRPr="00243C89">
              <w:rPr>
                <w:lang w:val="en-GB"/>
              </w:rPr>
              <w:t xml:space="preserve">Annex 1 - Technical specifications; </w:t>
            </w:r>
          </w:p>
          <w:p w14:paraId="41192228" w14:textId="79A7C9B2" w:rsidR="00924CCD" w:rsidRPr="00243C89" w:rsidRDefault="00000000">
            <w:pPr>
              <w:pStyle w:val="P68B1DB1-Normaallaad2"/>
              <w:jc w:val="both"/>
              <w:rPr>
                <w:lang w:val="en-GB"/>
              </w:rPr>
            </w:pPr>
            <w:r w:rsidRPr="00243C89">
              <w:rPr>
                <w:lang w:val="en-GB"/>
              </w:rPr>
              <w:t>Annex 2 - Tender Form;</w:t>
            </w:r>
          </w:p>
          <w:p w14:paraId="02BC7BC2" w14:textId="34F19924" w:rsidR="00924CCD" w:rsidRPr="00243C89" w:rsidRDefault="00000000">
            <w:pPr>
              <w:pStyle w:val="P68B1DB1-Normaallaad2"/>
              <w:jc w:val="both"/>
              <w:rPr>
                <w:lang w:val="en-GB"/>
              </w:rPr>
            </w:pPr>
            <w:r w:rsidRPr="00243C89">
              <w:rPr>
                <w:lang w:val="en-GB"/>
              </w:rPr>
              <w:t>Annex 3 - Draft authorisation agreement.</w:t>
            </w:r>
          </w:p>
          <w:p w14:paraId="4AE46C21" w14:textId="5236928D" w:rsidR="00924CCD" w:rsidRPr="00243C89" w:rsidRDefault="00924CCD">
            <w:pPr>
              <w:jc w:val="both"/>
              <w:rPr>
                <w:rFonts w:ascii="Arial" w:hAnsi="Arial" w:cs="Arial"/>
                <w:sz w:val="22"/>
                <w:szCs w:val="22"/>
                <w:lang w:val="en-GB"/>
              </w:rPr>
            </w:pPr>
          </w:p>
        </w:tc>
      </w:tr>
      <w:tr w:rsidR="00924CCD" w:rsidRPr="00243C89" w14:paraId="76A2C6F2" w14:textId="77777777">
        <w:trPr>
          <w:trHeight w:val="1146"/>
        </w:trPr>
        <w:tc>
          <w:tcPr>
            <w:tcW w:w="645" w:type="dxa"/>
          </w:tcPr>
          <w:p w14:paraId="06891A0A" w14:textId="07872AD8" w:rsidR="00924CCD" w:rsidRPr="00243C89" w:rsidRDefault="00000000">
            <w:pPr>
              <w:pStyle w:val="P68B1DB1-Normaallaad2"/>
              <w:spacing w:after="60"/>
              <w:jc w:val="both"/>
              <w:rPr>
                <w:lang w:val="en-GB"/>
              </w:rPr>
            </w:pPr>
            <w:r w:rsidRPr="00243C89">
              <w:rPr>
                <w:lang w:val="en-GB"/>
              </w:rPr>
              <w:t>1.8</w:t>
            </w:r>
          </w:p>
        </w:tc>
        <w:tc>
          <w:tcPr>
            <w:tcW w:w="3016" w:type="dxa"/>
          </w:tcPr>
          <w:p w14:paraId="54B89AC4" w14:textId="5D5F8D7B" w:rsidR="00924CCD" w:rsidRPr="00243C89" w:rsidRDefault="00000000">
            <w:pPr>
              <w:pStyle w:val="P68B1DB1-Normaallaad2"/>
              <w:spacing w:after="60"/>
              <w:jc w:val="both"/>
              <w:rPr>
                <w:lang w:val="en-GB"/>
              </w:rPr>
            </w:pPr>
            <w:r w:rsidRPr="00243C89">
              <w:rPr>
                <w:lang w:val="en-GB"/>
              </w:rPr>
              <w:t xml:space="preserve">List of documents and information to be provided by the tenderer in the tender </w:t>
            </w:r>
          </w:p>
        </w:tc>
        <w:tc>
          <w:tcPr>
            <w:tcW w:w="5328" w:type="dxa"/>
          </w:tcPr>
          <w:p w14:paraId="6BCDAED1" w14:textId="26826E32" w:rsidR="00924CCD" w:rsidRPr="00243C89" w:rsidRDefault="00000000">
            <w:pPr>
              <w:pStyle w:val="P68B1DB1-Loendilik4"/>
              <w:numPr>
                <w:ilvl w:val="0"/>
                <w:numId w:val="45"/>
              </w:numPr>
              <w:ind w:left="341" w:hanging="284"/>
              <w:jc w:val="both"/>
              <w:rPr>
                <w:iCs/>
                <w:lang w:val="en-GB"/>
              </w:rPr>
            </w:pPr>
            <w:r w:rsidRPr="00243C89">
              <w:rPr>
                <w:lang w:val="en-GB"/>
              </w:rPr>
              <w:t>Total value of the tender;</w:t>
            </w:r>
          </w:p>
          <w:p w14:paraId="0D90ACF7" w14:textId="69FDFC86" w:rsidR="00924CCD" w:rsidRPr="00243C89" w:rsidRDefault="00000000">
            <w:pPr>
              <w:pStyle w:val="P68B1DB1-Loendilik4"/>
              <w:numPr>
                <w:ilvl w:val="0"/>
                <w:numId w:val="45"/>
              </w:numPr>
              <w:ind w:left="341" w:hanging="284"/>
              <w:jc w:val="both"/>
              <w:rPr>
                <w:iCs/>
                <w:lang w:val="en-GB"/>
              </w:rPr>
            </w:pPr>
            <w:r w:rsidRPr="00243C89">
              <w:rPr>
                <w:lang w:val="en-GB"/>
              </w:rPr>
              <w:t>Description of the service offered;</w:t>
            </w:r>
          </w:p>
          <w:p w14:paraId="491646B1" w14:textId="59B55DB3" w:rsidR="00924CCD" w:rsidRPr="00243C89" w:rsidRDefault="00000000">
            <w:pPr>
              <w:pStyle w:val="P68B1DB1-Loendilik4"/>
              <w:numPr>
                <w:ilvl w:val="0"/>
                <w:numId w:val="45"/>
              </w:numPr>
              <w:ind w:left="341" w:hanging="284"/>
              <w:jc w:val="both"/>
              <w:rPr>
                <w:iCs/>
                <w:lang w:val="en-GB"/>
              </w:rPr>
            </w:pPr>
            <w:r w:rsidRPr="00243C89">
              <w:rPr>
                <w:lang w:val="en-GB"/>
              </w:rPr>
              <w:t>Information on business secrets</w:t>
            </w:r>
            <w:r w:rsidR="00953BA1" w:rsidRPr="00243C89">
              <w:rPr>
                <w:lang w:val="en-GB"/>
              </w:rPr>
              <w:t>,</w:t>
            </w:r>
            <w:r w:rsidRPr="00243C89">
              <w:rPr>
                <w:lang w:val="en-GB"/>
              </w:rPr>
              <w:t xml:space="preserve"> if the tender contains business secrets.</w:t>
            </w:r>
          </w:p>
        </w:tc>
      </w:tr>
      <w:tr w:rsidR="00924CCD" w:rsidRPr="00243C89" w14:paraId="66579CBF" w14:textId="77777777">
        <w:trPr>
          <w:trHeight w:val="1266"/>
        </w:trPr>
        <w:tc>
          <w:tcPr>
            <w:tcW w:w="645" w:type="dxa"/>
          </w:tcPr>
          <w:p w14:paraId="374AEC99" w14:textId="5546CD7F" w:rsidR="00924CCD" w:rsidRPr="00243C89" w:rsidRDefault="00000000">
            <w:pPr>
              <w:pStyle w:val="P68B1DB1-Normaallaad2"/>
              <w:spacing w:after="60"/>
              <w:jc w:val="both"/>
              <w:rPr>
                <w:lang w:val="en-GB"/>
              </w:rPr>
            </w:pPr>
            <w:r w:rsidRPr="00243C89">
              <w:rPr>
                <w:lang w:val="en-GB"/>
              </w:rPr>
              <w:lastRenderedPageBreak/>
              <w:t>1.9</w:t>
            </w:r>
          </w:p>
        </w:tc>
        <w:tc>
          <w:tcPr>
            <w:tcW w:w="3016" w:type="dxa"/>
          </w:tcPr>
          <w:p w14:paraId="506381FF" w14:textId="4D2A5F88" w:rsidR="00924CCD" w:rsidRPr="00243C89" w:rsidRDefault="00D45C06">
            <w:pPr>
              <w:pStyle w:val="P68B1DB1-Normaallaad2"/>
              <w:spacing w:after="60"/>
              <w:jc w:val="both"/>
              <w:rPr>
                <w:lang w:val="en-GB"/>
              </w:rPr>
            </w:pPr>
            <w:r w:rsidRPr="00243C89">
              <w:rPr>
                <w:lang w:val="en-GB"/>
              </w:rPr>
              <w:t xml:space="preserve">Conformity </w:t>
            </w:r>
            <w:r w:rsidR="00000000" w:rsidRPr="00243C89">
              <w:rPr>
                <w:lang w:val="en-GB"/>
              </w:rPr>
              <w:t>conditions</w:t>
            </w:r>
          </w:p>
        </w:tc>
        <w:tc>
          <w:tcPr>
            <w:tcW w:w="5328" w:type="dxa"/>
          </w:tcPr>
          <w:p w14:paraId="3A0A73EF" w14:textId="565EDE03" w:rsidR="00924CCD" w:rsidRPr="00243C89" w:rsidRDefault="00000000">
            <w:pPr>
              <w:pStyle w:val="P68B1DB1-Loendilik5"/>
              <w:numPr>
                <w:ilvl w:val="0"/>
                <w:numId w:val="39"/>
              </w:numPr>
              <w:ind w:left="338" w:hanging="284"/>
              <w:jc w:val="both"/>
              <w:rPr>
                <w:bCs/>
                <w:iCs/>
                <w:lang w:val="en-GB"/>
              </w:rPr>
            </w:pPr>
            <w:r w:rsidRPr="00243C89">
              <w:rPr>
                <w:lang w:val="en-GB"/>
              </w:rPr>
              <w:t>Preference for green solutions</w:t>
            </w:r>
          </w:p>
          <w:p w14:paraId="1077F5DB" w14:textId="77777777" w:rsidR="00924CCD" w:rsidRPr="00243C89" w:rsidRDefault="00924CCD">
            <w:pPr>
              <w:pStyle w:val="ListParagraph"/>
              <w:ind w:left="338"/>
              <w:jc w:val="both"/>
              <w:rPr>
                <w:rFonts w:ascii="Arial" w:hAnsi="Arial" w:cs="Arial"/>
                <w:b/>
                <w:bCs/>
                <w:iCs/>
                <w:sz w:val="22"/>
                <w:szCs w:val="22"/>
                <w:lang w:val="en-GB"/>
              </w:rPr>
            </w:pPr>
          </w:p>
          <w:p w14:paraId="3E0E6E4B" w14:textId="6D9FC12A" w:rsidR="00924CCD" w:rsidRPr="00243C89" w:rsidRDefault="00000000">
            <w:pPr>
              <w:pStyle w:val="P68B1DB1-Normaallaad2"/>
              <w:jc w:val="both"/>
              <w:rPr>
                <w:iCs/>
                <w:lang w:val="en-GB"/>
              </w:rPr>
            </w:pPr>
            <w:r w:rsidRPr="00243C89">
              <w:rPr>
                <w:lang w:val="en-GB"/>
              </w:rPr>
              <w:t xml:space="preserve">The tenderer must give priority to green solutions in the performance of the </w:t>
            </w:r>
            <w:r w:rsidR="00E85FAD" w:rsidRPr="00243C89">
              <w:rPr>
                <w:lang w:val="en-GB"/>
              </w:rPr>
              <w:t>Agreement</w:t>
            </w:r>
            <w:r w:rsidRPr="00243C89">
              <w:rPr>
                <w:lang w:val="en-GB"/>
              </w:rPr>
              <w:t>, such as:</w:t>
            </w:r>
          </w:p>
          <w:p w14:paraId="768BB044" w14:textId="50709126" w:rsidR="00924CCD" w:rsidRPr="00243C89" w:rsidRDefault="00000000">
            <w:pPr>
              <w:pStyle w:val="P68B1DB1-Normaallaad2"/>
              <w:ind w:firstLine="43"/>
              <w:jc w:val="both"/>
              <w:rPr>
                <w:iCs/>
                <w:lang w:val="en-GB"/>
              </w:rPr>
            </w:pPr>
            <w:r w:rsidRPr="00243C89">
              <w:rPr>
                <w:lang w:val="en-GB"/>
              </w:rPr>
              <w:t xml:space="preserve">1) </w:t>
            </w:r>
            <w:r w:rsidR="005D480C" w:rsidRPr="00243C89">
              <w:rPr>
                <w:lang w:val="en-GB"/>
              </w:rPr>
              <w:t xml:space="preserve">hold </w:t>
            </w:r>
            <w:r w:rsidRPr="00243C89">
              <w:rPr>
                <w:lang w:val="en-GB"/>
              </w:rPr>
              <w:t xml:space="preserve">work meetings and other meetings online, if possible, in order to reduce, in particular, the carbon footprint resulting from excessive </w:t>
            </w:r>
            <w:r w:rsidR="005D480C" w:rsidRPr="00243C89">
              <w:rPr>
                <w:lang w:val="en-GB"/>
              </w:rPr>
              <w:t xml:space="preserve">use of </w:t>
            </w:r>
            <w:r w:rsidRPr="00243C89">
              <w:rPr>
                <w:lang w:val="en-GB"/>
              </w:rPr>
              <w:t>transport;</w:t>
            </w:r>
          </w:p>
          <w:p w14:paraId="69D4A4F4" w14:textId="2571326A" w:rsidR="00924CCD" w:rsidRPr="00243C89" w:rsidRDefault="00000000">
            <w:pPr>
              <w:pStyle w:val="P68B1DB1-Normaallaad2"/>
              <w:ind w:firstLine="43"/>
              <w:jc w:val="both"/>
              <w:rPr>
                <w:iCs/>
                <w:lang w:val="en-GB"/>
              </w:rPr>
            </w:pPr>
            <w:r w:rsidRPr="00243C89">
              <w:rPr>
                <w:lang w:val="en-GB"/>
              </w:rPr>
              <w:t xml:space="preserve">2) avoid unnecessary printing of documents and, </w:t>
            </w:r>
            <w:r w:rsidR="005C310B" w:rsidRPr="00243C89">
              <w:rPr>
                <w:lang w:val="en-GB"/>
              </w:rPr>
              <w:t xml:space="preserve">where </w:t>
            </w:r>
            <w:r w:rsidRPr="00243C89">
              <w:rPr>
                <w:lang w:val="en-GB"/>
              </w:rPr>
              <w:t xml:space="preserve">possible, </w:t>
            </w:r>
            <w:r w:rsidR="005C310B" w:rsidRPr="00243C89">
              <w:rPr>
                <w:lang w:val="en-GB"/>
              </w:rPr>
              <w:t>giv</w:t>
            </w:r>
            <w:r w:rsidR="006A0AC4" w:rsidRPr="00243C89">
              <w:rPr>
                <w:lang w:val="en-GB"/>
              </w:rPr>
              <w:t>e</w:t>
            </w:r>
            <w:r w:rsidR="005C310B" w:rsidRPr="00243C89">
              <w:rPr>
                <w:lang w:val="en-GB"/>
              </w:rPr>
              <w:t xml:space="preserve"> </w:t>
            </w:r>
            <w:r w:rsidRPr="00243C89">
              <w:rPr>
                <w:lang w:val="en-GB"/>
              </w:rPr>
              <w:t>preference to materials in digital form;</w:t>
            </w:r>
          </w:p>
          <w:p w14:paraId="4888E4C9" w14:textId="02A7DAE3" w:rsidR="00924CCD" w:rsidRPr="00243C89" w:rsidRDefault="00000000">
            <w:pPr>
              <w:pStyle w:val="P68B1DB1-Normaallaad2"/>
              <w:ind w:firstLine="43"/>
              <w:jc w:val="both"/>
              <w:rPr>
                <w:iCs/>
                <w:lang w:val="en-GB"/>
              </w:rPr>
            </w:pPr>
            <w:r w:rsidRPr="00243C89">
              <w:rPr>
                <w:lang w:val="en-GB"/>
              </w:rPr>
              <w:t xml:space="preserve">3) the materials to be transmitted in digital form must be stored and transmitted in optimal </w:t>
            </w:r>
            <w:r w:rsidR="006A0AC4" w:rsidRPr="00243C89">
              <w:rPr>
                <w:lang w:val="en-GB"/>
              </w:rPr>
              <w:t xml:space="preserve">size </w:t>
            </w:r>
            <w:r w:rsidRPr="00243C89">
              <w:rPr>
                <w:lang w:val="en-GB"/>
              </w:rPr>
              <w:t>in order to avoid unnecessarily large data files and thus reduce digital pollution;</w:t>
            </w:r>
          </w:p>
          <w:p w14:paraId="6A101A05" w14:textId="1E296B3F" w:rsidR="00924CCD" w:rsidRPr="00243C89" w:rsidRDefault="00000000">
            <w:pPr>
              <w:pStyle w:val="P68B1DB1-Normaallaad2"/>
              <w:ind w:firstLine="43"/>
              <w:jc w:val="both"/>
              <w:rPr>
                <w:iCs/>
                <w:lang w:val="en-GB"/>
              </w:rPr>
            </w:pPr>
            <w:r w:rsidRPr="00243C89">
              <w:rPr>
                <w:lang w:val="en-GB"/>
              </w:rPr>
              <w:t xml:space="preserve">4) delete redundant digital materials, such as draft files, working documents </w:t>
            </w:r>
            <w:r w:rsidR="00C2441F" w:rsidRPr="00243C89">
              <w:rPr>
                <w:lang w:val="en-GB"/>
              </w:rPr>
              <w:t xml:space="preserve">that are </w:t>
            </w:r>
            <w:r w:rsidRPr="00243C89">
              <w:rPr>
                <w:lang w:val="en-GB"/>
              </w:rPr>
              <w:t xml:space="preserve">not </w:t>
            </w:r>
            <w:r w:rsidR="00C2441F" w:rsidRPr="00243C89">
              <w:rPr>
                <w:lang w:val="en-GB"/>
              </w:rPr>
              <w:t xml:space="preserve">required </w:t>
            </w:r>
            <w:r w:rsidRPr="00243C89">
              <w:rPr>
                <w:lang w:val="en-GB"/>
              </w:rPr>
              <w:t xml:space="preserve">for preservation, etc., after the performance of the contract, because the </w:t>
            </w:r>
            <w:r w:rsidR="004E6AF3" w:rsidRPr="00243C89">
              <w:rPr>
                <w:lang w:val="en-GB"/>
              </w:rPr>
              <w:t xml:space="preserve">unnecessary </w:t>
            </w:r>
            <w:r w:rsidRPr="00243C89">
              <w:rPr>
                <w:lang w:val="en-GB"/>
              </w:rPr>
              <w:t xml:space="preserve">storage of files on IT servers has a </w:t>
            </w:r>
            <w:r w:rsidR="002860A1" w:rsidRPr="00243C89">
              <w:rPr>
                <w:lang w:val="en-GB"/>
              </w:rPr>
              <w:t xml:space="preserve">detrimental </w:t>
            </w:r>
            <w:r w:rsidRPr="00243C89">
              <w:rPr>
                <w:lang w:val="en-GB"/>
              </w:rPr>
              <w:t>effect on the environment and increases digital pollution.</w:t>
            </w:r>
          </w:p>
          <w:p w14:paraId="0696FBB2" w14:textId="77777777" w:rsidR="00924CCD" w:rsidRPr="00243C89" w:rsidRDefault="00924CCD">
            <w:pPr>
              <w:pStyle w:val="ListParagraph"/>
              <w:ind w:firstLine="43"/>
              <w:jc w:val="both"/>
              <w:rPr>
                <w:rFonts w:ascii="Arial" w:hAnsi="Arial" w:cs="Arial"/>
                <w:iCs/>
                <w:sz w:val="22"/>
                <w:szCs w:val="22"/>
                <w:lang w:val="en-GB"/>
              </w:rPr>
            </w:pPr>
          </w:p>
          <w:p w14:paraId="147EFA5E" w14:textId="1A8DF950" w:rsidR="00924CCD" w:rsidRPr="00243C89" w:rsidRDefault="00924CCD">
            <w:pPr>
              <w:pStyle w:val="ListParagraph"/>
              <w:ind w:firstLine="43"/>
              <w:jc w:val="both"/>
              <w:rPr>
                <w:rFonts w:ascii="Arial" w:hAnsi="Arial" w:cs="Arial"/>
                <w:iCs/>
                <w:sz w:val="22"/>
                <w:szCs w:val="22"/>
                <w:lang w:val="en-GB"/>
              </w:rPr>
            </w:pPr>
          </w:p>
        </w:tc>
      </w:tr>
      <w:tr w:rsidR="00924CCD" w:rsidRPr="00243C89" w14:paraId="1E2864BE" w14:textId="77777777">
        <w:trPr>
          <w:trHeight w:val="871"/>
        </w:trPr>
        <w:tc>
          <w:tcPr>
            <w:tcW w:w="645" w:type="dxa"/>
          </w:tcPr>
          <w:p w14:paraId="5C03354D" w14:textId="431CE254" w:rsidR="00924CCD" w:rsidRPr="00243C89" w:rsidRDefault="00000000">
            <w:pPr>
              <w:pStyle w:val="P68B1DB1-Normaallaad2"/>
              <w:spacing w:after="60"/>
              <w:jc w:val="both"/>
              <w:rPr>
                <w:lang w:val="en-GB"/>
              </w:rPr>
            </w:pPr>
            <w:r w:rsidRPr="00243C89">
              <w:rPr>
                <w:lang w:val="en-GB"/>
              </w:rPr>
              <w:t>1.10</w:t>
            </w:r>
          </w:p>
        </w:tc>
        <w:tc>
          <w:tcPr>
            <w:tcW w:w="3016" w:type="dxa"/>
          </w:tcPr>
          <w:p w14:paraId="0220AE08" w14:textId="251FFCC5" w:rsidR="00924CCD" w:rsidRPr="00243C89" w:rsidRDefault="00000000">
            <w:pPr>
              <w:pStyle w:val="P68B1DB1-Normaallaad2"/>
              <w:spacing w:after="60"/>
              <w:jc w:val="both"/>
              <w:rPr>
                <w:lang w:val="en-GB"/>
              </w:rPr>
            </w:pPr>
            <w:r w:rsidRPr="00243C89">
              <w:rPr>
                <w:lang w:val="en-GB"/>
              </w:rPr>
              <w:t>Assessment criteria</w:t>
            </w:r>
          </w:p>
        </w:tc>
        <w:tc>
          <w:tcPr>
            <w:tcW w:w="5328" w:type="dxa"/>
          </w:tcPr>
          <w:p w14:paraId="19A0C87D" w14:textId="54802741" w:rsidR="00924CCD" w:rsidRPr="00243C89" w:rsidRDefault="00A94AA1">
            <w:pPr>
              <w:pStyle w:val="P68B1DB1-Normaallaad3"/>
              <w:jc w:val="both"/>
              <w:rPr>
                <w:lang w:val="en-GB"/>
              </w:rPr>
            </w:pPr>
            <w:r w:rsidRPr="00243C89">
              <w:rPr>
                <w:lang w:val="en-GB"/>
              </w:rPr>
              <w:t>Economic advantage.</w:t>
            </w:r>
          </w:p>
          <w:p w14:paraId="0D1BBA96" w14:textId="5F2E9F62" w:rsidR="00924CCD" w:rsidRPr="00243C89" w:rsidRDefault="00000000">
            <w:pPr>
              <w:pStyle w:val="P68B1DB1-Normaallaad3"/>
              <w:jc w:val="both"/>
              <w:rPr>
                <w:lang w:val="en-GB"/>
              </w:rPr>
            </w:pPr>
            <w:r w:rsidRPr="00243C89">
              <w:rPr>
                <w:lang w:val="en-GB"/>
              </w:rPr>
              <w:t xml:space="preserve">The </w:t>
            </w:r>
            <w:r w:rsidR="00930062" w:rsidRPr="00243C89">
              <w:rPr>
                <w:lang w:val="en-GB"/>
              </w:rPr>
              <w:t>Contracting Authority</w:t>
            </w:r>
            <w:r w:rsidRPr="00243C89">
              <w:rPr>
                <w:lang w:val="en-GB"/>
              </w:rPr>
              <w:t xml:space="preserve"> shall evaluate the admissible tenders </w:t>
            </w:r>
            <w:r w:rsidR="00281700" w:rsidRPr="00243C89">
              <w:rPr>
                <w:lang w:val="en-GB"/>
              </w:rPr>
              <w:t xml:space="preserve">using </w:t>
            </w:r>
            <w:r w:rsidRPr="00243C89">
              <w:rPr>
                <w:lang w:val="en-GB"/>
              </w:rPr>
              <w:t>a 100-point system (the accuracy of the evaluation shall be two decimal places):</w:t>
            </w:r>
          </w:p>
          <w:p w14:paraId="265D4FAB" w14:textId="77777777" w:rsidR="00924CCD" w:rsidRPr="00243C89" w:rsidRDefault="00924CCD">
            <w:pPr>
              <w:jc w:val="both"/>
              <w:rPr>
                <w:rFonts w:ascii="Arial" w:eastAsia="Arial" w:hAnsi="Arial" w:cs="Arial"/>
                <w:sz w:val="22"/>
                <w:szCs w:val="22"/>
                <w:lang w:val="en-GB"/>
              </w:rPr>
            </w:pPr>
          </w:p>
          <w:p w14:paraId="7BD1B972" w14:textId="77777777" w:rsidR="00924CCD" w:rsidRPr="00243C89" w:rsidRDefault="00000000">
            <w:pPr>
              <w:pStyle w:val="P68B1DB1-Normaallaad3"/>
              <w:jc w:val="both"/>
              <w:rPr>
                <w:lang w:val="en-GB"/>
              </w:rPr>
            </w:pPr>
            <w:r w:rsidRPr="00243C89">
              <w:rPr>
                <w:b/>
                <w:lang w:val="en-GB"/>
              </w:rPr>
              <w:t>1) Total value of the tender (maximum 80 points).</w:t>
            </w:r>
          </w:p>
          <w:p w14:paraId="37C44A05" w14:textId="6C8BE6FF" w:rsidR="00924CCD" w:rsidRPr="00243C89" w:rsidRDefault="00000000">
            <w:pPr>
              <w:pStyle w:val="P68B1DB1-Normaallaad3"/>
              <w:jc w:val="both"/>
              <w:rPr>
                <w:lang w:val="en-GB"/>
              </w:rPr>
            </w:pPr>
            <w:r w:rsidRPr="00243C89">
              <w:rPr>
                <w:lang w:val="en-GB"/>
              </w:rPr>
              <w:t xml:space="preserve">‘Total value of the tender’, for which the tender value (excluding VAT) is the lowest, i.e. the lowest is the best. The value points of the other admissible tenders shall be calculated in accordance with the following formula: </w:t>
            </w:r>
            <w:r w:rsidR="00281700" w:rsidRPr="00243C89">
              <w:rPr>
                <w:lang w:val="en-GB"/>
              </w:rPr>
              <w:t>‘</w:t>
            </w:r>
            <w:r w:rsidRPr="00243C89">
              <w:rPr>
                <w:lang w:val="en-GB"/>
              </w:rPr>
              <w:t>criterion points</w:t>
            </w:r>
            <w:r w:rsidR="00281700" w:rsidRPr="00243C89">
              <w:rPr>
                <w:lang w:val="en-GB"/>
              </w:rPr>
              <w:t>’ –</w:t>
            </w:r>
            <w:r w:rsidRPr="00243C89">
              <w:rPr>
                <w:lang w:val="en-GB"/>
              </w:rPr>
              <w:t xml:space="preserve"> </w:t>
            </w:r>
            <w:r w:rsidR="00281700" w:rsidRPr="00243C89">
              <w:rPr>
                <w:lang w:val="en-GB"/>
              </w:rPr>
              <w:t>(‘</w:t>
            </w:r>
            <w:r w:rsidRPr="00243C89">
              <w:rPr>
                <w:lang w:val="en-GB"/>
              </w:rPr>
              <w:t>value of the tender to be evaluated</w:t>
            </w:r>
            <w:r w:rsidR="00281700" w:rsidRPr="00243C89">
              <w:rPr>
                <w:lang w:val="en-GB"/>
              </w:rPr>
              <w:t>’ –</w:t>
            </w:r>
            <w:r w:rsidRPr="00243C89">
              <w:rPr>
                <w:lang w:val="en-GB"/>
              </w:rPr>
              <w:t xml:space="preserve"> </w:t>
            </w:r>
            <w:r w:rsidR="00281700" w:rsidRPr="00243C89">
              <w:rPr>
                <w:lang w:val="en-GB"/>
              </w:rPr>
              <w:t>‘</w:t>
            </w:r>
            <w:r w:rsidRPr="00243C89">
              <w:rPr>
                <w:lang w:val="en-GB"/>
              </w:rPr>
              <w:t>lowest tender value</w:t>
            </w:r>
            <w:r w:rsidR="00281700" w:rsidRPr="00243C89">
              <w:rPr>
                <w:lang w:val="en-GB"/>
              </w:rPr>
              <w:t xml:space="preserve">’) </w:t>
            </w:r>
            <w:r w:rsidRPr="00243C89">
              <w:rPr>
                <w:lang w:val="en-GB"/>
              </w:rPr>
              <w:t xml:space="preserve">/ (shared) </w:t>
            </w:r>
            <w:r w:rsidR="00281700" w:rsidRPr="00243C89">
              <w:rPr>
                <w:lang w:val="en-GB"/>
              </w:rPr>
              <w:t>‘</w:t>
            </w:r>
            <w:r w:rsidRPr="00243C89">
              <w:rPr>
                <w:lang w:val="en-GB"/>
              </w:rPr>
              <w:t>maximum value</w:t>
            </w:r>
            <w:r w:rsidR="00281700" w:rsidRPr="00243C89">
              <w:rPr>
                <w:lang w:val="en-GB"/>
              </w:rPr>
              <w:t xml:space="preserve">’ </w:t>
            </w:r>
            <w:r w:rsidRPr="00243C89">
              <w:rPr>
                <w:lang w:val="en-GB"/>
              </w:rPr>
              <w:t>x (multiple) criteria points</w:t>
            </w:r>
            <w:r w:rsidRPr="00243C89">
              <w:rPr>
                <w:i/>
                <w:lang w:val="en-GB"/>
              </w:rPr>
              <w:t>.</w:t>
            </w:r>
          </w:p>
          <w:p w14:paraId="5EE4CB81" w14:textId="77777777" w:rsidR="00924CCD" w:rsidRPr="00243C89" w:rsidRDefault="00924CCD">
            <w:pPr>
              <w:jc w:val="both"/>
              <w:rPr>
                <w:rFonts w:ascii="Arial" w:eastAsia="Arial" w:hAnsi="Arial" w:cs="Arial"/>
                <w:sz w:val="22"/>
                <w:szCs w:val="22"/>
                <w:lang w:val="en-GB"/>
              </w:rPr>
            </w:pPr>
          </w:p>
          <w:p w14:paraId="0058622F" w14:textId="4E29A751" w:rsidR="00924CCD" w:rsidRPr="00243C89" w:rsidRDefault="00000000">
            <w:pPr>
              <w:pStyle w:val="P68B1DB1-Normaallaad6"/>
              <w:rPr>
                <w:bCs/>
                <w:lang w:val="en-GB"/>
              </w:rPr>
            </w:pPr>
            <w:r w:rsidRPr="00243C89">
              <w:rPr>
                <w:lang w:val="en-GB"/>
              </w:rPr>
              <w:t xml:space="preserve">2) </w:t>
            </w:r>
            <w:r w:rsidR="000275BF" w:rsidRPr="00243C89">
              <w:rPr>
                <w:lang w:val="en-GB"/>
              </w:rPr>
              <w:t>Train</w:t>
            </w:r>
            <w:r w:rsidR="00F15944" w:rsidRPr="00243C89">
              <w:rPr>
                <w:lang w:val="en-GB"/>
              </w:rPr>
              <w:t>ing provider’</w:t>
            </w:r>
            <w:r w:rsidR="000275BF" w:rsidRPr="00243C89">
              <w:rPr>
                <w:lang w:val="en-GB"/>
              </w:rPr>
              <w:t xml:space="preserve">s </w:t>
            </w:r>
            <w:r w:rsidRPr="00243C89">
              <w:rPr>
                <w:lang w:val="en-GB"/>
              </w:rPr>
              <w:t>years of experience with Barnahus service (maximum 20 value points)</w:t>
            </w:r>
          </w:p>
          <w:p w14:paraId="59BB59AC" w14:textId="2FFF774B" w:rsidR="00924CCD" w:rsidRPr="00243C89" w:rsidRDefault="00000000">
            <w:pPr>
              <w:pStyle w:val="P68B1DB1-Normaallaad3"/>
              <w:jc w:val="both"/>
              <w:rPr>
                <w:lang w:val="en-GB"/>
              </w:rPr>
            </w:pPr>
            <w:r w:rsidRPr="00243C89">
              <w:rPr>
                <w:lang w:val="en-GB"/>
              </w:rPr>
              <w:t xml:space="preserve">The tender with the highest value will receive the maximum number of points. Other tenders will receive proportionally less points and will be calculated using the formula: </w:t>
            </w:r>
            <w:r w:rsidR="00F15944" w:rsidRPr="00243C89">
              <w:rPr>
                <w:lang w:val="en-GB"/>
              </w:rPr>
              <w:t>‘</w:t>
            </w:r>
            <w:r w:rsidRPr="00243C89">
              <w:rPr>
                <w:lang w:val="en-GB"/>
              </w:rPr>
              <w:t>tender value</w:t>
            </w:r>
            <w:r w:rsidR="00F15944" w:rsidRPr="00243C89">
              <w:rPr>
                <w:lang w:val="en-GB"/>
              </w:rPr>
              <w:t xml:space="preserve">’ </w:t>
            </w:r>
            <w:r w:rsidRPr="00243C89">
              <w:rPr>
                <w:lang w:val="en-GB"/>
              </w:rPr>
              <w:t xml:space="preserve">/ </w:t>
            </w:r>
            <w:r w:rsidR="00F15944" w:rsidRPr="00243C89">
              <w:rPr>
                <w:lang w:val="en-GB"/>
              </w:rPr>
              <w:t>‘</w:t>
            </w:r>
            <w:r w:rsidRPr="00243C89">
              <w:rPr>
                <w:lang w:val="en-GB"/>
              </w:rPr>
              <w:t>maximum value</w:t>
            </w:r>
            <w:r w:rsidR="00F15944" w:rsidRPr="00243C89">
              <w:rPr>
                <w:lang w:val="en-GB"/>
              </w:rPr>
              <w:t xml:space="preserve">’ </w:t>
            </w:r>
            <w:r w:rsidRPr="00243C89">
              <w:rPr>
                <w:lang w:val="en-GB"/>
              </w:rPr>
              <w:t xml:space="preserve">* </w:t>
            </w:r>
            <w:r w:rsidR="00F15944" w:rsidRPr="00243C89">
              <w:rPr>
                <w:lang w:val="en-GB"/>
              </w:rPr>
              <w:t>‘</w:t>
            </w:r>
            <w:r w:rsidRPr="00243C89">
              <w:rPr>
                <w:lang w:val="en-GB"/>
              </w:rPr>
              <w:t>weighting</w:t>
            </w:r>
            <w:r w:rsidR="00F15944" w:rsidRPr="00243C89">
              <w:rPr>
                <w:lang w:val="en-GB"/>
              </w:rPr>
              <w:t>’.</w:t>
            </w:r>
          </w:p>
          <w:p w14:paraId="3AC12154" w14:textId="26D9D060" w:rsidR="00924CCD" w:rsidRPr="00243C89" w:rsidRDefault="00924CCD">
            <w:pPr>
              <w:jc w:val="both"/>
              <w:rPr>
                <w:rFonts w:ascii="Arial" w:hAnsi="Arial" w:cs="Arial"/>
                <w:sz w:val="22"/>
                <w:szCs w:val="22"/>
                <w:lang w:val="en-GB"/>
              </w:rPr>
            </w:pPr>
          </w:p>
        </w:tc>
      </w:tr>
    </w:tbl>
    <w:p w14:paraId="6CBA19E7" w14:textId="77777777" w:rsidR="00924CCD" w:rsidRPr="00243C89" w:rsidRDefault="00924CCD">
      <w:pPr>
        <w:spacing w:after="60"/>
        <w:jc w:val="both"/>
        <w:rPr>
          <w:rFonts w:ascii="Arial" w:hAnsi="Arial" w:cs="Arial"/>
          <w:b/>
          <w:sz w:val="22"/>
          <w:szCs w:val="22"/>
          <w:lang w:val="en-GB"/>
        </w:rPr>
      </w:pPr>
    </w:p>
    <w:p w14:paraId="2E469A96" w14:textId="77777777" w:rsidR="00924CCD" w:rsidRPr="00243C89" w:rsidRDefault="00000000">
      <w:pPr>
        <w:pStyle w:val="P68B1DB1-Normaallaad1"/>
        <w:jc w:val="both"/>
        <w:rPr>
          <w:lang w:val="en-GB"/>
        </w:rPr>
      </w:pPr>
      <w:r w:rsidRPr="00243C89">
        <w:rPr>
          <w:lang w:val="en-GB"/>
        </w:rPr>
        <w:t>2. Instructions for preparing and submitting a tender</w:t>
      </w:r>
    </w:p>
    <w:p w14:paraId="65A52B0E" w14:textId="7690487E" w:rsidR="00924CCD" w:rsidRPr="00243C89" w:rsidRDefault="00000000">
      <w:pPr>
        <w:pStyle w:val="P68B1DB1-Loendilik4"/>
        <w:numPr>
          <w:ilvl w:val="1"/>
          <w:numId w:val="22"/>
        </w:numPr>
        <w:ind w:left="567" w:hanging="567"/>
        <w:contextualSpacing w:val="0"/>
        <w:jc w:val="both"/>
        <w:rPr>
          <w:lang w:val="en-GB"/>
        </w:rPr>
      </w:pPr>
      <w:r w:rsidRPr="00243C89">
        <w:rPr>
          <w:u w:val="single"/>
          <w:lang w:val="en-GB"/>
        </w:rPr>
        <w:t>Verification of work volumes.</w:t>
      </w:r>
      <w:r w:rsidRPr="00243C89">
        <w:rPr>
          <w:lang w:val="en-GB"/>
        </w:rPr>
        <w:t xml:space="preserve"> The tenderer undertakes to check the description, quantities and volumes of the services and works set out in the invitation to tender and to prepare the tender so that the value of the tender includes all the works and services (including, if necessary, supplies) necessary for the proper performance of the </w:t>
      </w:r>
      <w:r w:rsidR="00C85500" w:rsidRPr="00243C89">
        <w:rPr>
          <w:lang w:val="en-GB"/>
        </w:rPr>
        <w:t xml:space="preserve">Agreement </w:t>
      </w:r>
      <w:r w:rsidRPr="00243C89">
        <w:rPr>
          <w:lang w:val="en-GB"/>
        </w:rPr>
        <w:t xml:space="preserve">and the achievement of the objectives described in the invitation to tender. </w:t>
      </w:r>
    </w:p>
    <w:p w14:paraId="0C71ABA1" w14:textId="77777777" w:rsidR="00924CCD" w:rsidRPr="00243C89" w:rsidRDefault="00000000">
      <w:pPr>
        <w:pStyle w:val="P68B1DB1-Loendilik4"/>
        <w:numPr>
          <w:ilvl w:val="1"/>
          <w:numId w:val="22"/>
        </w:numPr>
        <w:ind w:left="567" w:hanging="567"/>
        <w:contextualSpacing w:val="0"/>
        <w:jc w:val="both"/>
        <w:rPr>
          <w:lang w:val="en-GB"/>
        </w:rPr>
      </w:pPr>
      <w:r w:rsidRPr="00243C89">
        <w:rPr>
          <w:u w:val="single"/>
          <w:lang w:val="en-GB"/>
        </w:rPr>
        <w:t>Costs of preparing the tender.</w:t>
      </w:r>
      <w:r w:rsidRPr="00243C89">
        <w:rPr>
          <w:lang w:val="en-GB"/>
        </w:rPr>
        <w:t xml:space="preserve"> The tenderer shall bear all costs relating to the preparation and submission of the tender. The currency of the tender shall be the euro.</w:t>
      </w:r>
    </w:p>
    <w:p w14:paraId="7FD1F668" w14:textId="291D50EC" w:rsidR="00924CCD" w:rsidRPr="00243C89" w:rsidRDefault="00000000">
      <w:pPr>
        <w:pStyle w:val="P68B1DB1-Loendilik4"/>
        <w:numPr>
          <w:ilvl w:val="1"/>
          <w:numId w:val="22"/>
        </w:numPr>
        <w:ind w:left="567" w:right="-8" w:hanging="567"/>
        <w:contextualSpacing w:val="0"/>
        <w:jc w:val="both"/>
        <w:rPr>
          <w:lang w:val="en-GB"/>
        </w:rPr>
      </w:pPr>
      <w:r w:rsidRPr="00243C89">
        <w:rPr>
          <w:u w:val="single"/>
          <w:lang w:val="en-GB"/>
        </w:rPr>
        <w:lastRenderedPageBreak/>
        <w:t>Obtaining additional information on the invitation to tender (RHS 46)</w:t>
      </w:r>
      <w:r w:rsidRPr="00243C89">
        <w:rPr>
          <w:lang w:val="en-GB"/>
        </w:rPr>
        <w:t xml:space="preserve">. Explanations and further information on the invitation to tender can be obtained by forwarding the question to the e-mail address indicated in </w:t>
      </w:r>
      <w:r w:rsidR="00C85500" w:rsidRPr="00243C89">
        <w:rPr>
          <w:lang w:val="en-GB"/>
        </w:rPr>
        <w:t xml:space="preserve">clause </w:t>
      </w:r>
      <w:r w:rsidRPr="00243C89">
        <w:rPr>
          <w:lang w:val="en-GB"/>
        </w:rPr>
        <w:t xml:space="preserve">1.3. The </w:t>
      </w:r>
      <w:r w:rsidR="00930062" w:rsidRPr="00243C89">
        <w:rPr>
          <w:lang w:val="en-GB"/>
        </w:rPr>
        <w:t>Contracting Authority</w:t>
      </w:r>
      <w:r w:rsidRPr="00243C89">
        <w:rPr>
          <w:lang w:val="en-GB"/>
        </w:rPr>
        <w:t xml:space="preserve"> shall submit explanations concerning the invitation to tender by e-mail to all persons who have received the invitation to tender within </w:t>
      </w:r>
      <w:r w:rsidR="00C85500" w:rsidRPr="00243C89">
        <w:rPr>
          <w:lang w:val="en-GB"/>
        </w:rPr>
        <w:t xml:space="preserve">three </w:t>
      </w:r>
      <w:r w:rsidRPr="00243C89">
        <w:rPr>
          <w:lang w:val="en-GB"/>
        </w:rPr>
        <w:t>(</w:t>
      </w:r>
      <w:r w:rsidR="00C85500" w:rsidRPr="00243C89">
        <w:rPr>
          <w:lang w:val="en-GB"/>
        </w:rPr>
        <w:t>3</w:t>
      </w:r>
      <w:r w:rsidRPr="00243C89">
        <w:rPr>
          <w:lang w:val="en-GB"/>
        </w:rPr>
        <w:t xml:space="preserve">) working days as of the receipt of the request for explanation. The </w:t>
      </w:r>
      <w:r w:rsidR="00930062" w:rsidRPr="00243C89">
        <w:rPr>
          <w:lang w:val="en-GB"/>
        </w:rPr>
        <w:t>Contracting Authority</w:t>
      </w:r>
      <w:r w:rsidRPr="00243C89">
        <w:rPr>
          <w:lang w:val="en-GB"/>
        </w:rPr>
        <w:t xml:space="preserve"> is not required to respond to requests for explanations if at least one</w:t>
      </w:r>
      <w:r w:rsidR="00C85500" w:rsidRPr="00243C89">
        <w:rPr>
          <w:lang w:val="en-GB"/>
        </w:rPr>
        <w:t xml:space="preserve"> (1)</w:t>
      </w:r>
      <w:r w:rsidRPr="00243C89">
        <w:rPr>
          <w:lang w:val="en-GB"/>
        </w:rPr>
        <w:t xml:space="preserve"> working day does not elapse between the receipt of the request for explanation and the deadline for submission of tenders.</w:t>
      </w:r>
    </w:p>
    <w:p w14:paraId="34E6F974" w14:textId="55B2B956" w:rsidR="00924CCD" w:rsidRPr="00243C89" w:rsidRDefault="00000000">
      <w:pPr>
        <w:pStyle w:val="P68B1DB1-Loendilik4"/>
        <w:numPr>
          <w:ilvl w:val="2"/>
          <w:numId w:val="22"/>
        </w:numPr>
        <w:ind w:left="1134" w:right="-8" w:hanging="567"/>
        <w:contextualSpacing w:val="0"/>
        <w:jc w:val="both"/>
        <w:rPr>
          <w:lang w:val="en-GB"/>
        </w:rPr>
      </w:pPr>
      <w:r w:rsidRPr="00243C89">
        <w:rPr>
          <w:lang w:val="en-GB"/>
        </w:rPr>
        <w:t xml:space="preserve">The </w:t>
      </w:r>
      <w:r w:rsidR="00930062" w:rsidRPr="00243C89">
        <w:rPr>
          <w:lang w:val="en-GB"/>
        </w:rPr>
        <w:t>Contracting Authority</w:t>
      </w:r>
      <w:r w:rsidRPr="00243C89">
        <w:rPr>
          <w:lang w:val="en-GB"/>
        </w:rPr>
        <w:t xml:space="preserve"> shall not be liable for any delays, failures or interruptions caused by circumstances outside the control of the </w:t>
      </w:r>
      <w:r w:rsidR="00930062" w:rsidRPr="00243C89">
        <w:rPr>
          <w:lang w:val="en-GB"/>
        </w:rPr>
        <w:t>Contracting Authority</w:t>
      </w:r>
      <w:r w:rsidRPr="00243C89">
        <w:rPr>
          <w:lang w:val="en-GB"/>
        </w:rPr>
        <w:t xml:space="preserve">, such as force majeure, power outages, disruptions in connection with the telephone or </w:t>
      </w:r>
      <w:r w:rsidR="007F0C2D" w:rsidRPr="00243C89">
        <w:rPr>
          <w:lang w:val="en-GB"/>
        </w:rPr>
        <w:t xml:space="preserve">Internet </w:t>
      </w:r>
      <w:r w:rsidRPr="00243C89">
        <w:rPr>
          <w:lang w:val="en-GB"/>
        </w:rPr>
        <w:t xml:space="preserve">connection of the tenderer or the </w:t>
      </w:r>
      <w:r w:rsidR="00930062" w:rsidRPr="00243C89">
        <w:rPr>
          <w:lang w:val="en-GB"/>
        </w:rPr>
        <w:t>Contracting Authority</w:t>
      </w:r>
      <w:r w:rsidRPr="00243C89">
        <w:rPr>
          <w:lang w:val="en-GB"/>
        </w:rPr>
        <w:t xml:space="preserve"> or in the operation of other electronic devices and tools, including software.</w:t>
      </w:r>
    </w:p>
    <w:p w14:paraId="1BFCB2C8" w14:textId="11F76BED" w:rsidR="00924CCD" w:rsidRPr="00243C89" w:rsidRDefault="00000000">
      <w:pPr>
        <w:pStyle w:val="P68B1DB1-Loendilik4"/>
        <w:numPr>
          <w:ilvl w:val="1"/>
          <w:numId w:val="22"/>
        </w:numPr>
        <w:ind w:left="567" w:right="-8" w:hanging="567"/>
        <w:jc w:val="both"/>
        <w:rPr>
          <w:lang w:val="en-GB"/>
        </w:rPr>
      </w:pPr>
      <w:r w:rsidRPr="00243C89">
        <w:rPr>
          <w:u w:val="single"/>
          <w:lang w:val="en-GB"/>
        </w:rPr>
        <w:t>Equivalence:</w:t>
      </w:r>
      <w:r w:rsidRPr="00243C89">
        <w:rPr>
          <w:lang w:val="en-GB"/>
        </w:rPr>
        <w:t xml:space="preserve"> Any reference made by the </w:t>
      </w:r>
      <w:r w:rsidR="00930062" w:rsidRPr="00243C89">
        <w:rPr>
          <w:lang w:val="en-GB"/>
        </w:rPr>
        <w:t>Contracting Authority</w:t>
      </w:r>
      <w:r w:rsidRPr="00243C89">
        <w:rPr>
          <w:lang w:val="en-GB"/>
        </w:rPr>
        <w:t xml:space="preserve"> in the technical specifications to one of the grounds referred to in </w:t>
      </w:r>
      <w:r w:rsidR="00EE1CEC" w:rsidRPr="00243C89">
        <w:rPr>
          <w:lang w:val="en-GB"/>
        </w:rPr>
        <w:t xml:space="preserve">subsection </w:t>
      </w:r>
      <w:r w:rsidRPr="00243C89">
        <w:rPr>
          <w:lang w:val="en-GB"/>
        </w:rPr>
        <w:t>88</w:t>
      </w:r>
      <w:r w:rsidR="00EE1CEC" w:rsidRPr="00243C89">
        <w:rPr>
          <w:lang w:val="en-GB"/>
        </w:rPr>
        <w:t xml:space="preserve"> </w:t>
      </w:r>
      <w:r w:rsidRPr="00243C89">
        <w:rPr>
          <w:lang w:val="en-GB"/>
        </w:rPr>
        <w:t xml:space="preserve">(2) of the </w:t>
      </w:r>
      <w:r w:rsidR="00EE1CEC" w:rsidRPr="00243C89">
        <w:rPr>
          <w:lang w:val="en-GB"/>
        </w:rPr>
        <w:t xml:space="preserve">Public Procurement Act </w:t>
      </w:r>
      <w:r w:rsidRPr="00243C89">
        <w:rPr>
          <w:lang w:val="en-GB"/>
        </w:rPr>
        <w:t>(standards, technical approvals, technical control systems, etc.) as a criterion for the compliance of a tender with the technical specifications must be read as supplemented by the indication ‘or equivalent’. Any reference by a procuring entity in a technical specification to a source, process, trade mark, patent, type, origin or mode of production shall be read as supplemented by the indication ‘or equivalent’. Equivalence means exactly the same performance and functionality. In case of equivalence, the tenderer must provide supporting documents in the tender.</w:t>
      </w:r>
    </w:p>
    <w:p w14:paraId="48635BC0" w14:textId="7E31C16A" w:rsidR="00924CCD" w:rsidRPr="00243C89" w:rsidRDefault="00EE1CEC">
      <w:pPr>
        <w:pStyle w:val="P68B1DB1-Loendilik4"/>
        <w:numPr>
          <w:ilvl w:val="1"/>
          <w:numId w:val="22"/>
        </w:numPr>
        <w:ind w:left="567" w:right="-8" w:hanging="567"/>
        <w:contextualSpacing w:val="0"/>
        <w:jc w:val="both"/>
        <w:rPr>
          <w:lang w:val="en-GB"/>
        </w:rPr>
      </w:pPr>
      <w:r w:rsidRPr="00243C89">
        <w:rPr>
          <w:u w:val="single"/>
          <w:lang w:val="en-GB"/>
        </w:rPr>
        <w:t xml:space="preserve">Trade </w:t>
      </w:r>
      <w:r w:rsidR="00000000" w:rsidRPr="00243C89">
        <w:rPr>
          <w:u w:val="single"/>
          <w:lang w:val="en-GB"/>
        </w:rPr>
        <w:t xml:space="preserve">secret. </w:t>
      </w:r>
      <w:r w:rsidR="00000000" w:rsidRPr="00243C89">
        <w:rPr>
          <w:lang w:val="en-GB"/>
        </w:rPr>
        <w:t xml:space="preserve">The tenderer shall indicate in the tender, in a clearly distinguishable manner, which information is the trade secret of the tenderer and the reasons for classifying the information as such. The classification of information as a trade secret is based on the provisions of subsection 5 (2) of the </w:t>
      </w:r>
      <w:r w:rsidRPr="00243C89">
        <w:rPr>
          <w:lang w:val="en-GB"/>
        </w:rPr>
        <w:t>Restriction of Unfair Competition and Protection of Business Secrets Act</w:t>
      </w:r>
      <w:r w:rsidR="00000000" w:rsidRPr="00243C89">
        <w:rPr>
          <w:lang w:val="en-GB"/>
        </w:rPr>
        <w:t xml:space="preserve">. The </w:t>
      </w:r>
      <w:r w:rsidR="00930062" w:rsidRPr="00243C89">
        <w:rPr>
          <w:lang w:val="en-GB"/>
        </w:rPr>
        <w:t>Contracting Authority</w:t>
      </w:r>
      <w:r w:rsidR="00000000" w:rsidRPr="00243C89">
        <w:rPr>
          <w:lang w:val="en-GB"/>
        </w:rPr>
        <w:t xml:space="preserve"> draws attention to the fact that the tender of the successful tenderer is public (</w:t>
      </w:r>
      <w:r w:rsidR="00135544" w:rsidRPr="00243C89">
        <w:rPr>
          <w:lang w:val="en-GB"/>
        </w:rPr>
        <w:t xml:space="preserve">subsection </w:t>
      </w:r>
      <w:r w:rsidR="00000000" w:rsidRPr="00243C89">
        <w:rPr>
          <w:lang w:val="en-GB"/>
        </w:rPr>
        <w:t>110</w:t>
      </w:r>
      <w:r w:rsidR="00135544" w:rsidRPr="00243C89">
        <w:rPr>
          <w:lang w:val="en-GB"/>
        </w:rPr>
        <w:t xml:space="preserve"> </w:t>
      </w:r>
      <w:r w:rsidR="00000000" w:rsidRPr="00243C89">
        <w:rPr>
          <w:lang w:val="en-GB"/>
        </w:rPr>
        <w:t xml:space="preserve">(5) of the Public Procurement Act), except in the part rightly defined as </w:t>
      </w:r>
      <w:r w:rsidR="00135544" w:rsidRPr="00243C89">
        <w:rPr>
          <w:lang w:val="en-GB"/>
        </w:rPr>
        <w:t xml:space="preserve">a trade </w:t>
      </w:r>
      <w:r w:rsidR="00000000" w:rsidRPr="00243C89">
        <w:rPr>
          <w:lang w:val="en-GB"/>
        </w:rPr>
        <w:t xml:space="preserve">secret by the tenderer. The tenderer may not state as a trade secret: 1) the value of the tender or the contributions; 2) in the case of service contracts, other numerical parameters characterising the tender which meet the </w:t>
      </w:r>
      <w:r w:rsidR="003B15AC" w:rsidRPr="00243C89">
        <w:rPr>
          <w:lang w:val="en-GB"/>
        </w:rPr>
        <w:t xml:space="preserve">assessment </w:t>
      </w:r>
      <w:r w:rsidR="00000000" w:rsidRPr="00243C89">
        <w:rPr>
          <w:lang w:val="en-GB"/>
        </w:rPr>
        <w:t xml:space="preserve">criteria in addition to those specified in clause 1. The </w:t>
      </w:r>
      <w:r w:rsidR="00930062" w:rsidRPr="00243C89">
        <w:rPr>
          <w:lang w:val="en-GB"/>
        </w:rPr>
        <w:t>Contracting Authority</w:t>
      </w:r>
      <w:r w:rsidR="00000000" w:rsidRPr="00243C89">
        <w:rPr>
          <w:lang w:val="en-GB"/>
        </w:rPr>
        <w:t xml:space="preserve"> does not disclose the content of tenders in the part covered by trade secrets (</w:t>
      </w:r>
      <w:r w:rsidR="00F31583" w:rsidRPr="009D217F">
        <w:rPr>
          <w:lang w:val="en-GB"/>
        </w:rPr>
        <w:t xml:space="preserve">§ </w:t>
      </w:r>
      <w:r w:rsidR="00000000" w:rsidRPr="00243C89">
        <w:rPr>
          <w:lang w:val="en-GB"/>
        </w:rPr>
        <w:t>46</w:t>
      </w:r>
      <w:r w:rsidR="00000000" w:rsidRPr="00243C89">
        <w:rPr>
          <w:vertAlign w:val="superscript"/>
          <w:lang w:val="en-GB"/>
        </w:rPr>
        <w:t>1</w:t>
      </w:r>
      <w:r w:rsidR="00F31583" w:rsidRPr="00243C89">
        <w:rPr>
          <w:lang w:val="en-GB"/>
        </w:rPr>
        <w:t xml:space="preserve"> of the Public Procurement Act</w:t>
      </w:r>
      <w:r w:rsidR="00000000" w:rsidRPr="00243C89">
        <w:rPr>
          <w:lang w:val="en-GB"/>
        </w:rPr>
        <w:t>).</w:t>
      </w:r>
    </w:p>
    <w:p w14:paraId="6232DE97" w14:textId="77777777" w:rsidR="00924CCD" w:rsidRPr="00243C89" w:rsidRDefault="00924CCD">
      <w:pPr>
        <w:pStyle w:val="ListParagraph"/>
        <w:ind w:left="567" w:right="-8"/>
        <w:contextualSpacing w:val="0"/>
        <w:jc w:val="both"/>
        <w:rPr>
          <w:rFonts w:ascii="Arial" w:hAnsi="Arial" w:cs="Arial"/>
          <w:b/>
          <w:bCs/>
          <w:sz w:val="22"/>
          <w:szCs w:val="22"/>
          <w:lang w:val="en-GB"/>
        </w:rPr>
      </w:pPr>
    </w:p>
    <w:p w14:paraId="37A54477" w14:textId="6964FC60" w:rsidR="00924CCD" w:rsidRPr="00243C89" w:rsidRDefault="00000000">
      <w:pPr>
        <w:pStyle w:val="P68B1DB1-Loendilik5"/>
        <w:numPr>
          <w:ilvl w:val="0"/>
          <w:numId w:val="22"/>
        </w:numPr>
        <w:ind w:left="567" w:right="-8" w:hanging="567"/>
        <w:contextualSpacing w:val="0"/>
        <w:jc w:val="both"/>
        <w:rPr>
          <w:bCs/>
          <w:lang w:val="en-GB"/>
        </w:rPr>
      </w:pPr>
      <w:r w:rsidRPr="00243C89">
        <w:rPr>
          <w:lang w:val="en-GB"/>
        </w:rPr>
        <w:t>Small purchase procedure</w:t>
      </w:r>
    </w:p>
    <w:p w14:paraId="5A405D26" w14:textId="4CB277C8" w:rsidR="00924CCD" w:rsidRPr="00243C89" w:rsidRDefault="00000000">
      <w:pPr>
        <w:pStyle w:val="P68B1DB1-Loendilik4"/>
        <w:numPr>
          <w:ilvl w:val="1"/>
          <w:numId w:val="22"/>
        </w:numPr>
        <w:ind w:left="567" w:right="-8" w:hanging="567"/>
        <w:contextualSpacing w:val="0"/>
        <w:jc w:val="both"/>
        <w:rPr>
          <w:lang w:val="en-GB"/>
        </w:rPr>
      </w:pPr>
      <w:r w:rsidRPr="00243C89">
        <w:rPr>
          <w:u w:val="single"/>
          <w:lang w:val="en-GB"/>
        </w:rPr>
        <w:t>Opening of tenders.</w:t>
      </w:r>
      <w:r w:rsidRPr="00243C89">
        <w:rPr>
          <w:lang w:val="en-GB"/>
        </w:rPr>
        <w:t xml:space="preserve"> The opening of tenders shall not be public and no </w:t>
      </w:r>
      <w:r w:rsidR="00E04247" w:rsidRPr="00243C89">
        <w:rPr>
          <w:lang w:val="en-GB"/>
        </w:rPr>
        <w:t xml:space="preserve">minutes of the opening of tenders </w:t>
      </w:r>
      <w:r w:rsidRPr="00243C89">
        <w:rPr>
          <w:lang w:val="en-GB"/>
        </w:rPr>
        <w:t>shall be drawn up.</w:t>
      </w:r>
    </w:p>
    <w:p w14:paraId="7242656D" w14:textId="167953F2" w:rsidR="00924CCD" w:rsidRPr="00243C89" w:rsidRDefault="00000000">
      <w:pPr>
        <w:pStyle w:val="P68B1DB1-Loendilik4"/>
        <w:numPr>
          <w:ilvl w:val="1"/>
          <w:numId w:val="22"/>
        </w:numPr>
        <w:ind w:left="567" w:right="-8" w:hanging="567"/>
        <w:contextualSpacing w:val="0"/>
        <w:jc w:val="both"/>
        <w:rPr>
          <w:lang w:val="en-GB"/>
        </w:rPr>
      </w:pPr>
      <w:r w:rsidRPr="00243C89">
        <w:rPr>
          <w:u w:val="single"/>
          <w:lang w:val="en-GB"/>
        </w:rPr>
        <w:t>Negotiations.</w:t>
      </w:r>
      <w:r w:rsidRPr="00243C89">
        <w:rPr>
          <w:lang w:val="en-GB"/>
        </w:rPr>
        <w:t xml:space="preserve"> If necessary, the </w:t>
      </w:r>
      <w:r w:rsidR="00930062" w:rsidRPr="00243C89">
        <w:rPr>
          <w:lang w:val="en-GB"/>
        </w:rPr>
        <w:t>Contracting Authority</w:t>
      </w:r>
      <w:r w:rsidRPr="00243C89">
        <w:rPr>
          <w:lang w:val="en-GB"/>
        </w:rPr>
        <w:t xml:space="preserve"> has the right to negotiate tenders with tenderers. Negotiations are not mandatory for the </w:t>
      </w:r>
      <w:r w:rsidR="00930062" w:rsidRPr="00243C89">
        <w:rPr>
          <w:lang w:val="en-GB"/>
        </w:rPr>
        <w:t>Contracting Authority</w:t>
      </w:r>
      <w:r w:rsidRPr="00243C89">
        <w:rPr>
          <w:lang w:val="en-GB"/>
        </w:rPr>
        <w:t xml:space="preserve"> and if the </w:t>
      </w:r>
      <w:r w:rsidR="00930062" w:rsidRPr="00243C89">
        <w:rPr>
          <w:lang w:val="en-GB"/>
        </w:rPr>
        <w:t>Contracting Authority</w:t>
      </w:r>
      <w:r w:rsidRPr="00243C89">
        <w:rPr>
          <w:lang w:val="en-GB"/>
        </w:rPr>
        <w:t xml:space="preserve"> does not have any questions regarding the tender, the </w:t>
      </w:r>
      <w:r w:rsidR="00930062" w:rsidRPr="00243C89">
        <w:rPr>
          <w:lang w:val="en-GB"/>
        </w:rPr>
        <w:t>Contracting Authority</w:t>
      </w:r>
      <w:r w:rsidRPr="00243C89">
        <w:rPr>
          <w:lang w:val="en-GB"/>
        </w:rPr>
        <w:t xml:space="preserve"> may make procurement decisions without negotiations. If the </w:t>
      </w:r>
      <w:r w:rsidR="00930062" w:rsidRPr="00243C89">
        <w:rPr>
          <w:lang w:val="en-GB"/>
        </w:rPr>
        <w:t>Contracting Authority</w:t>
      </w:r>
      <w:r w:rsidRPr="00243C89">
        <w:rPr>
          <w:lang w:val="en-GB"/>
        </w:rPr>
        <w:t xml:space="preserve"> deems it necessary to conduct negotiations, the </w:t>
      </w:r>
      <w:r w:rsidR="00930062" w:rsidRPr="00243C89">
        <w:rPr>
          <w:lang w:val="en-GB"/>
        </w:rPr>
        <w:t>Contracting Authority</w:t>
      </w:r>
      <w:r w:rsidRPr="00243C89">
        <w:rPr>
          <w:lang w:val="en-GB"/>
        </w:rPr>
        <w:t xml:space="preserve"> shall ensure equal treatment of tenderers in the conduct</w:t>
      </w:r>
      <w:r w:rsidR="00682D4B" w:rsidRPr="00243C89">
        <w:rPr>
          <w:lang w:val="en-GB"/>
        </w:rPr>
        <w:t>ing</w:t>
      </w:r>
      <w:r w:rsidRPr="00243C89">
        <w:rPr>
          <w:lang w:val="en-GB"/>
        </w:rPr>
        <w:t xml:space="preserve"> of negotiations and proceed from the following procedure:</w:t>
      </w:r>
    </w:p>
    <w:p w14:paraId="7839F2A4" w14:textId="68548EC1" w:rsidR="00924CCD" w:rsidRPr="00243C89" w:rsidRDefault="00000000">
      <w:pPr>
        <w:pStyle w:val="P68B1DB1-Loendilik4"/>
        <w:numPr>
          <w:ilvl w:val="2"/>
          <w:numId w:val="22"/>
        </w:numPr>
        <w:ind w:left="1134" w:right="-8" w:hanging="567"/>
        <w:contextualSpacing w:val="0"/>
        <w:jc w:val="both"/>
        <w:rPr>
          <w:lang w:val="en-GB"/>
        </w:rPr>
      </w:pPr>
      <w:r w:rsidRPr="00243C89">
        <w:rPr>
          <w:u w:val="single"/>
          <w:lang w:val="en-GB"/>
        </w:rPr>
        <w:t>Form of Negotiation.</w:t>
      </w:r>
      <w:r w:rsidRPr="00243C89">
        <w:rPr>
          <w:lang w:val="en-GB"/>
        </w:rPr>
        <w:t xml:space="preserve"> The </w:t>
      </w:r>
      <w:r w:rsidR="00930062" w:rsidRPr="00243C89">
        <w:rPr>
          <w:lang w:val="en-GB"/>
        </w:rPr>
        <w:t>Contracting Authority</w:t>
      </w:r>
      <w:r w:rsidRPr="00243C89">
        <w:rPr>
          <w:lang w:val="en-GB"/>
        </w:rPr>
        <w:t xml:space="preserve"> has the right to negotiate by e-mail or orally. In the case of oral negotiations, minutes of the negotiations shall be drawn up and signed by at least one representative of the </w:t>
      </w:r>
      <w:r w:rsidR="00930062" w:rsidRPr="00243C89">
        <w:rPr>
          <w:lang w:val="en-GB"/>
        </w:rPr>
        <w:t>Contracting Authority</w:t>
      </w:r>
      <w:r w:rsidRPr="00243C89">
        <w:rPr>
          <w:lang w:val="en-GB"/>
        </w:rPr>
        <w:t xml:space="preserve"> and at least one representative of the tenderer;</w:t>
      </w:r>
    </w:p>
    <w:p w14:paraId="621E7B15" w14:textId="60AACCB6" w:rsidR="00924CCD" w:rsidRPr="00243C89" w:rsidRDefault="00000000">
      <w:pPr>
        <w:pStyle w:val="P68B1DB1-Loendilik4"/>
        <w:numPr>
          <w:ilvl w:val="2"/>
          <w:numId w:val="22"/>
        </w:numPr>
        <w:ind w:left="1134" w:right="-8" w:hanging="567"/>
        <w:contextualSpacing w:val="0"/>
        <w:jc w:val="both"/>
        <w:rPr>
          <w:lang w:val="en-GB"/>
        </w:rPr>
      </w:pPr>
      <w:r w:rsidRPr="00243C89">
        <w:rPr>
          <w:u w:val="single"/>
          <w:lang w:val="en-GB"/>
        </w:rPr>
        <w:t>Content of the negotiations.</w:t>
      </w:r>
      <w:r w:rsidRPr="00243C89">
        <w:rPr>
          <w:lang w:val="en-GB"/>
        </w:rPr>
        <w:t xml:space="preserve"> The terms and conditions that are the subject of the negotiations are determined by</w:t>
      </w:r>
      <w:r w:rsidR="00E04247" w:rsidRPr="00243C89">
        <w:rPr>
          <w:lang w:val="en-GB"/>
        </w:rPr>
        <w:t xml:space="preserve"> </w:t>
      </w:r>
      <w:r w:rsidRPr="00243C89">
        <w:rPr>
          <w:lang w:val="en-GB"/>
        </w:rPr>
        <w:softHyphen/>
        <w:t xml:space="preserve">the </w:t>
      </w:r>
      <w:r w:rsidR="00930062" w:rsidRPr="00243C89">
        <w:rPr>
          <w:lang w:val="en-GB"/>
        </w:rPr>
        <w:t>Contracting Authority</w:t>
      </w:r>
      <w:r w:rsidRPr="00243C89">
        <w:rPr>
          <w:lang w:val="en-GB"/>
        </w:rPr>
        <w:t xml:space="preserve">; it is permitted to negotiate both the content of the tender and the value of the tender. The </w:t>
      </w:r>
      <w:r w:rsidR="00930062" w:rsidRPr="00243C89">
        <w:rPr>
          <w:lang w:val="en-GB"/>
        </w:rPr>
        <w:t>Contracting Authority</w:t>
      </w:r>
      <w:r w:rsidRPr="00243C89">
        <w:rPr>
          <w:lang w:val="en-GB"/>
        </w:rPr>
        <w:t xml:space="preserve"> has the right to abandon or reduce the volume or quantities of one or more services, works or supplies described in the tender, regardless of the reason (for example, the total value of the tender exceeds the contracting </w:t>
      </w:r>
      <w:r w:rsidR="00BF70F7" w:rsidRPr="00243C89">
        <w:rPr>
          <w:lang w:val="en-GB"/>
        </w:rPr>
        <w:lastRenderedPageBreak/>
        <w:t xml:space="preserve">authority’s </w:t>
      </w:r>
      <w:r w:rsidRPr="00243C89">
        <w:rPr>
          <w:lang w:val="en-GB"/>
        </w:rPr>
        <w:t>budgetary possibilities or other reasons), while also completely abandoning the ordering or purchasing of such services, works or supplies or, if necessary, ordering such services, works or supplies from third parties;</w:t>
      </w:r>
    </w:p>
    <w:p w14:paraId="4664B80F" w14:textId="77777777" w:rsidR="00924CCD" w:rsidRPr="00243C89" w:rsidRDefault="00000000">
      <w:pPr>
        <w:pStyle w:val="P68B1DB1-Loendilik4"/>
        <w:numPr>
          <w:ilvl w:val="2"/>
          <w:numId w:val="22"/>
        </w:numPr>
        <w:ind w:left="1134" w:right="-8" w:hanging="567"/>
        <w:contextualSpacing w:val="0"/>
        <w:jc w:val="both"/>
        <w:rPr>
          <w:lang w:val="en-GB"/>
        </w:rPr>
      </w:pPr>
      <w:r w:rsidRPr="00243C89">
        <w:rPr>
          <w:u w:val="single"/>
          <w:lang w:val="en-GB"/>
        </w:rPr>
        <w:t>Confidentiality</w:t>
      </w:r>
      <w:r w:rsidRPr="00243C89">
        <w:rPr>
          <w:lang w:val="en-GB"/>
        </w:rPr>
        <w:t>. Negotiations shall be confidential and their content shall not be disclosed to other tenderers or other persons, except as provided by law;</w:t>
      </w:r>
    </w:p>
    <w:p w14:paraId="20F5F2B7" w14:textId="35AB174B" w:rsidR="00924CCD" w:rsidRPr="00243C89" w:rsidRDefault="00000000">
      <w:pPr>
        <w:pStyle w:val="P68B1DB1-Loendilik4"/>
        <w:numPr>
          <w:ilvl w:val="2"/>
          <w:numId w:val="22"/>
        </w:numPr>
        <w:ind w:left="1134" w:right="-8" w:hanging="567"/>
        <w:contextualSpacing w:val="0"/>
        <w:jc w:val="both"/>
        <w:rPr>
          <w:lang w:val="en-GB"/>
        </w:rPr>
      </w:pPr>
      <w:r w:rsidRPr="00243C89">
        <w:rPr>
          <w:u w:val="single"/>
          <w:lang w:val="en-GB"/>
        </w:rPr>
        <w:t>Submission of a revised tender.</w:t>
      </w:r>
      <w:r w:rsidRPr="00243C89">
        <w:rPr>
          <w:lang w:val="en-GB"/>
        </w:rPr>
        <w:t xml:space="preserve"> During the negotiations, the </w:t>
      </w:r>
      <w:r w:rsidR="00930062" w:rsidRPr="00243C89">
        <w:rPr>
          <w:lang w:val="en-GB"/>
        </w:rPr>
        <w:t>Contracting Authority</w:t>
      </w:r>
      <w:r w:rsidRPr="00243C89">
        <w:rPr>
          <w:lang w:val="en-GB"/>
        </w:rPr>
        <w:t xml:space="preserve"> has the right to invite tenderers to submit a revised tender. If the tenderer fails to submit a revised tender by the deadline set by the </w:t>
      </w:r>
      <w:r w:rsidR="00930062" w:rsidRPr="00243C89">
        <w:rPr>
          <w:lang w:val="en-GB"/>
        </w:rPr>
        <w:t>Contracting Authority</w:t>
      </w:r>
      <w:r w:rsidRPr="00243C89">
        <w:rPr>
          <w:lang w:val="en-GB"/>
        </w:rPr>
        <w:t>, the tender initially submitted by the tenderer is deemed to be valid.</w:t>
      </w:r>
    </w:p>
    <w:p w14:paraId="5665D124" w14:textId="7FA96BCA" w:rsidR="00924CCD" w:rsidRPr="00243C89" w:rsidRDefault="00000000">
      <w:pPr>
        <w:pStyle w:val="P68B1DB1-Loendilik4"/>
        <w:numPr>
          <w:ilvl w:val="1"/>
          <w:numId w:val="22"/>
        </w:numPr>
        <w:ind w:right="-8"/>
        <w:jc w:val="both"/>
        <w:rPr>
          <w:lang w:val="en-GB"/>
        </w:rPr>
      </w:pPr>
      <w:r w:rsidRPr="00243C89">
        <w:rPr>
          <w:u w:val="single"/>
          <w:lang w:val="en-GB"/>
        </w:rPr>
        <w:t>Removal of the bidder.</w:t>
      </w:r>
      <w:r w:rsidRPr="00243C89">
        <w:rPr>
          <w:lang w:val="en-GB"/>
        </w:rPr>
        <w:t xml:space="preserve"> The </w:t>
      </w:r>
      <w:r w:rsidR="00930062" w:rsidRPr="00243C89">
        <w:rPr>
          <w:lang w:val="en-GB"/>
        </w:rPr>
        <w:t>Contracting Authority</w:t>
      </w:r>
      <w:r w:rsidRPr="00243C89">
        <w:rPr>
          <w:lang w:val="en-GB"/>
        </w:rPr>
        <w:t xml:space="preserve"> has the right to exclude a tenderer from the procurement procedure and declare a tender non-compliant in the case of: </w:t>
      </w:r>
    </w:p>
    <w:p w14:paraId="1B152B18" w14:textId="21991288" w:rsidR="00924CCD" w:rsidRPr="00243C89" w:rsidRDefault="00000000">
      <w:pPr>
        <w:pStyle w:val="P68B1DB1-Loendilik4"/>
        <w:tabs>
          <w:tab w:val="left" w:pos="1276"/>
        </w:tabs>
        <w:ind w:right="-8"/>
        <w:jc w:val="both"/>
        <w:rPr>
          <w:lang w:val="en-GB"/>
        </w:rPr>
      </w:pPr>
      <w:r w:rsidRPr="00243C89">
        <w:rPr>
          <w:lang w:val="en-GB"/>
        </w:rPr>
        <w:t>3.3.1.</w:t>
      </w:r>
      <w:r w:rsidRPr="00243C89">
        <w:rPr>
          <w:lang w:val="en-GB"/>
        </w:rPr>
        <w:tab/>
        <w:t xml:space="preserve">if the tenderer has provided false information to the </w:t>
      </w:r>
      <w:r w:rsidR="00930062" w:rsidRPr="00243C89">
        <w:rPr>
          <w:lang w:val="en-GB"/>
        </w:rPr>
        <w:t>Contracting Authority</w:t>
      </w:r>
      <w:r w:rsidRPr="00243C89">
        <w:rPr>
          <w:lang w:val="en-GB"/>
        </w:rPr>
        <w:t xml:space="preserve">; </w:t>
      </w:r>
    </w:p>
    <w:p w14:paraId="592EFA96" w14:textId="30B55500" w:rsidR="00924CCD" w:rsidRPr="00243C89" w:rsidRDefault="00000000">
      <w:pPr>
        <w:pStyle w:val="P68B1DB1-Loendilik4"/>
        <w:tabs>
          <w:tab w:val="left" w:pos="1276"/>
        </w:tabs>
        <w:ind w:left="1134" w:right="-8" w:hanging="425"/>
        <w:jc w:val="both"/>
        <w:rPr>
          <w:lang w:val="en-GB"/>
        </w:rPr>
      </w:pPr>
      <w:r w:rsidRPr="00243C89">
        <w:rPr>
          <w:lang w:val="en-GB"/>
        </w:rPr>
        <w:t>3.3.3.</w:t>
      </w:r>
      <w:r w:rsidRPr="00243C89">
        <w:rPr>
          <w:lang w:val="en-GB"/>
        </w:rPr>
        <w:tab/>
        <w:t xml:space="preserve">If, at any time during the procurement procedure, the </w:t>
      </w:r>
      <w:r w:rsidR="00930062" w:rsidRPr="00243C89">
        <w:rPr>
          <w:lang w:val="en-GB"/>
        </w:rPr>
        <w:t>Contracting Authority</w:t>
      </w:r>
      <w:r w:rsidRPr="00243C89">
        <w:rPr>
          <w:lang w:val="en-GB"/>
        </w:rPr>
        <w:t xml:space="preserve"> establishes that the tenderer has a ground</w:t>
      </w:r>
      <w:r w:rsidR="007D27E8" w:rsidRPr="00243C89">
        <w:rPr>
          <w:lang w:val="en-GB"/>
        </w:rPr>
        <w:t>s</w:t>
      </w:r>
      <w:r w:rsidRPr="00243C89">
        <w:rPr>
          <w:lang w:val="en-GB"/>
        </w:rPr>
        <w:t xml:space="preserve"> for exclusion arising from tax arrears, it shall grant the tenderer at least three (3) working days for payment or deferral of the tax arrears. The </w:t>
      </w:r>
      <w:r w:rsidR="00930062" w:rsidRPr="00243C89">
        <w:rPr>
          <w:lang w:val="en-GB"/>
        </w:rPr>
        <w:t>Contracting Authority</w:t>
      </w:r>
      <w:r w:rsidRPr="00243C89">
        <w:rPr>
          <w:lang w:val="en-GB"/>
        </w:rPr>
        <w:t xml:space="preserve"> may extend the time limit granted to the tenderer.</w:t>
      </w:r>
    </w:p>
    <w:p w14:paraId="2824859B" w14:textId="0CE695AC" w:rsidR="00924CCD" w:rsidRPr="00243C89" w:rsidRDefault="00000000">
      <w:pPr>
        <w:pStyle w:val="P68B1DB1-phitekst27"/>
        <w:numPr>
          <w:ilvl w:val="1"/>
          <w:numId w:val="22"/>
        </w:numPr>
        <w:tabs>
          <w:tab w:val="num" w:pos="360"/>
        </w:tabs>
        <w:ind w:left="567" w:hanging="567"/>
        <w:jc w:val="both"/>
        <w:rPr>
          <w:lang w:val="en-GB"/>
        </w:rPr>
      </w:pPr>
      <w:r w:rsidRPr="00243C89">
        <w:rPr>
          <w:u w:val="single"/>
          <w:lang w:val="en-GB"/>
        </w:rPr>
        <w:t>Verification of conformity of tenders (</w:t>
      </w:r>
      <w:r w:rsidR="007D27E8" w:rsidRPr="009D217F">
        <w:rPr>
          <w:u w:val="single"/>
          <w:lang w:val="en-GB"/>
        </w:rPr>
        <w:t xml:space="preserve">§ </w:t>
      </w:r>
      <w:r w:rsidRPr="00243C89">
        <w:rPr>
          <w:u w:val="single"/>
          <w:lang w:val="en-GB"/>
        </w:rPr>
        <w:t xml:space="preserve">114 </w:t>
      </w:r>
      <w:r w:rsidR="007D27E8" w:rsidRPr="00243C89">
        <w:rPr>
          <w:u w:val="single"/>
          <w:lang w:val="en-GB"/>
        </w:rPr>
        <w:t>of the Public Procurement Act</w:t>
      </w:r>
      <w:r w:rsidRPr="00243C89">
        <w:rPr>
          <w:u w:val="single"/>
          <w:lang w:val="en-GB"/>
        </w:rPr>
        <w:t>).</w:t>
      </w:r>
      <w:r w:rsidRPr="00243C89">
        <w:rPr>
          <w:lang w:val="en-GB"/>
        </w:rPr>
        <w:t xml:space="preserve"> The </w:t>
      </w:r>
      <w:r w:rsidR="00930062" w:rsidRPr="00243C89">
        <w:rPr>
          <w:lang w:val="en-GB"/>
        </w:rPr>
        <w:t>Contracting Authority</w:t>
      </w:r>
      <w:r w:rsidRPr="00243C89">
        <w:rPr>
          <w:lang w:val="en-GB"/>
        </w:rPr>
        <w:t xml:space="preserve"> shall accept a tender if it complies with the requirements set out in the invitation to tender or if it does not contain any substantive deviations from the conditions set out in the</w:t>
      </w:r>
      <w:r w:rsidR="007D27E8" w:rsidRPr="00243C89">
        <w:rPr>
          <w:lang w:val="en-GB"/>
        </w:rPr>
        <w:t xml:space="preserve"> </w:t>
      </w:r>
      <w:r w:rsidRPr="00243C89">
        <w:rPr>
          <w:lang w:val="en-GB"/>
        </w:rPr>
        <w:softHyphen/>
        <w:t>invitation to tender.</w:t>
      </w:r>
    </w:p>
    <w:p w14:paraId="1C26654D" w14:textId="0DE6E3E2" w:rsidR="00924CCD" w:rsidRPr="00243C89" w:rsidRDefault="00000000">
      <w:pPr>
        <w:pStyle w:val="P68B1DB1-Loendilik4"/>
        <w:numPr>
          <w:ilvl w:val="2"/>
          <w:numId w:val="22"/>
        </w:numPr>
        <w:ind w:left="1134" w:hanging="567"/>
        <w:rPr>
          <w:lang w:val="en-GB"/>
        </w:rPr>
      </w:pPr>
      <w:r w:rsidRPr="00243C89">
        <w:rPr>
          <w:lang w:val="en-GB"/>
        </w:rPr>
        <w:t xml:space="preserve">The </w:t>
      </w:r>
      <w:r w:rsidR="00930062" w:rsidRPr="00243C89">
        <w:rPr>
          <w:lang w:val="en-GB"/>
        </w:rPr>
        <w:t>Contracting Authority</w:t>
      </w:r>
      <w:r w:rsidRPr="00243C89">
        <w:rPr>
          <w:lang w:val="en-GB"/>
        </w:rPr>
        <w:t xml:space="preserve"> may use the reversed procedure provided for in </w:t>
      </w:r>
      <w:r w:rsidR="007D27E8" w:rsidRPr="00243C89">
        <w:rPr>
          <w:lang w:val="en-GB"/>
        </w:rPr>
        <w:t xml:space="preserve">subsection </w:t>
      </w:r>
      <w:r w:rsidRPr="00243C89">
        <w:rPr>
          <w:lang w:val="en-GB"/>
        </w:rPr>
        <w:t>52</w:t>
      </w:r>
      <w:r w:rsidR="007D27E8" w:rsidRPr="00243C89">
        <w:rPr>
          <w:lang w:val="en-GB"/>
        </w:rPr>
        <w:t xml:space="preserve"> </w:t>
      </w:r>
      <w:r w:rsidRPr="00243C89">
        <w:rPr>
          <w:lang w:val="en-GB"/>
        </w:rPr>
        <w:t xml:space="preserve">(3) of the </w:t>
      </w:r>
      <w:r w:rsidR="007D27E8" w:rsidRPr="00243C89">
        <w:rPr>
          <w:lang w:val="en-GB"/>
        </w:rPr>
        <w:t>Public Procurement Act</w:t>
      </w:r>
      <w:r w:rsidRPr="00243C89">
        <w:rPr>
          <w:lang w:val="en-GB"/>
        </w:rPr>
        <w:t>.</w:t>
      </w:r>
    </w:p>
    <w:p w14:paraId="0808F439" w14:textId="77777777" w:rsidR="00924CCD" w:rsidRPr="00243C89" w:rsidRDefault="00000000">
      <w:pPr>
        <w:pStyle w:val="P68B1DB1-Loendilik4"/>
        <w:numPr>
          <w:ilvl w:val="2"/>
          <w:numId w:val="22"/>
        </w:numPr>
        <w:ind w:left="1134" w:hanging="567"/>
        <w:rPr>
          <w:lang w:val="en-GB"/>
        </w:rPr>
      </w:pPr>
      <w:r w:rsidRPr="00243C89">
        <w:rPr>
          <w:lang w:val="en-GB"/>
        </w:rPr>
        <w:t>A tenderer whose tender has been rejected shall not participate in a subsequent procurement procedure.</w:t>
      </w:r>
    </w:p>
    <w:p w14:paraId="5A8DD97D" w14:textId="52FAFD72" w:rsidR="00924CCD" w:rsidRPr="00243C89" w:rsidRDefault="00000000">
      <w:pPr>
        <w:pStyle w:val="P68B1DB1-phitekst27"/>
        <w:numPr>
          <w:ilvl w:val="1"/>
          <w:numId w:val="22"/>
        </w:numPr>
        <w:ind w:left="567" w:hanging="567"/>
        <w:jc w:val="both"/>
        <w:rPr>
          <w:lang w:val="en-GB"/>
        </w:rPr>
      </w:pPr>
      <w:r w:rsidRPr="00243C89">
        <w:rPr>
          <w:u w:val="single"/>
          <w:lang w:val="en-GB"/>
        </w:rPr>
        <w:t xml:space="preserve">Rejection of all </w:t>
      </w:r>
      <w:r w:rsidR="00E4271C" w:rsidRPr="00243C89">
        <w:rPr>
          <w:u w:val="single"/>
          <w:lang w:val="en-GB"/>
        </w:rPr>
        <w:t xml:space="preserve">tenders </w:t>
      </w:r>
      <w:r w:rsidRPr="00243C89">
        <w:rPr>
          <w:u w:val="single"/>
          <w:lang w:val="en-GB"/>
        </w:rPr>
        <w:t>(</w:t>
      </w:r>
      <w:r w:rsidR="007D27E8" w:rsidRPr="009D217F">
        <w:rPr>
          <w:u w:val="single"/>
          <w:lang w:val="en-GB"/>
        </w:rPr>
        <w:t xml:space="preserve">§ </w:t>
      </w:r>
      <w:r w:rsidRPr="00243C89">
        <w:rPr>
          <w:u w:val="single"/>
          <w:lang w:val="en-GB"/>
        </w:rPr>
        <w:t xml:space="preserve">116 </w:t>
      </w:r>
      <w:r w:rsidR="003B1E81" w:rsidRPr="00243C89">
        <w:rPr>
          <w:u w:val="single"/>
          <w:lang w:val="en-GB"/>
        </w:rPr>
        <w:t xml:space="preserve">of the </w:t>
      </w:r>
      <w:r w:rsidR="007D27E8" w:rsidRPr="00243C89">
        <w:rPr>
          <w:u w:val="single"/>
          <w:lang w:val="en-GB"/>
        </w:rPr>
        <w:t>Public Procurement Act</w:t>
      </w:r>
      <w:r w:rsidRPr="00243C89">
        <w:rPr>
          <w:u w:val="single"/>
          <w:lang w:val="en-GB"/>
        </w:rPr>
        <w:t>)</w:t>
      </w:r>
      <w:r w:rsidRPr="00243C89">
        <w:rPr>
          <w:lang w:val="en-GB"/>
        </w:rPr>
        <w:t xml:space="preserve">. The </w:t>
      </w:r>
      <w:r w:rsidR="00930062" w:rsidRPr="00243C89">
        <w:rPr>
          <w:lang w:val="en-GB"/>
        </w:rPr>
        <w:t>Contracting Authority</w:t>
      </w:r>
      <w:r w:rsidRPr="00243C89">
        <w:rPr>
          <w:lang w:val="en-GB"/>
        </w:rPr>
        <w:t xml:space="preserve"> may take a reasoned written decision rejecting all tenders for a public procurement at any time before the </w:t>
      </w:r>
      <w:r w:rsidR="00567FE3" w:rsidRPr="00243C89">
        <w:rPr>
          <w:lang w:val="en-GB"/>
        </w:rPr>
        <w:t>concluding</w:t>
      </w:r>
      <w:r w:rsidRPr="00243C89">
        <w:rPr>
          <w:lang w:val="en-GB"/>
        </w:rPr>
        <w:t xml:space="preserve"> the </w:t>
      </w:r>
      <w:r w:rsidR="00567FE3" w:rsidRPr="00243C89">
        <w:rPr>
          <w:lang w:val="en-GB"/>
        </w:rPr>
        <w:t>Agreement</w:t>
      </w:r>
      <w:r w:rsidR="00627206" w:rsidRPr="00243C89">
        <w:rPr>
          <w:lang w:val="en-GB"/>
        </w:rPr>
        <w:t>,</w:t>
      </w:r>
      <w:r w:rsidR="00567FE3" w:rsidRPr="00243C89">
        <w:rPr>
          <w:lang w:val="en-GB"/>
        </w:rPr>
        <w:t xml:space="preserve"> </w:t>
      </w:r>
      <w:r w:rsidRPr="00243C89">
        <w:rPr>
          <w:lang w:val="en-GB"/>
        </w:rPr>
        <w:t>if:</w:t>
      </w:r>
    </w:p>
    <w:p w14:paraId="0EDD85C0" w14:textId="01D9E598" w:rsidR="00924CCD" w:rsidRPr="00243C89" w:rsidRDefault="00000000">
      <w:pPr>
        <w:pStyle w:val="P68B1DB1-phitekst27"/>
        <w:numPr>
          <w:ilvl w:val="2"/>
          <w:numId w:val="22"/>
        </w:numPr>
        <w:ind w:left="1134" w:hanging="567"/>
        <w:jc w:val="both"/>
        <w:rPr>
          <w:lang w:val="en-GB"/>
        </w:rPr>
      </w:pPr>
      <w:r w:rsidRPr="00243C89">
        <w:rPr>
          <w:lang w:val="en-GB"/>
        </w:rPr>
        <w:t>it does not comply with the conditions set out in the procurement documents;</w:t>
      </w:r>
    </w:p>
    <w:p w14:paraId="6360DB75" w14:textId="68FBF572" w:rsidR="00924CCD" w:rsidRPr="00243C89" w:rsidRDefault="00000000">
      <w:pPr>
        <w:pStyle w:val="P68B1DB1-phitekst27"/>
        <w:numPr>
          <w:ilvl w:val="2"/>
          <w:numId w:val="22"/>
        </w:numPr>
        <w:ind w:left="1134" w:hanging="567"/>
        <w:jc w:val="both"/>
        <w:rPr>
          <w:lang w:val="en-GB"/>
        </w:rPr>
      </w:pPr>
      <w:r w:rsidRPr="00243C89">
        <w:rPr>
          <w:lang w:val="en-GB"/>
        </w:rPr>
        <w:t xml:space="preserve">the tenderer fails to provide the explanations requested by the </w:t>
      </w:r>
      <w:r w:rsidR="00930062" w:rsidRPr="00243C89">
        <w:rPr>
          <w:lang w:val="en-GB"/>
        </w:rPr>
        <w:t>Contracting Authority</w:t>
      </w:r>
      <w:r w:rsidRPr="00243C89">
        <w:rPr>
          <w:lang w:val="en-GB"/>
        </w:rPr>
        <w:t xml:space="preserve"> or if it is not possible to unequivocally assess the compliance of the tender with the conditions set out in the procurement documents on the basis of the explanations provided by the tenderer;</w:t>
      </w:r>
    </w:p>
    <w:p w14:paraId="15D00700" w14:textId="250417F8" w:rsidR="00924CCD" w:rsidRPr="00243C89" w:rsidRDefault="00000000">
      <w:pPr>
        <w:pStyle w:val="P68B1DB1-phitekst27"/>
        <w:numPr>
          <w:ilvl w:val="2"/>
          <w:numId w:val="22"/>
        </w:numPr>
        <w:ind w:left="1134" w:hanging="567"/>
        <w:jc w:val="both"/>
        <w:rPr>
          <w:lang w:val="en-GB"/>
        </w:rPr>
      </w:pPr>
      <w:r w:rsidRPr="00243C89">
        <w:rPr>
          <w:lang w:val="en-GB"/>
        </w:rPr>
        <w:t xml:space="preserve">the value of all tenders exceeds the estimated value of the </w:t>
      </w:r>
      <w:r w:rsidR="00627206" w:rsidRPr="00243C89">
        <w:rPr>
          <w:lang w:val="en-GB"/>
        </w:rPr>
        <w:t>Agreement</w:t>
      </w:r>
      <w:r w:rsidRPr="00243C89">
        <w:rPr>
          <w:lang w:val="en-GB"/>
        </w:rPr>
        <w:t>;</w:t>
      </w:r>
    </w:p>
    <w:p w14:paraId="68A94943" w14:textId="3755A198" w:rsidR="00924CCD" w:rsidRPr="00243C89" w:rsidRDefault="00000000">
      <w:pPr>
        <w:pStyle w:val="P68B1DB1-phitekst27"/>
        <w:numPr>
          <w:ilvl w:val="2"/>
          <w:numId w:val="22"/>
        </w:numPr>
        <w:ind w:left="1134" w:hanging="567"/>
        <w:jc w:val="both"/>
        <w:rPr>
          <w:lang w:val="en-GB"/>
        </w:rPr>
      </w:pPr>
      <w:r w:rsidRPr="00243C89">
        <w:rPr>
          <w:lang w:val="en-GB"/>
        </w:rPr>
        <w:t xml:space="preserve">during the course of the procurement procedure, the </w:t>
      </w:r>
      <w:r w:rsidR="00930062" w:rsidRPr="00243C89">
        <w:rPr>
          <w:lang w:val="en-GB"/>
        </w:rPr>
        <w:t>Contracting Authority</w:t>
      </w:r>
      <w:r w:rsidRPr="00243C89">
        <w:rPr>
          <w:lang w:val="en-GB"/>
        </w:rPr>
        <w:t xml:space="preserve"> has become aware of new circumstances which preclude or </w:t>
      </w:r>
      <w:r w:rsidR="004B6DCD" w:rsidRPr="00243C89">
        <w:rPr>
          <w:lang w:val="en-GB"/>
        </w:rPr>
        <w:t xml:space="preserve">make it </w:t>
      </w:r>
      <w:r w:rsidRPr="00243C89">
        <w:rPr>
          <w:lang w:val="en-GB"/>
        </w:rPr>
        <w:t xml:space="preserve">impractical for the </w:t>
      </w:r>
      <w:r w:rsidR="00930062" w:rsidRPr="00243C89">
        <w:rPr>
          <w:lang w:val="en-GB"/>
        </w:rPr>
        <w:t>Contracting Authority</w:t>
      </w:r>
      <w:r w:rsidRPr="00243C89">
        <w:rPr>
          <w:lang w:val="en-GB"/>
        </w:rPr>
        <w:t xml:space="preserve"> </w:t>
      </w:r>
      <w:r w:rsidR="00627206" w:rsidRPr="00243C89">
        <w:rPr>
          <w:lang w:val="en-GB"/>
        </w:rPr>
        <w:t xml:space="preserve">to complete the procurement procedure </w:t>
      </w:r>
      <w:r w:rsidRPr="00243C89">
        <w:rPr>
          <w:lang w:val="en-GB"/>
        </w:rPr>
        <w:t>under the conditions laid down in the procurement documents and the annexes thereto;</w:t>
      </w:r>
    </w:p>
    <w:p w14:paraId="416C8D5F" w14:textId="77777777" w:rsidR="00924CCD" w:rsidRPr="00243C89" w:rsidRDefault="00000000">
      <w:pPr>
        <w:pStyle w:val="P68B1DB1-phitekst27"/>
        <w:numPr>
          <w:ilvl w:val="2"/>
          <w:numId w:val="22"/>
        </w:numPr>
        <w:ind w:left="1134" w:hanging="567"/>
        <w:jc w:val="both"/>
        <w:rPr>
          <w:lang w:val="en-GB"/>
        </w:rPr>
      </w:pPr>
      <w:r w:rsidRPr="00243C89">
        <w:rPr>
          <w:lang w:val="en-GB"/>
        </w:rPr>
        <w:t>where inconsistencies in the procurement procedure cannot be remedied and, therefore, the procurement procedure cannot be lawfully concluded;</w:t>
      </w:r>
    </w:p>
    <w:p w14:paraId="642523CE" w14:textId="24EFBCA1" w:rsidR="00924CCD" w:rsidRPr="00243C89" w:rsidRDefault="00000000">
      <w:pPr>
        <w:pStyle w:val="P68B1DB1-phitekst27"/>
        <w:numPr>
          <w:ilvl w:val="2"/>
          <w:numId w:val="22"/>
        </w:numPr>
        <w:ind w:left="1134" w:hanging="567"/>
        <w:jc w:val="both"/>
        <w:rPr>
          <w:lang w:val="en-GB"/>
        </w:rPr>
      </w:pPr>
      <w:r w:rsidRPr="00243C89">
        <w:rPr>
          <w:lang w:val="en-GB"/>
        </w:rPr>
        <w:t>there is only one tender submitted or accepted which does not ensure effective exploitation of competition;</w:t>
      </w:r>
    </w:p>
    <w:p w14:paraId="5C89479C" w14:textId="6B252074" w:rsidR="00924CCD" w:rsidRPr="00243C89" w:rsidRDefault="00000000">
      <w:pPr>
        <w:pStyle w:val="P68B1DB1-phitekst27"/>
        <w:numPr>
          <w:ilvl w:val="2"/>
          <w:numId w:val="22"/>
        </w:numPr>
        <w:ind w:left="1134" w:hanging="567"/>
        <w:jc w:val="both"/>
        <w:rPr>
          <w:lang w:val="en-GB"/>
        </w:rPr>
      </w:pPr>
      <w:r w:rsidRPr="00243C89">
        <w:rPr>
          <w:lang w:val="en-GB"/>
        </w:rPr>
        <w:t xml:space="preserve">a tender whose value exceeds the threshold for simple procurement laid down in the </w:t>
      </w:r>
      <w:r w:rsidR="00D93D45" w:rsidRPr="00243C89">
        <w:rPr>
          <w:lang w:val="en-GB"/>
        </w:rPr>
        <w:t xml:space="preserve">Public Procurement Act </w:t>
      </w:r>
      <w:r w:rsidRPr="00243C89">
        <w:rPr>
          <w:lang w:val="en-GB"/>
        </w:rPr>
        <w:t>or the threshold for public procurement of social and specific services.</w:t>
      </w:r>
    </w:p>
    <w:p w14:paraId="2BC5E12F" w14:textId="5E287627" w:rsidR="00924CCD" w:rsidRPr="00243C89" w:rsidRDefault="00000000">
      <w:pPr>
        <w:pStyle w:val="P68B1DB1-phitekst27"/>
        <w:numPr>
          <w:ilvl w:val="1"/>
          <w:numId w:val="22"/>
        </w:numPr>
        <w:ind w:left="567" w:hanging="567"/>
        <w:jc w:val="both"/>
        <w:rPr>
          <w:lang w:val="en-GB"/>
        </w:rPr>
      </w:pPr>
      <w:r w:rsidRPr="00243C89">
        <w:rPr>
          <w:lang w:val="en-GB"/>
        </w:rPr>
        <w:t xml:space="preserve">The </w:t>
      </w:r>
      <w:r w:rsidR="00930062" w:rsidRPr="00243C89">
        <w:rPr>
          <w:lang w:val="en-GB"/>
        </w:rPr>
        <w:t>Contracting Authority</w:t>
      </w:r>
      <w:r w:rsidRPr="00243C89">
        <w:rPr>
          <w:lang w:val="en-GB"/>
        </w:rPr>
        <w:t xml:space="preserve"> shall not be liable to the tenderer if all tenders have been rejected under the conditions set out in this document.</w:t>
      </w:r>
    </w:p>
    <w:p w14:paraId="615C8B6F" w14:textId="3AB215B1" w:rsidR="00924CCD" w:rsidRPr="00243C89" w:rsidRDefault="00000000">
      <w:pPr>
        <w:pStyle w:val="P68B1DB1-Loendilik4"/>
        <w:numPr>
          <w:ilvl w:val="1"/>
          <w:numId w:val="22"/>
        </w:numPr>
        <w:ind w:left="567" w:hanging="567"/>
        <w:contextualSpacing w:val="0"/>
        <w:jc w:val="both"/>
        <w:rPr>
          <w:lang w:val="en-GB"/>
        </w:rPr>
      </w:pPr>
      <w:r w:rsidRPr="00243C89">
        <w:rPr>
          <w:lang w:val="en-GB"/>
        </w:rPr>
        <w:t xml:space="preserve">Evaluation of </w:t>
      </w:r>
      <w:r w:rsidR="0041336E" w:rsidRPr="009D217F">
        <w:rPr>
          <w:lang w:val="en-GB"/>
        </w:rPr>
        <w:t>tenders</w:t>
      </w:r>
      <w:r w:rsidRPr="009D217F">
        <w:rPr>
          <w:lang w:val="en-GB"/>
        </w:rPr>
        <w:t xml:space="preserve">. </w:t>
      </w:r>
      <w:r w:rsidR="0041336E" w:rsidRPr="00243C89">
        <w:rPr>
          <w:u w:val="single"/>
          <w:lang w:val="en-GB"/>
        </w:rPr>
        <w:t>Declaration of tender successful</w:t>
      </w:r>
      <w:r w:rsidRPr="00243C89">
        <w:rPr>
          <w:u w:val="single"/>
          <w:lang w:val="en-GB"/>
        </w:rPr>
        <w:t xml:space="preserve"> (</w:t>
      </w:r>
      <w:r w:rsidR="00476D38" w:rsidRPr="009D217F">
        <w:rPr>
          <w:u w:val="single"/>
          <w:lang w:val="en-GB"/>
        </w:rPr>
        <w:t>§ 117</w:t>
      </w:r>
      <w:r w:rsidRPr="00243C89">
        <w:rPr>
          <w:u w:val="single"/>
          <w:lang w:val="en-GB"/>
        </w:rPr>
        <w:t xml:space="preserve"> of the Public Procurement Act)</w:t>
      </w:r>
      <w:r w:rsidRPr="00243C89">
        <w:rPr>
          <w:lang w:val="en-GB"/>
        </w:rPr>
        <w:t xml:space="preserve">. The </w:t>
      </w:r>
      <w:r w:rsidR="00930062" w:rsidRPr="00243C89">
        <w:rPr>
          <w:lang w:val="en-GB"/>
        </w:rPr>
        <w:t>Contracting Authority</w:t>
      </w:r>
      <w:r w:rsidRPr="00243C89">
        <w:rPr>
          <w:lang w:val="en-GB"/>
        </w:rPr>
        <w:t xml:space="preserve"> shall evaluate all admissible tenders and </w:t>
      </w:r>
      <w:r w:rsidR="00217C13" w:rsidRPr="00243C89">
        <w:rPr>
          <w:lang w:val="en-GB"/>
        </w:rPr>
        <w:t xml:space="preserve">declare successful </w:t>
      </w:r>
      <w:r w:rsidRPr="00243C89">
        <w:rPr>
          <w:lang w:val="en-GB"/>
        </w:rPr>
        <w:t xml:space="preserve">the most economically advantageous tenders. The </w:t>
      </w:r>
      <w:r w:rsidR="00930062" w:rsidRPr="00243C89">
        <w:rPr>
          <w:lang w:val="en-GB"/>
        </w:rPr>
        <w:t>Contracting Authority</w:t>
      </w:r>
      <w:r w:rsidRPr="00243C89">
        <w:rPr>
          <w:lang w:val="en-GB"/>
        </w:rPr>
        <w:t xml:space="preserve"> shall assess economic advantage in accordance with the </w:t>
      </w:r>
      <w:r w:rsidR="003B15AC" w:rsidRPr="00243C89">
        <w:rPr>
          <w:lang w:val="en-GB"/>
        </w:rPr>
        <w:t xml:space="preserve">assessment </w:t>
      </w:r>
      <w:r w:rsidRPr="00243C89">
        <w:rPr>
          <w:lang w:val="en-GB"/>
        </w:rPr>
        <w:t xml:space="preserve">criteria set out in </w:t>
      </w:r>
      <w:r w:rsidR="001D19F8" w:rsidRPr="00243C89">
        <w:rPr>
          <w:lang w:val="en-GB"/>
        </w:rPr>
        <w:t xml:space="preserve">clause </w:t>
      </w:r>
      <w:r w:rsidRPr="00243C89">
        <w:rPr>
          <w:lang w:val="en-GB"/>
        </w:rPr>
        <w:t>1.10.</w:t>
      </w:r>
    </w:p>
    <w:p w14:paraId="0F72B2EE" w14:textId="5CF6F886" w:rsidR="00924CCD" w:rsidRPr="00243C89" w:rsidRDefault="00000000">
      <w:pPr>
        <w:pStyle w:val="P68B1DB1-Loendilik4"/>
        <w:numPr>
          <w:ilvl w:val="2"/>
          <w:numId w:val="22"/>
        </w:numPr>
        <w:ind w:left="1134" w:hanging="567"/>
        <w:contextualSpacing w:val="0"/>
        <w:jc w:val="both"/>
        <w:rPr>
          <w:lang w:val="en-GB"/>
        </w:rPr>
      </w:pPr>
      <w:r w:rsidRPr="00243C89">
        <w:rPr>
          <w:lang w:val="en-GB"/>
        </w:rPr>
        <w:t xml:space="preserve">If there is only one admissible tender in the procurement, the </w:t>
      </w:r>
      <w:r w:rsidR="00930062" w:rsidRPr="00243C89">
        <w:rPr>
          <w:lang w:val="en-GB"/>
        </w:rPr>
        <w:t>Contracting Authority</w:t>
      </w:r>
      <w:r w:rsidRPr="00243C89">
        <w:rPr>
          <w:lang w:val="en-GB"/>
        </w:rPr>
        <w:t xml:space="preserve"> has the right to automatically assign the maximum value points to the tender, in which case there will be no substantive evaluation of the tender.</w:t>
      </w:r>
    </w:p>
    <w:p w14:paraId="365E067A" w14:textId="4059CDA2" w:rsidR="00924CCD" w:rsidRPr="00243C89" w:rsidRDefault="00000000">
      <w:pPr>
        <w:pStyle w:val="P68B1DB1-Loendilik4"/>
        <w:numPr>
          <w:ilvl w:val="2"/>
          <w:numId w:val="22"/>
        </w:numPr>
        <w:ind w:left="1134" w:hanging="567"/>
        <w:contextualSpacing w:val="0"/>
        <w:jc w:val="both"/>
        <w:rPr>
          <w:lang w:val="en-GB"/>
        </w:rPr>
      </w:pPr>
      <w:r w:rsidRPr="00243C89">
        <w:rPr>
          <w:lang w:val="en-GB"/>
        </w:rPr>
        <w:lastRenderedPageBreak/>
        <w:t>If, at the time of submitting the tender, the tenderer was not subject to VAT, but such an obligation arises for the tenderer after the submission of the tender and the tenderer did not take it into account when submitting the tender and did not indicate that VAT had been added to the tender, the tender price also includes VAT, i.e. the cost of services will not be increased later by VAT.</w:t>
      </w:r>
    </w:p>
    <w:p w14:paraId="502B5867" w14:textId="2F9D5CCA" w:rsidR="00924CCD" w:rsidRPr="00243C89" w:rsidRDefault="00000000">
      <w:pPr>
        <w:pStyle w:val="P68B1DB1-Loendilik4"/>
        <w:numPr>
          <w:ilvl w:val="1"/>
          <w:numId w:val="22"/>
        </w:numPr>
        <w:ind w:left="567" w:hanging="567"/>
        <w:jc w:val="both"/>
        <w:rPr>
          <w:lang w:val="en-GB"/>
        </w:rPr>
      </w:pPr>
      <w:r w:rsidRPr="00243C89">
        <w:rPr>
          <w:u w:val="single"/>
          <w:lang w:val="en-GB"/>
        </w:rPr>
        <w:t>Equal offers.</w:t>
      </w:r>
      <w:r w:rsidRPr="00243C89">
        <w:rPr>
          <w:lang w:val="en-GB"/>
        </w:rPr>
        <w:t xml:space="preserve"> </w:t>
      </w:r>
      <w:r w:rsidR="000B75BC" w:rsidRPr="00243C89">
        <w:rPr>
          <w:lang w:val="en-GB"/>
        </w:rPr>
        <w:t>In the case of equal results, the successful tender</w:t>
      </w:r>
      <w:r w:rsidRPr="00243C89">
        <w:rPr>
          <w:lang w:val="en-GB"/>
        </w:rPr>
        <w:t xml:space="preserve"> shall be determined by drawing lots. The </w:t>
      </w:r>
      <w:r w:rsidR="00930062" w:rsidRPr="00243C89">
        <w:rPr>
          <w:lang w:val="en-GB"/>
        </w:rPr>
        <w:t>Contracting Authority</w:t>
      </w:r>
      <w:r w:rsidRPr="00243C89">
        <w:rPr>
          <w:lang w:val="en-GB"/>
        </w:rPr>
        <w:t xml:space="preserve"> shall inform the tenderer</w:t>
      </w:r>
      <w:r w:rsidR="005864A8" w:rsidRPr="00243C89">
        <w:rPr>
          <w:lang w:val="en-GB"/>
        </w:rPr>
        <w:t>s</w:t>
      </w:r>
      <w:r w:rsidRPr="00243C89">
        <w:rPr>
          <w:lang w:val="en-GB"/>
        </w:rPr>
        <w:t xml:space="preserve"> who </w:t>
      </w:r>
      <w:r w:rsidR="005864A8" w:rsidRPr="00243C89">
        <w:rPr>
          <w:lang w:val="en-GB"/>
        </w:rPr>
        <w:t xml:space="preserve">have received </w:t>
      </w:r>
      <w:r w:rsidRPr="00243C89">
        <w:rPr>
          <w:lang w:val="en-GB"/>
        </w:rPr>
        <w:t xml:space="preserve">an equal number of points of the time and place </w:t>
      </w:r>
      <w:r w:rsidR="00EB4001" w:rsidRPr="00243C89">
        <w:rPr>
          <w:lang w:val="en-GB"/>
        </w:rPr>
        <w:t>where</w:t>
      </w:r>
      <w:r w:rsidRPr="00243C89">
        <w:rPr>
          <w:lang w:val="en-GB"/>
        </w:rPr>
        <w:t xml:space="preserve"> the lots</w:t>
      </w:r>
      <w:r w:rsidR="00EB4001" w:rsidRPr="00243C89">
        <w:rPr>
          <w:lang w:val="en-GB"/>
        </w:rPr>
        <w:t xml:space="preserve"> shall be drawn</w:t>
      </w:r>
      <w:r w:rsidRPr="00243C89">
        <w:rPr>
          <w:lang w:val="en-GB"/>
        </w:rPr>
        <w:t xml:space="preserve">. One person per tenderer may take part in the drawing of lots. </w:t>
      </w:r>
      <w:r w:rsidR="00C25A6D" w:rsidRPr="00243C89">
        <w:rPr>
          <w:lang w:val="en-GB"/>
        </w:rPr>
        <w:t xml:space="preserve">Organising </w:t>
      </w:r>
      <w:r w:rsidRPr="00243C89">
        <w:rPr>
          <w:lang w:val="en-GB"/>
        </w:rPr>
        <w:t xml:space="preserve">and </w:t>
      </w:r>
      <w:r w:rsidR="0087158E" w:rsidRPr="00243C89">
        <w:rPr>
          <w:lang w:val="en-GB"/>
        </w:rPr>
        <w:t xml:space="preserve">carrying out </w:t>
      </w:r>
      <w:r w:rsidR="00C25A6D" w:rsidRPr="00243C89">
        <w:rPr>
          <w:lang w:val="en-GB"/>
        </w:rPr>
        <w:t xml:space="preserve">the </w:t>
      </w:r>
      <w:r w:rsidRPr="00243C89">
        <w:rPr>
          <w:lang w:val="en-GB"/>
        </w:rPr>
        <w:t>drawing of lots:</w:t>
      </w:r>
    </w:p>
    <w:p w14:paraId="29EB3858" w14:textId="010CACEF" w:rsidR="00924CCD" w:rsidRPr="00243C89" w:rsidRDefault="00000000">
      <w:pPr>
        <w:pStyle w:val="P68B1DB1-Loendilik4"/>
        <w:numPr>
          <w:ilvl w:val="2"/>
          <w:numId w:val="22"/>
        </w:numPr>
        <w:ind w:left="1134" w:hanging="567"/>
        <w:jc w:val="both"/>
        <w:rPr>
          <w:lang w:val="en-GB"/>
        </w:rPr>
      </w:pPr>
      <w:r w:rsidRPr="00243C89">
        <w:rPr>
          <w:lang w:val="en-GB"/>
        </w:rPr>
        <w:t xml:space="preserve">The drawing of lots is a procedure for identifying the successful tenderer, which takes place after the tenders have been accepted and evaluated. As a result of the drawing of lots, </w:t>
      </w:r>
      <w:r w:rsidR="00D1047F" w:rsidRPr="00243C89">
        <w:rPr>
          <w:lang w:val="en-GB"/>
        </w:rPr>
        <w:t>minutes of the</w:t>
      </w:r>
      <w:r w:rsidRPr="00243C89">
        <w:rPr>
          <w:lang w:val="en-GB"/>
        </w:rPr>
        <w:t xml:space="preserve"> drawing of lots </w:t>
      </w:r>
      <w:r w:rsidR="00D1047F" w:rsidRPr="00243C89">
        <w:rPr>
          <w:lang w:val="en-GB"/>
        </w:rPr>
        <w:t>shall be</w:t>
      </w:r>
      <w:r w:rsidRPr="00243C89">
        <w:rPr>
          <w:lang w:val="en-GB"/>
        </w:rPr>
        <w:t xml:space="preserve"> drawn up, which is also the protocol on which the decision to identify the successful tenderer is based. The </w:t>
      </w:r>
      <w:r w:rsidR="002333FB" w:rsidRPr="00243C89">
        <w:rPr>
          <w:lang w:val="en-GB"/>
        </w:rPr>
        <w:t xml:space="preserve">Agreement shall </w:t>
      </w:r>
      <w:r w:rsidRPr="00243C89">
        <w:rPr>
          <w:lang w:val="en-GB"/>
        </w:rPr>
        <w:t>be awarded</w:t>
      </w:r>
      <w:r w:rsidR="002333FB" w:rsidRPr="00243C89">
        <w:rPr>
          <w:lang w:val="en-GB"/>
        </w:rPr>
        <w:t>,</w:t>
      </w:r>
      <w:r w:rsidRPr="00243C89">
        <w:rPr>
          <w:lang w:val="en-GB"/>
        </w:rPr>
        <w:t xml:space="preserve"> </w:t>
      </w:r>
      <w:r w:rsidR="002333FB" w:rsidRPr="00243C89">
        <w:rPr>
          <w:lang w:val="en-GB"/>
        </w:rPr>
        <w:t xml:space="preserve">through the </w:t>
      </w:r>
      <w:r w:rsidRPr="00243C89">
        <w:rPr>
          <w:lang w:val="en-GB"/>
        </w:rPr>
        <w:t>drawing</w:t>
      </w:r>
      <w:r w:rsidR="002333FB" w:rsidRPr="00243C89">
        <w:rPr>
          <w:lang w:val="en-GB"/>
        </w:rPr>
        <w:t xml:space="preserve"> of</w:t>
      </w:r>
      <w:r w:rsidRPr="00243C89">
        <w:rPr>
          <w:lang w:val="en-GB"/>
        </w:rPr>
        <w:t xml:space="preserve"> lots</w:t>
      </w:r>
      <w:r w:rsidR="002333FB" w:rsidRPr="00243C89">
        <w:rPr>
          <w:lang w:val="en-GB"/>
        </w:rPr>
        <w:t>,</w:t>
      </w:r>
      <w:r w:rsidRPr="00243C89">
        <w:rPr>
          <w:lang w:val="en-GB"/>
        </w:rPr>
        <w:t xml:space="preserve"> to one of the successful tenderers.</w:t>
      </w:r>
    </w:p>
    <w:p w14:paraId="3FDD420A" w14:textId="19F18C10" w:rsidR="00924CCD" w:rsidRPr="00243C89" w:rsidRDefault="00000000">
      <w:pPr>
        <w:pStyle w:val="P68B1DB1-Loendilik4"/>
        <w:numPr>
          <w:ilvl w:val="1"/>
          <w:numId w:val="22"/>
        </w:numPr>
        <w:ind w:left="567" w:hanging="567"/>
        <w:contextualSpacing w:val="0"/>
        <w:jc w:val="both"/>
        <w:rPr>
          <w:lang w:val="en-GB"/>
        </w:rPr>
      </w:pPr>
      <w:r w:rsidRPr="00243C89">
        <w:rPr>
          <w:u w:val="single"/>
          <w:lang w:val="en-GB"/>
        </w:rPr>
        <w:t>Informing tenderers</w:t>
      </w:r>
      <w:r w:rsidRPr="00243C89">
        <w:rPr>
          <w:lang w:val="en-GB"/>
        </w:rPr>
        <w:t xml:space="preserve">. The </w:t>
      </w:r>
      <w:r w:rsidR="00930062" w:rsidRPr="00243C89">
        <w:rPr>
          <w:lang w:val="en-GB"/>
        </w:rPr>
        <w:t>Contracting Authority</w:t>
      </w:r>
      <w:r w:rsidRPr="00243C89">
        <w:rPr>
          <w:lang w:val="en-GB"/>
        </w:rPr>
        <w:t xml:space="preserve"> shall notify tenderers of the results of the procurement within three (3) working days as of the making of the corresponding decision, in accordance with the procedure provided for in § 47 of the </w:t>
      </w:r>
      <w:r w:rsidR="005719CE" w:rsidRPr="00243C89">
        <w:rPr>
          <w:lang w:val="en-GB"/>
        </w:rPr>
        <w:t>Public Procurement Act.</w:t>
      </w:r>
    </w:p>
    <w:p w14:paraId="263B4AB5" w14:textId="2127B051" w:rsidR="00924CCD" w:rsidRPr="00243C89" w:rsidRDefault="00000000">
      <w:pPr>
        <w:pStyle w:val="P68B1DB1-Loendilik4"/>
        <w:numPr>
          <w:ilvl w:val="1"/>
          <w:numId w:val="22"/>
        </w:numPr>
        <w:ind w:left="567" w:hanging="567"/>
        <w:contextualSpacing w:val="0"/>
        <w:jc w:val="both"/>
        <w:rPr>
          <w:lang w:val="en-GB"/>
        </w:rPr>
      </w:pPr>
      <w:r w:rsidRPr="00243C89">
        <w:rPr>
          <w:u w:val="single"/>
          <w:lang w:val="en-GB"/>
        </w:rPr>
        <w:t>Signature of the Agreement</w:t>
      </w:r>
      <w:r w:rsidRPr="00243C89">
        <w:rPr>
          <w:lang w:val="en-GB"/>
        </w:rPr>
        <w:t xml:space="preserve">. If the successful tenderer fails to sign the </w:t>
      </w:r>
      <w:r w:rsidR="002B6DA3" w:rsidRPr="00243C89">
        <w:rPr>
          <w:lang w:val="en-GB"/>
        </w:rPr>
        <w:t xml:space="preserve">Agreement </w:t>
      </w:r>
      <w:r w:rsidRPr="00243C89">
        <w:rPr>
          <w:lang w:val="en-GB"/>
        </w:rPr>
        <w:t xml:space="preserve">within the time limit set by the </w:t>
      </w:r>
      <w:r w:rsidR="00930062" w:rsidRPr="00243C89">
        <w:rPr>
          <w:lang w:val="en-GB"/>
        </w:rPr>
        <w:t>Contracting Authority</w:t>
      </w:r>
      <w:r w:rsidRPr="00243C89">
        <w:rPr>
          <w:lang w:val="en-GB"/>
        </w:rPr>
        <w:t xml:space="preserve"> or fails to perform the </w:t>
      </w:r>
      <w:r w:rsidR="002B6DA3" w:rsidRPr="00243C89">
        <w:rPr>
          <w:lang w:val="en-GB"/>
        </w:rPr>
        <w:t xml:space="preserve">Agreement </w:t>
      </w:r>
      <w:r w:rsidRPr="00243C89">
        <w:rPr>
          <w:lang w:val="en-GB"/>
        </w:rPr>
        <w:t xml:space="preserve">concluded with the acceptance within the time limit set by the </w:t>
      </w:r>
      <w:r w:rsidR="00930062" w:rsidRPr="00243C89">
        <w:rPr>
          <w:lang w:val="en-GB"/>
        </w:rPr>
        <w:t>Contracting Authority</w:t>
      </w:r>
      <w:r w:rsidRPr="00243C89">
        <w:rPr>
          <w:lang w:val="en-GB"/>
        </w:rPr>
        <w:t xml:space="preserve"> for reasons relating to itself, the </w:t>
      </w:r>
      <w:r w:rsidR="00930062" w:rsidRPr="00243C89">
        <w:rPr>
          <w:lang w:val="en-GB"/>
        </w:rPr>
        <w:t>Contracting Authority</w:t>
      </w:r>
      <w:r w:rsidRPr="00243C89">
        <w:rPr>
          <w:lang w:val="en-GB"/>
        </w:rPr>
        <w:t xml:space="preserve"> shall reassess all the remaining tenders</w:t>
      </w:r>
      <w:r w:rsidR="002B6DA3" w:rsidRPr="00243C89">
        <w:rPr>
          <w:lang w:val="en-GB"/>
        </w:rPr>
        <w:t xml:space="preserve"> again</w:t>
      </w:r>
      <w:r w:rsidRPr="00243C89">
        <w:rPr>
          <w:lang w:val="en-GB"/>
        </w:rPr>
        <w:t xml:space="preserve"> in accordance with </w:t>
      </w:r>
      <w:r w:rsidR="005719CE" w:rsidRPr="00243C89">
        <w:rPr>
          <w:lang w:val="en-GB"/>
        </w:rPr>
        <w:t xml:space="preserve">subsection </w:t>
      </w:r>
      <w:r w:rsidRPr="00243C89">
        <w:rPr>
          <w:lang w:val="en-GB"/>
        </w:rPr>
        <w:t>117</w:t>
      </w:r>
      <w:r w:rsidR="005719CE" w:rsidRPr="00243C89">
        <w:rPr>
          <w:lang w:val="en-GB"/>
        </w:rPr>
        <w:t xml:space="preserve"> </w:t>
      </w:r>
      <w:r w:rsidRPr="00243C89">
        <w:rPr>
          <w:lang w:val="en-GB"/>
        </w:rPr>
        <w:t xml:space="preserve">(1) of the Public Procurement Act and </w:t>
      </w:r>
      <w:r w:rsidR="002B6DA3" w:rsidRPr="00243C89">
        <w:rPr>
          <w:lang w:val="en-GB"/>
        </w:rPr>
        <w:t>declares</w:t>
      </w:r>
      <w:r w:rsidRPr="00243C89">
        <w:rPr>
          <w:lang w:val="en-GB"/>
        </w:rPr>
        <w:t xml:space="preserve"> the tender </w:t>
      </w:r>
      <w:r w:rsidR="002B6DA3" w:rsidRPr="00243C89">
        <w:rPr>
          <w:lang w:val="en-GB"/>
        </w:rPr>
        <w:t>that, based on the award criteria set out in the procurement documents, is the most economically advantageous tender among suitable tenders successful</w:t>
      </w:r>
      <w:r w:rsidRPr="00243C89">
        <w:rPr>
          <w:lang w:val="en-GB"/>
        </w:rPr>
        <w:t xml:space="preserve">. If the successful tenderer fails to perform the specified obligation or withdraws its tender for reasons beyond the control of the </w:t>
      </w:r>
      <w:r w:rsidR="00930062" w:rsidRPr="00243C89">
        <w:rPr>
          <w:lang w:val="en-GB"/>
        </w:rPr>
        <w:t>Contracting Authority</w:t>
      </w:r>
      <w:r w:rsidRPr="00243C89">
        <w:rPr>
          <w:lang w:val="en-GB"/>
        </w:rPr>
        <w:t xml:space="preserve"> or fails to perform the </w:t>
      </w:r>
      <w:r w:rsidR="006B159D" w:rsidRPr="00243C89">
        <w:rPr>
          <w:lang w:val="en-GB"/>
        </w:rPr>
        <w:t xml:space="preserve">Agreement </w:t>
      </w:r>
      <w:r w:rsidRPr="00243C89">
        <w:rPr>
          <w:lang w:val="en-GB"/>
        </w:rPr>
        <w:t xml:space="preserve">within the set time limit for reasons beyond the control of the </w:t>
      </w:r>
      <w:r w:rsidR="00930062" w:rsidRPr="00243C89">
        <w:rPr>
          <w:lang w:val="en-GB"/>
        </w:rPr>
        <w:t>Contracting Authority</w:t>
      </w:r>
      <w:r w:rsidRPr="00243C89">
        <w:rPr>
          <w:lang w:val="en-GB"/>
        </w:rPr>
        <w:t xml:space="preserve">, the </w:t>
      </w:r>
      <w:r w:rsidR="00930062" w:rsidRPr="00243C89">
        <w:rPr>
          <w:lang w:val="en-GB"/>
        </w:rPr>
        <w:t>Contracting Authority</w:t>
      </w:r>
      <w:r w:rsidRPr="00243C89">
        <w:rPr>
          <w:lang w:val="en-GB"/>
        </w:rPr>
        <w:t xml:space="preserve"> has the right to apply the rights provided for in § 119 of the </w:t>
      </w:r>
      <w:r w:rsidR="005719CE" w:rsidRPr="00243C89">
        <w:rPr>
          <w:lang w:val="en-GB"/>
        </w:rPr>
        <w:t>Public Procurement Act</w:t>
      </w:r>
      <w:r w:rsidRPr="00243C89">
        <w:rPr>
          <w:lang w:val="en-GB"/>
        </w:rPr>
        <w:t>.</w:t>
      </w:r>
    </w:p>
    <w:p w14:paraId="4BADC9C2" w14:textId="38AAE878" w:rsidR="00924CCD" w:rsidRPr="00243C89" w:rsidRDefault="00000000">
      <w:pPr>
        <w:pStyle w:val="P68B1DB1-Loendilik4"/>
        <w:numPr>
          <w:ilvl w:val="1"/>
          <w:numId w:val="22"/>
        </w:numPr>
        <w:ind w:left="567" w:hanging="567"/>
        <w:contextualSpacing w:val="0"/>
        <w:jc w:val="both"/>
        <w:rPr>
          <w:lang w:val="en-GB"/>
        </w:rPr>
      </w:pPr>
      <w:r w:rsidRPr="00243C89">
        <w:rPr>
          <w:u w:val="single"/>
          <w:lang w:val="en-GB"/>
        </w:rPr>
        <w:t>Transfer of</w:t>
      </w:r>
      <w:r w:rsidRPr="009D217F">
        <w:rPr>
          <w:u w:val="single"/>
          <w:lang w:val="en-GB"/>
        </w:rPr>
        <w:t xml:space="preserve"> </w:t>
      </w:r>
      <w:r w:rsidR="0046123F" w:rsidRPr="00243C89">
        <w:rPr>
          <w:u w:val="single"/>
          <w:lang w:val="en-GB"/>
        </w:rPr>
        <w:t>the Agreement</w:t>
      </w:r>
      <w:r w:rsidRPr="00243C89">
        <w:rPr>
          <w:lang w:val="en-GB"/>
        </w:rPr>
        <w:t xml:space="preserve">. The tenderer is not allowed to transfer the </w:t>
      </w:r>
      <w:r w:rsidR="0046123F" w:rsidRPr="00243C89">
        <w:rPr>
          <w:lang w:val="en-GB"/>
        </w:rPr>
        <w:t>Agreement</w:t>
      </w:r>
      <w:r w:rsidRPr="00243C89">
        <w:rPr>
          <w:lang w:val="en-GB"/>
        </w:rPr>
        <w:t xml:space="preserve">, </w:t>
      </w:r>
      <w:r w:rsidR="0046123F" w:rsidRPr="00243C89">
        <w:rPr>
          <w:lang w:val="en-GB"/>
        </w:rPr>
        <w:t xml:space="preserve">either </w:t>
      </w:r>
      <w:r w:rsidRPr="00243C89">
        <w:rPr>
          <w:lang w:val="en-GB"/>
        </w:rPr>
        <w:t>in whole or in part, to third parties.</w:t>
      </w:r>
    </w:p>
    <w:sectPr w:rsidR="00924CCD" w:rsidRPr="00243C89">
      <w:headerReference w:type="default" r:id="rId9"/>
      <w:footerReference w:type="default" r:id="rId10"/>
      <w:pgSz w:w="11900" w:h="16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6C79" w14:textId="77777777" w:rsidR="00742432" w:rsidRDefault="00742432">
      <w:r>
        <w:separator/>
      </w:r>
    </w:p>
  </w:endnote>
  <w:endnote w:type="continuationSeparator" w:id="0">
    <w:p w14:paraId="038D881D" w14:textId="77777777" w:rsidR="00742432" w:rsidRDefault="0074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317081"/>
      <w:docPartObj>
        <w:docPartGallery w:val="Page Numbers (Bottom of Page)"/>
        <w:docPartUnique/>
      </w:docPartObj>
    </w:sdtPr>
    <w:sdtEndPr>
      <w:rPr>
        <w:noProof/>
      </w:rPr>
    </w:sdtEndPr>
    <w:sdtContent>
      <w:p w14:paraId="00DCC98F" w14:textId="2A170D11" w:rsidR="00924CCD" w:rsidRDefault="00000000">
        <w:pPr>
          <w:pStyle w:val="Footer"/>
        </w:pPr>
        <w:r>
          <w:fldChar w:fldCharType="begin"/>
        </w:r>
        <w:r>
          <w:instrText xml:space="preserve"> PAGE   \* MERGEFORMAT </w:instrText>
        </w:r>
        <w:r>
          <w:fldChar w:fldCharType="separate"/>
        </w:r>
        <w:r>
          <w:t>2</w:t>
        </w:r>
        <w:r>
          <w:fldChar w:fldCharType="end"/>
        </w:r>
      </w:p>
    </w:sdtContent>
  </w:sdt>
  <w:p w14:paraId="3304FAA5" w14:textId="77777777" w:rsidR="00924CCD" w:rsidRDefault="00924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BE70" w14:textId="77777777" w:rsidR="00742432" w:rsidRDefault="00742432">
      <w:r>
        <w:separator/>
      </w:r>
    </w:p>
  </w:footnote>
  <w:footnote w:type="continuationSeparator" w:id="0">
    <w:p w14:paraId="7D722018" w14:textId="77777777" w:rsidR="00742432" w:rsidRDefault="0074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6BC2" w14:textId="0FA502B0" w:rsidR="00924CCD"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D44"/>
    <w:multiLevelType w:val="hybridMultilevel"/>
    <w:tmpl w:val="047A3C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C97611"/>
    <w:multiLevelType w:val="multilevel"/>
    <w:tmpl w:val="54023DD4"/>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7660502"/>
    <w:multiLevelType w:val="hybridMultilevel"/>
    <w:tmpl w:val="BA70FE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147C8C"/>
    <w:multiLevelType w:val="hybridMultilevel"/>
    <w:tmpl w:val="430458BE"/>
    <w:lvl w:ilvl="0" w:tplc="026C2A1E">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2A370C"/>
    <w:multiLevelType w:val="multilevel"/>
    <w:tmpl w:val="9BE66AC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720" w:hanging="360"/>
      </w:pPr>
      <w:rPr>
        <w:rFonts w:ascii="Times New Roman" w:eastAsiaTheme="minorHAnsi" w:hAnsi="Times New Roman" w:cs="Times New Roman"/>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5366559"/>
    <w:multiLevelType w:val="hybridMultilevel"/>
    <w:tmpl w:val="A6EE6BE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 w15:restartNumberingAfterBreak="0">
    <w:nsid w:val="16223E99"/>
    <w:multiLevelType w:val="hybridMultilevel"/>
    <w:tmpl w:val="338E3EEC"/>
    <w:lvl w:ilvl="0" w:tplc="F3CA464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297F3D"/>
    <w:multiLevelType w:val="hybridMultilevel"/>
    <w:tmpl w:val="5A12F2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9C1557"/>
    <w:multiLevelType w:val="hybridMultilevel"/>
    <w:tmpl w:val="4E42BFC8"/>
    <w:lvl w:ilvl="0" w:tplc="CE4A8E26">
      <w:start w:val="1"/>
      <w:numFmt w:val="decimal"/>
      <w:lvlText w:val="%1)"/>
      <w:lvlJc w:val="left"/>
      <w:pPr>
        <w:ind w:left="720" w:hanging="360"/>
      </w:pPr>
      <w:rPr>
        <w:rFonts w:hint="default"/>
        <w:b/>
        <w:bCs/>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DDF33C8"/>
    <w:multiLevelType w:val="hybridMultilevel"/>
    <w:tmpl w:val="42FC3C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E0613E5"/>
    <w:multiLevelType w:val="hybridMultilevel"/>
    <w:tmpl w:val="6FDA8B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E5C75AF"/>
    <w:multiLevelType w:val="hybridMultilevel"/>
    <w:tmpl w:val="7CC892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FB46F59"/>
    <w:multiLevelType w:val="hybridMultilevel"/>
    <w:tmpl w:val="D7D0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B0EB3"/>
    <w:multiLevelType w:val="multilevel"/>
    <w:tmpl w:val="AA52886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6182FE9"/>
    <w:multiLevelType w:val="multilevel"/>
    <w:tmpl w:val="67C8E0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CE62EE"/>
    <w:multiLevelType w:val="multilevel"/>
    <w:tmpl w:val="D45458BC"/>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7470DE7"/>
    <w:multiLevelType w:val="multilevel"/>
    <w:tmpl w:val="14263BAA"/>
    <w:lvl w:ilvl="0">
      <w:start w:val="3"/>
      <w:numFmt w:val="decimal"/>
      <w:lvlText w:val="%1."/>
      <w:lvlJc w:val="left"/>
      <w:pPr>
        <w:ind w:left="360" w:hanging="360"/>
      </w:pPr>
      <w:rPr>
        <w:rFonts w:hint="default"/>
      </w:rPr>
    </w:lvl>
    <w:lvl w:ilvl="1">
      <w:start w:val="2"/>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17" w15:restartNumberingAfterBreak="0">
    <w:nsid w:val="28921E94"/>
    <w:multiLevelType w:val="multilevel"/>
    <w:tmpl w:val="9F0279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DC2457"/>
    <w:multiLevelType w:val="hybridMultilevel"/>
    <w:tmpl w:val="805852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5177DB2"/>
    <w:multiLevelType w:val="hybridMultilevel"/>
    <w:tmpl w:val="664018A0"/>
    <w:lvl w:ilvl="0" w:tplc="8CBEFB18">
      <w:start w:val="2016"/>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0" w15:restartNumberingAfterBreak="0">
    <w:nsid w:val="352E58D8"/>
    <w:multiLevelType w:val="hybridMultilevel"/>
    <w:tmpl w:val="470E78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5AA0893"/>
    <w:multiLevelType w:val="hybridMultilevel"/>
    <w:tmpl w:val="2794A48C"/>
    <w:lvl w:ilvl="0" w:tplc="A72A630A">
      <w:start w:val="1"/>
      <w:numFmt w:val="bullet"/>
      <w:lvlText w:val="-"/>
      <w:lvlJc w:val="left"/>
      <w:pPr>
        <w:ind w:left="1800" w:hanging="360"/>
      </w:pPr>
      <w:rPr>
        <w:rFonts w:ascii="Georgia" w:eastAsia="Calibri" w:hAnsi="Georgia"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2" w15:restartNumberingAfterBreak="0">
    <w:nsid w:val="362C6E17"/>
    <w:multiLevelType w:val="multilevel"/>
    <w:tmpl w:val="9D2C39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6B65CE"/>
    <w:multiLevelType w:val="hybridMultilevel"/>
    <w:tmpl w:val="36DE592A"/>
    <w:lvl w:ilvl="0" w:tplc="7444AF0E">
      <w:start w:val="1"/>
      <w:numFmt w:val="bullet"/>
      <w:lvlText w:val="•"/>
      <w:lvlJc w:val="left"/>
      <w:pPr>
        <w:ind w:left="1440" w:hanging="720"/>
      </w:pPr>
      <w:rPr>
        <w:rFonts w:ascii="Arial" w:eastAsia="Times New Roman"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4" w15:restartNumberingAfterBreak="0">
    <w:nsid w:val="3B98018D"/>
    <w:multiLevelType w:val="hybridMultilevel"/>
    <w:tmpl w:val="504274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3C38705A"/>
    <w:multiLevelType w:val="hybridMultilevel"/>
    <w:tmpl w:val="BDC6F0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3E1D1281"/>
    <w:multiLevelType w:val="multilevel"/>
    <w:tmpl w:val="3984EA8A"/>
    <w:lvl w:ilvl="0">
      <w:start w:val="5"/>
      <w:numFmt w:val="decimal"/>
      <w:lvlText w:val="%1."/>
      <w:lvlJc w:val="left"/>
      <w:pPr>
        <w:ind w:left="360" w:hanging="360"/>
      </w:pPr>
      <w:rPr>
        <w:rFonts w:hint="default"/>
        <w:b/>
      </w:rPr>
    </w:lvl>
    <w:lvl w:ilvl="1">
      <w:start w:val="1"/>
      <w:numFmt w:val="decimal"/>
      <w:lvlText w:val="%1.%2."/>
      <w:lvlJc w:val="left"/>
      <w:pPr>
        <w:ind w:left="1001" w:hanging="360"/>
      </w:pPr>
      <w:rPr>
        <w:rFonts w:hint="default"/>
        <w:b w:val="0"/>
      </w:rPr>
    </w:lvl>
    <w:lvl w:ilvl="2">
      <w:start w:val="1"/>
      <w:numFmt w:val="decimal"/>
      <w:lvlText w:val="%1.%2.%3."/>
      <w:lvlJc w:val="left"/>
      <w:pPr>
        <w:ind w:left="2002" w:hanging="720"/>
      </w:pPr>
      <w:rPr>
        <w:rFonts w:hint="default"/>
        <w:b/>
      </w:rPr>
    </w:lvl>
    <w:lvl w:ilvl="3">
      <w:start w:val="1"/>
      <w:numFmt w:val="decimal"/>
      <w:lvlText w:val="%1.%2.%3.%4."/>
      <w:lvlJc w:val="left"/>
      <w:pPr>
        <w:ind w:left="2643" w:hanging="720"/>
      </w:pPr>
      <w:rPr>
        <w:rFonts w:hint="default"/>
        <w:b/>
      </w:rPr>
    </w:lvl>
    <w:lvl w:ilvl="4">
      <w:start w:val="1"/>
      <w:numFmt w:val="decimal"/>
      <w:lvlText w:val="%1.%2.%3.%4.%5."/>
      <w:lvlJc w:val="left"/>
      <w:pPr>
        <w:ind w:left="3644" w:hanging="1080"/>
      </w:pPr>
      <w:rPr>
        <w:rFonts w:hint="default"/>
        <w:b/>
      </w:rPr>
    </w:lvl>
    <w:lvl w:ilvl="5">
      <w:start w:val="1"/>
      <w:numFmt w:val="decimal"/>
      <w:lvlText w:val="%1.%2.%3.%4.%5.%6."/>
      <w:lvlJc w:val="left"/>
      <w:pPr>
        <w:ind w:left="4285" w:hanging="1080"/>
      </w:pPr>
      <w:rPr>
        <w:rFonts w:hint="default"/>
        <w:b/>
      </w:rPr>
    </w:lvl>
    <w:lvl w:ilvl="6">
      <w:start w:val="1"/>
      <w:numFmt w:val="decimal"/>
      <w:lvlText w:val="%1.%2.%3.%4.%5.%6.%7."/>
      <w:lvlJc w:val="left"/>
      <w:pPr>
        <w:ind w:left="5286" w:hanging="1440"/>
      </w:pPr>
      <w:rPr>
        <w:rFonts w:hint="default"/>
        <w:b/>
      </w:rPr>
    </w:lvl>
    <w:lvl w:ilvl="7">
      <w:start w:val="1"/>
      <w:numFmt w:val="decimal"/>
      <w:lvlText w:val="%1.%2.%3.%4.%5.%6.%7.%8."/>
      <w:lvlJc w:val="left"/>
      <w:pPr>
        <w:ind w:left="5927" w:hanging="1440"/>
      </w:pPr>
      <w:rPr>
        <w:rFonts w:hint="default"/>
        <w:b/>
      </w:rPr>
    </w:lvl>
    <w:lvl w:ilvl="8">
      <w:start w:val="1"/>
      <w:numFmt w:val="decimal"/>
      <w:lvlText w:val="%1.%2.%3.%4.%5.%6.%7.%8.%9."/>
      <w:lvlJc w:val="left"/>
      <w:pPr>
        <w:ind w:left="6928" w:hanging="1800"/>
      </w:pPr>
      <w:rPr>
        <w:rFonts w:hint="default"/>
        <w:b/>
      </w:rPr>
    </w:lvl>
  </w:abstractNum>
  <w:abstractNum w:abstractNumId="27" w15:restartNumberingAfterBreak="0">
    <w:nsid w:val="3EF75A2C"/>
    <w:multiLevelType w:val="multilevel"/>
    <w:tmpl w:val="8C90F2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dstrike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217FD2"/>
    <w:multiLevelType w:val="hybridMultilevel"/>
    <w:tmpl w:val="6A3266C6"/>
    <w:lvl w:ilvl="0" w:tplc="54C8DB7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9" w15:restartNumberingAfterBreak="0">
    <w:nsid w:val="446F2468"/>
    <w:multiLevelType w:val="multilevel"/>
    <w:tmpl w:val="67C8E0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51C00C8"/>
    <w:multiLevelType w:val="hybridMultilevel"/>
    <w:tmpl w:val="D6587752"/>
    <w:lvl w:ilvl="0" w:tplc="143CB3B6">
      <w:start w:val="1"/>
      <w:numFmt w:val="bullet"/>
      <w:lvlText w:val="-"/>
      <w:lvlJc w:val="left"/>
      <w:pPr>
        <w:ind w:left="1080" w:hanging="360"/>
      </w:pPr>
      <w:rPr>
        <w:rFonts w:ascii="Georgia" w:eastAsia="Calibri" w:hAnsi="Georgia"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1" w15:restartNumberingAfterBreak="0">
    <w:nsid w:val="4C6C17AA"/>
    <w:multiLevelType w:val="hybridMultilevel"/>
    <w:tmpl w:val="87263C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4EB54359"/>
    <w:multiLevelType w:val="hybridMultilevel"/>
    <w:tmpl w:val="C6AC51C6"/>
    <w:lvl w:ilvl="0" w:tplc="C0D2D8FC">
      <w:start w:val="1"/>
      <w:numFmt w:val="upperRoman"/>
      <w:lvlText w:val="%1."/>
      <w:lvlJc w:val="left"/>
      <w:pPr>
        <w:ind w:left="1440" w:hanging="720"/>
      </w:pPr>
      <w:rPr>
        <w:rFonts w:ascii="Georgia" w:eastAsia="Calibri" w:hAnsi="Georgia" w:cstheme="minorBidi"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3" w15:restartNumberingAfterBreak="0">
    <w:nsid w:val="52275E21"/>
    <w:multiLevelType w:val="hybridMultilevel"/>
    <w:tmpl w:val="68B0C4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6A968A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BE6327"/>
    <w:multiLevelType w:val="hybridMultilevel"/>
    <w:tmpl w:val="791458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A4313FB"/>
    <w:multiLevelType w:val="hybridMultilevel"/>
    <w:tmpl w:val="B5CE11F2"/>
    <w:lvl w:ilvl="0" w:tplc="D4DE063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D705DEE"/>
    <w:multiLevelType w:val="hybridMultilevel"/>
    <w:tmpl w:val="CBBEAE72"/>
    <w:lvl w:ilvl="0" w:tplc="F11EC8DA">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1E006E0"/>
    <w:multiLevelType w:val="hybridMultilevel"/>
    <w:tmpl w:val="EE503AA4"/>
    <w:lvl w:ilvl="0" w:tplc="A72A630A">
      <w:start w:val="1"/>
      <w:numFmt w:val="bullet"/>
      <w:lvlText w:val="-"/>
      <w:lvlJc w:val="left"/>
      <w:pPr>
        <w:ind w:left="1080" w:hanging="360"/>
      </w:pPr>
      <w:rPr>
        <w:rFonts w:ascii="Georgia" w:eastAsia="Calibri" w:hAnsi="Georgia"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9" w15:restartNumberingAfterBreak="0">
    <w:nsid w:val="6F5A21BD"/>
    <w:multiLevelType w:val="hybridMultilevel"/>
    <w:tmpl w:val="F4DA13F6"/>
    <w:lvl w:ilvl="0" w:tplc="946C5B82">
      <w:start w:val="1"/>
      <w:numFmt w:val="lowerLetter"/>
      <w:lvlText w:val="%1)"/>
      <w:lvlJc w:val="left"/>
      <w:pPr>
        <w:ind w:left="1800" w:hanging="360"/>
      </w:pPr>
      <w:rPr>
        <w:rFonts w:hint="default"/>
      </w:rPr>
    </w:lvl>
    <w:lvl w:ilvl="1" w:tplc="04250019">
      <w:start w:val="1"/>
      <w:numFmt w:val="lowerLetter"/>
      <w:lvlText w:val="%2."/>
      <w:lvlJc w:val="left"/>
      <w:pPr>
        <w:ind w:left="2520" w:hanging="360"/>
      </w:pPr>
    </w:lvl>
    <w:lvl w:ilvl="2" w:tplc="0425001B">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40" w15:restartNumberingAfterBreak="0">
    <w:nsid w:val="6F68271F"/>
    <w:multiLevelType w:val="hybridMultilevel"/>
    <w:tmpl w:val="95C2CE3E"/>
    <w:lvl w:ilvl="0" w:tplc="711CD18C">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2AE4BE6"/>
    <w:multiLevelType w:val="hybridMultilevel"/>
    <w:tmpl w:val="F99449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E0E3864"/>
    <w:multiLevelType w:val="multilevel"/>
    <w:tmpl w:val="D89EDB4A"/>
    <w:lvl w:ilvl="0">
      <w:start w:val="1"/>
      <w:numFmt w:val="decimal"/>
      <w:pStyle w:val="Heading1"/>
      <w:lvlText w:val="%1."/>
      <w:lvlJc w:val="left"/>
      <w:pPr>
        <w:tabs>
          <w:tab w:val="num" w:pos="360"/>
        </w:tabs>
        <w:ind w:left="360" w:hanging="360"/>
      </w:pPr>
      <w:rPr>
        <w:rFonts w:hint="default"/>
        <w:b/>
        <w:i w:val="0"/>
      </w:rPr>
    </w:lvl>
    <w:lvl w:ilvl="1">
      <w:start w:val="1"/>
      <w:numFmt w:val="decimal"/>
      <w:lvlText w:val="%2."/>
      <w:lvlJc w:val="left"/>
      <w:pPr>
        <w:tabs>
          <w:tab w:val="num" w:pos="644"/>
        </w:tabs>
        <w:ind w:left="644" w:hanging="360"/>
      </w:pPr>
      <w:rPr>
        <w:rFonts w:ascii="Times New Roman" w:eastAsia="Times New Roman" w:hAnsi="Times New Roman" w:cs="Times New Roman"/>
        <w:b/>
        <w:i w:val="0"/>
        <w:color w:val="auto"/>
      </w:rPr>
    </w:lvl>
    <w:lvl w:ilvl="2">
      <w:start w:val="1"/>
      <w:numFmt w:val="decimal"/>
      <w:pStyle w:val="phitekst2"/>
      <w:lvlText w:val="%1.%2.%3."/>
      <w:lvlJc w:val="left"/>
      <w:pPr>
        <w:tabs>
          <w:tab w:val="num" w:pos="1497"/>
        </w:tabs>
        <w:ind w:left="1497"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FD32762"/>
    <w:multiLevelType w:val="hybridMultilevel"/>
    <w:tmpl w:val="42E8460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89886159">
    <w:abstractNumId w:val="27"/>
  </w:num>
  <w:num w:numId="2" w16cid:durableId="1500657920">
    <w:abstractNumId w:val="5"/>
  </w:num>
  <w:num w:numId="3" w16cid:durableId="1223902202">
    <w:abstractNumId w:val="12"/>
  </w:num>
  <w:num w:numId="4" w16cid:durableId="1269238517">
    <w:abstractNumId w:val="0"/>
  </w:num>
  <w:num w:numId="5" w16cid:durableId="641613596">
    <w:abstractNumId w:val="42"/>
  </w:num>
  <w:num w:numId="6" w16cid:durableId="477961801">
    <w:abstractNumId w:val="19"/>
  </w:num>
  <w:num w:numId="7" w16cid:durableId="227611462">
    <w:abstractNumId w:val="4"/>
  </w:num>
  <w:num w:numId="8" w16cid:durableId="356351998">
    <w:abstractNumId w:val="39"/>
  </w:num>
  <w:num w:numId="9" w16cid:durableId="566034520">
    <w:abstractNumId w:val="28"/>
  </w:num>
  <w:num w:numId="10" w16cid:durableId="1666274945">
    <w:abstractNumId w:val="29"/>
  </w:num>
  <w:num w:numId="11" w16cid:durableId="115173805">
    <w:abstractNumId w:val="14"/>
  </w:num>
  <w:num w:numId="12" w16cid:durableId="1901362649">
    <w:abstractNumId w:val="13"/>
  </w:num>
  <w:num w:numId="13" w16cid:durableId="1365866553">
    <w:abstractNumId w:val="22"/>
  </w:num>
  <w:num w:numId="14" w16cid:durableId="1940484691">
    <w:abstractNumId w:val="17"/>
  </w:num>
  <w:num w:numId="15" w16cid:durableId="1914506600">
    <w:abstractNumId w:val="1"/>
  </w:num>
  <w:num w:numId="16" w16cid:durableId="107551025">
    <w:abstractNumId w:val="26"/>
  </w:num>
  <w:num w:numId="17" w16cid:durableId="1549799201">
    <w:abstractNumId w:val="20"/>
  </w:num>
  <w:num w:numId="18" w16cid:durableId="13752290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1154767">
    <w:abstractNumId w:val="36"/>
  </w:num>
  <w:num w:numId="20" w16cid:durableId="703484066">
    <w:abstractNumId w:val="16"/>
  </w:num>
  <w:num w:numId="21" w16cid:durableId="1569226317">
    <w:abstractNumId w:val="40"/>
  </w:num>
  <w:num w:numId="22" w16cid:durableId="2111007084">
    <w:abstractNumId w:val="15"/>
  </w:num>
  <w:num w:numId="23" w16cid:durableId="1719040464">
    <w:abstractNumId w:val="31"/>
  </w:num>
  <w:num w:numId="24" w16cid:durableId="898058825">
    <w:abstractNumId w:val="18"/>
  </w:num>
  <w:num w:numId="25" w16cid:durableId="964236536">
    <w:abstractNumId w:val="9"/>
  </w:num>
  <w:num w:numId="26" w16cid:durableId="1744713776">
    <w:abstractNumId w:val="38"/>
  </w:num>
  <w:num w:numId="27" w16cid:durableId="602105738">
    <w:abstractNumId w:val="21"/>
  </w:num>
  <w:num w:numId="28" w16cid:durableId="1154764267">
    <w:abstractNumId w:val="32"/>
  </w:num>
  <w:num w:numId="29" w16cid:durableId="740560330">
    <w:abstractNumId w:val="30"/>
  </w:num>
  <w:num w:numId="30" w16cid:durableId="2048601544">
    <w:abstractNumId w:val="8"/>
  </w:num>
  <w:num w:numId="31" w16cid:durableId="1758794037">
    <w:abstractNumId w:val="37"/>
  </w:num>
  <w:num w:numId="32" w16cid:durableId="1630354600">
    <w:abstractNumId w:val="34"/>
  </w:num>
  <w:num w:numId="33" w16cid:durableId="1378579002">
    <w:abstractNumId w:val="2"/>
  </w:num>
  <w:num w:numId="34" w16cid:durableId="263072100">
    <w:abstractNumId w:val="25"/>
  </w:num>
  <w:num w:numId="35" w16cid:durableId="1694108271">
    <w:abstractNumId w:val="35"/>
  </w:num>
  <w:num w:numId="36" w16cid:durableId="205873422">
    <w:abstractNumId w:val="33"/>
  </w:num>
  <w:num w:numId="37" w16cid:durableId="77682070">
    <w:abstractNumId w:val="7"/>
  </w:num>
  <w:num w:numId="38" w16cid:durableId="554388193">
    <w:abstractNumId w:val="24"/>
  </w:num>
  <w:num w:numId="39" w16cid:durableId="753941039">
    <w:abstractNumId w:val="41"/>
  </w:num>
  <w:num w:numId="40" w16cid:durableId="653602842">
    <w:abstractNumId w:val="6"/>
  </w:num>
  <w:num w:numId="41" w16cid:durableId="1105923354">
    <w:abstractNumId w:val="10"/>
  </w:num>
  <w:num w:numId="42" w16cid:durableId="684474960">
    <w:abstractNumId w:val="43"/>
  </w:num>
  <w:num w:numId="43" w16cid:durableId="1894462293">
    <w:abstractNumId w:val="23"/>
  </w:num>
  <w:num w:numId="44" w16cid:durableId="1152602964">
    <w:abstractNumId w:val="3"/>
  </w:num>
  <w:num w:numId="45" w16cid:durableId="1821263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C1"/>
    <w:rsid w:val="00000800"/>
    <w:rsid w:val="00001DAF"/>
    <w:rsid w:val="000039C4"/>
    <w:rsid w:val="000044AE"/>
    <w:rsid w:val="000073BD"/>
    <w:rsid w:val="0001006B"/>
    <w:rsid w:val="000112FC"/>
    <w:rsid w:val="000148AF"/>
    <w:rsid w:val="00015508"/>
    <w:rsid w:val="00016253"/>
    <w:rsid w:val="00022F10"/>
    <w:rsid w:val="000243AC"/>
    <w:rsid w:val="00026D26"/>
    <w:rsid w:val="000275BF"/>
    <w:rsid w:val="00032A67"/>
    <w:rsid w:val="00040654"/>
    <w:rsid w:val="00043D2C"/>
    <w:rsid w:val="000462BB"/>
    <w:rsid w:val="00063C41"/>
    <w:rsid w:val="00064079"/>
    <w:rsid w:val="0006677C"/>
    <w:rsid w:val="00067978"/>
    <w:rsid w:val="00067BC7"/>
    <w:rsid w:val="0007184B"/>
    <w:rsid w:val="00073A04"/>
    <w:rsid w:val="00073F22"/>
    <w:rsid w:val="00076603"/>
    <w:rsid w:val="00080B8C"/>
    <w:rsid w:val="000844E1"/>
    <w:rsid w:val="00084528"/>
    <w:rsid w:val="00084A39"/>
    <w:rsid w:val="00090A7C"/>
    <w:rsid w:val="000A1047"/>
    <w:rsid w:val="000A117B"/>
    <w:rsid w:val="000A38C1"/>
    <w:rsid w:val="000A4F3B"/>
    <w:rsid w:val="000B2237"/>
    <w:rsid w:val="000B2F3B"/>
    <w:rsid w:val="000B4A67"/>
    <w:rsid w:val="000B75BC"/>
    <w:rsid w:val="000C0A4A"/>
    <w:rsid w:val="000C1AE4"/>
    <w:rsid w:val="000C3132"/>
    <w:rsid w:val="000C7023"/>
    <w:rsid w:val="000D01D1"/>
    <w:rsid w:val="000D289F"/>
    <w:rsid w:val="000D52E4"/>
    <w:rsid w:val="000D64A9"/>
    <w:rsid w:val="000D7EF9"/>
    <w:rsid w:val="000E3B95"/>
    <w:rsid w:val="000E487A"/>
    <w:rsid w:val="000E5686"/>
    <w:rsid w:val="000E6A7A"/>
    <w:rsid w:val="000E6C9A"/>
    <w:rsid w:val="000E7AB6"/>
    <w:rsid w:val="000F20FF"/>
    <w:rsid w:val="000F2AA4"/>
    <w:rsid w:val="000F5F3C"/>
    <w:rsid w:val="000F68E1"/>
    <w:rsid w:val="000F7F8D"/>
    <w:rsid w:val="00103AA8"/>
    <w:rsid w:val="001047E2"/>
    <w:rsid w:val="00105FE8"/>
    <w:rsid w:val="001079B8"/>
    <w:rsid w:val="00112EA7"/>
    <w:rsid w:val="0011532D"/>
    <w:rsid w:val="00115F70"/>
    <w:rsid w:val="00117EB5"/>
    <w:rsid w:val="00124CEC"/>
    <w:rsid w:val="00126971"/>
    <w:rsid w:val="00130AE0"/>
    <w:rsid w:val="00135544"/>
    <w:rsid w:val="00135549"/>
    <w:rsid w:val="00140753"/>
    <w:rsid w:val="00141305"/>
    <w:rsid w:val="00142624"/>
    <w:rsid w:val="001438C6"/>
    <w:rsid w:val="00154BD9"/>
    <w:rsid w:val="001562DF"/>
    <w:rsid w:val="00157DC4"/>
    <w:rsid w:val="00160504"/>
    <w:rsid w:val="00162993"/>
    <w:rsid w:val="001723DC"/>
    <w:rsid w:val="00175C36"/>
    <w:rsid w:val="00176C77"/>
    <w:rsid w:val="001846E9"/>
    <w:rsid w:val="00184A69"/>
    <w:rsid w:val="00184E3F"/>
    <w:rsid w:val="001859CF"/>
    <w:rsid w:val="00185E1E"/>
    <w:rsid w:val="00186970"/>
    <w:rsid w:val="00186A8F"/>
    <w:rsid w:val="00187456"/>
    <w:rsid w:val="00191C5C"/>
    <w:rsid w:val="0019396D"/>
    <w:rsid w:val="00197EDE"/>
    <w:rsid w:val="001A01D3"/>
    <w:rsid w:val="001A2745"/>
    <w:rsid w:val="001B1CA8"/>
    <w:rsid w:val="001B2710"/>
    <w:rsid w:val="001B32DC"/>
    <w:rsid w:val="001C18E4"/>
    <w:rsid w:val="001C1932"/>
    <w:rsid w:val="001C2F4E"/>
    <w:rsid w:val="001C4113"/>
    <w:rsid w:val="001C5970"/>
    <w:rsid w:val="001C7384"/>
    <w:rsid w:val="001C7EE2"/>
    <w:rsid w:val="001D10C7"/>
    <w:rsid w:val="001D19F8"/>
    <w:rsid w:val="001D3959"/>
    <w:rsid w:val="001D78F6"/>
    <w:rsid w:val="001E5005"/>
    <w:rsid w:val="001F162D"/>
    <w:rsid w:val="002000DE"/>
    <w:rsid w:val="00201027"/>
    <w:rsid w:val="00201642"/>
    <w:rsid w:val="002032C5"/>
    <w:rsid w:val="00205125"/>
    <w:rsid w:val="0020541F"/>
    <w:rsid w:val="0020569D"/>
    <w:rsid w:val="002150AB"/>
    <w:rsid w:val="00217C13"/>
    <w:rsid w:val="00221FBE"/>
    <w:rsid w:val="00224910"/>
    <w:rsid w:val="00227347"/>
    <w:rsid w:val="00227CC9"/>
    <w:rsid w:val="00227F06"/>
    <w:rsid w:val="0023066A"/>
    <w:rsid w:val="002333FB"/>
    <w:rsid w:val="002341D7"/>
    <w:rsid w:val="00235277"/>
    <w:rsid w:val="0023747A"/>
    <w:rsid w:val="002418B5"/>
    <w:rsid w:val="00243C89"/>
    <w:rsid w:val="0025042F"/>
    <w:rsid w:val="00251EAF"/>
    <w:rsid w:val="00260433"/>
    <w:rsid w:val="00261869"/>
    <w:rsid w:val="0026400F"/>
    <w:rsid w:val="00264965"/>
    <w:rsid w:val="00264A32"/>
    <w:rsid w:val="00264DAA"/>
    <w:rsid w:val="00267079"/>
    <w:rsid w:val="0027231E"/>
    <w:rsid w:val="002724CC"/>
    <w:rsid w:val="00275694"/>
    <w:rsid w:val="002758CB"/>
    <w:rsid w:val="00280C12"/>
    <w:rsid w:val="00281700"/>
    <w:rsid w:val="00281F5A"/>
    <w:rsid w:val="00282E16"/>
    <w:rsid w:val="002860A1"/>
    <w:rsid w:val="002879D6"/>
    <w:rsid w:val="00291155"/>
    <w:rsid w:val="0029233A"/>
    <w:rsid w:val="002964B9"/>
    <w:rsid w:val="002A0D5B"/>
    <w:rsid w:val="002A31EF"/>
    <w:rsid w:val="002A5331"/>
    <w:rsid w:val="002A6895"/>
    <w:rsid w:val="002B0663"/>
    <w:rsid w:val="002B2C8A"/>
    <w:rsid w:val="002B2CBE"/>
    <w:rsid w:val="002B6DA3"/>
    <w:rsid w:val="002C4A4F"/>
    <w:rsid w:val="002C57C3"/>
    <w:rsid w:val="002C6C43"/>
    <w:rsid w:val="002C7297"/>
    <w:rsid w:val="002D20C8"/>
    <w:rsid w:val="002D3CAE"/>
    <w:rsid w:val="002D3F20"/>
    <w:rsid w:val="002D5B29"/>
    <w:rsid w:val="002E13CD"/>
    <w:rsid w:val="002E1857"/>
    <w:rsid w:val="002E2A6D"/>
    <w:rsid w:val="002E2F95"/>
    <w:rsid w:val="002E3743"/>
    <w:rsid w:val="002F2648"/>
    <w:rsid w:val="002F752A"/>
    <w:rsid w:val="002F7CE5"/>
    <w:rsid w:val="002F7F92"/>
    <w:rsid w:val="00300498"/>
    <w:rsid w:val="003039E8"/>
    <w:rsid w:val="00304575"/>
    <w:rsid w:val="00307693"/>
    <w:rsid w:val="00311106"/>
    <w:rsid w:val="00315001"/>
    <w:rsid w:val="00316F36"/>
    <w:rsid w:val="00320C08"/>
    <w:rsid w:val="00320E29"/>
    <w:rsid w:val="00322C96"/>
    <w:rsid w:val="00322FD1"/>
    <w:rsid w:val="003263EB"/>
    <w:rsid w:val="00326402"/>
    <w:rsid w:val="003278B8"/>
    <w:rsid w:val="00330A11"/>
    <w:rsid w:val="00335325"/>
    <w:rsid w:val="003366B9"/>
    <w:rsid w:val="003424E3"/>
    <w:rsid w:val="0034370F"/>
    <w:rsid w:val="00344AFA"/>
    <w:rsid w:val="00351420"/>
    <w:rsid w:val="00360A49"/>
    <w:rsid w:val="003615F9"/>
    <w:rsid w:val="00362483"/>
    <w:rsid w:val="00362771"/>
    <w:rsid w:val="00363F79"/>
    <w:rsid w:val="00364299"/>
    <w:rsid w:val="00376DDF"/>
    <w:rsid w:val="00377D55"/>
    <w:rsid w:val="00380181"/>
    <w:rsid w:val="003801AA"/>
    <w:rsid w:val="003808F8"/>
    <w:rsid w:val="00381170"/>
    <w:rsid w:val="00382C4D"/>
    <w:rsid w:val="003848E5"/>
    <w:rsid w:val="00384A71"/>
    <w:rsid w:val="00385FF8"/>
    <w:rsid w:val="00393A47"/>
    <w:rsid w:val="00395914"/>
    <w:rsid w:val="003979A0"/>
    <w:rsid w:val="003A2A03"/>
    <w:rsid w:val="003A353D"/>
    <w:rsid w:val="003A50FA"/>
    <w:rsid w:val="003A79BD"/>
    <w:rsid w:val="003B1220"/>
    <w:rsid w:val="003B15AC"/>
    <w:rsid w:val="003B1E81"/>
    <w:rsid w:val="003C0146"/>
    <w:rsid w:val="003C1903"/>
    <w:rsid w:val="003C3040"/>
    <w:rsid w:val="003D7D5B"/>
    <w:rsid w:val="003E46C9"/>
    <w:rsid w:val="003F207A"/>
    <w:rsid w:val="003F3605"/>
    <w:rsid w:val="003F5D76"/>
    <w:rsid w:val="003F6A54"/>
    <w:rsid w:val="003F7392"/>
    <w:rsid w:val="003F775F"/>
    <w:rsid w:val="00406573"/>
    <w:rsid w:val="00406AB3"/>
    <w:rsid w:val="00407289"/>
    <w:rsid w:val="00410275"/>
    <w:rsid w:val="0041336E"/>
    <w:rsid w:val="00417752"/>
    <w:rsid w:val="00422BE5"/>
    <w:rsid w:val="004277F9"/>
    <w:rsid w:val="00430E40"/>
    <w:rsid w:val="0043168C"/>
    <w:rsid w:val="004327D4"/>
    <w:rsid w:val="004331B3"/>
    <w:rsid w:val="00434864"/>
    <w:rsid w:val="00437E7C"/>
    <w:rsid w:val="0044601B"/>
    <w:rsid w:val="0045416E"/>
    <w:rsid w:val="00454441"/>
    <w:rsid w:val="00454E51"/>
    <w:rsid w:val="00457F8F"/>
    <w:rsid w:val="0046005B"/>
    <w:rsid w:val="004607F3"/>
    <w:rsid w:val="004608F8"/>
    <w:rsid w:val="00460FA9"/>
    <w:rsid w:val="0046123F"/>
    <w:rsid w:val="004646DB"/>
    <w:rsid w:val="00464B87"/>
    <w:rsid w:val="00465A4A"/>
    <w:rsid w:val="00465F27"/>
    <w:rsid w:val="004669AE"/>
    <w:rsid w:val="00471F83"/>
    <w:rsid w:val="004764F5"/>
    <w:rsid w:val="00476D38"/>
    <w:rsid w:val="00477013"/>
    <w:rsid w:val="004770A7"/>
    <w:rsid w:val="004776CE"/>
    <w:rsid w:val="004805AD"/>
    <w:rsid w:val="0048225A"/>
    <w:rsid w:val="00486C2F"/>
    <w:rsid w:val="00486DE0"/>
    <w:rsid w:val="00492ACC"/>
    <w:rsid w:val="00493C15"/>
    <w:rsid w:val="00496E5D"/>
    <w:rsid w:val="004976BA"/>
    <w:rsid w:val="004A0BF4"/>
    <w:rsid w:val="004A1DB8"/>
    <w:rsid w:val="004A689F"/>
    <w:rsid w:val="004B344C"/>
    <w:rsid w:val="004B5C77"/>
    <w:rsid w:val="004B6DCD"/>
    <w:rsid w:val="004C18BC"/>
    <w:rsid w:val="004C4A85"/>
    <w:rsid w:val="004C7BCD"/>
    <w:rsid w:val="004D066B"/>
    <w:rsid w:val="004D1340"/>
    <w:rsid w:val="004D3255"/>
    <w:rsid w:val="004D5223"/>
    <w:rsid w:val="004D6BE3"/>
    <w:rsid w:val="004E370E"/>
    <w:rsid w:val="004E3C3D"/>
    <w:rsid w:val="004E5300"/>
    <w:rsid w:val="004E6AF3"/>
    <w:rsid w:val="004E71DC"/>
    <w:rsid w:val="004E7A65"/>
    <w:rsid w:val="004F2493"/>
    <w:rsid w:val="004F40B4"/>
    <w:rsid w:val="004F7538"/>
    <w:rsid w:val="005022CA"/>
    <w:rsid w:val="00502847"/>
    <w:rsid w:val="0050514E"/>
    <w:rsid w:val="0050649A"/>
    <w:rsid w:val="00514579"/>
    <w:rsid w:val="005159D1"/>
    <w:rsid w:val="005163D8"/>
    <w:rsid w:val="005253E4"/>
    <w:rsid w:val="005255DC"/>
    <w:rsid w:val="00527252"/>
    <w:rsid w:val="00527A54"/>
    <w:rsid w:val="00530E34"/>
    <w:rsid w:val="00532159"/>
    <w:rsid w:val="00540B40"/>
    <w:rsid w:val="00541CCF"/>
    <w:rsid w:val="00542744"/>
    <w:rsid w:val="00543D5A"/>
    <w:rsid w:val="00544F48"/>
    <w:rsid w:val="005522CF"/>
    <w:rsid w:val="00557491"/>
    <w:rsid w:val="005617E1"/>
    <w:rsid w:val="005617E5"/>
    <w:rsid w:val="00562B8F"/>
    <w:rsid w:val="00562EAE"/>
    <w:rsid w:val="00564CA2"/>
    <w:rsid w:val="0056614E"/>
    <w:rsid w:val="005677FC"/>
    <w:rsid w:val="00567FE3"/>
    <w:rsid w:val="005719CE"/>
    <w:rsid w:val="00572A8D"/>
    <w:rsid w:val="005762BB"/>
    <w:rsid w:val="00576D82"/>
    <w:rsid w:val="005809B1"/>
    <w:rsid w:val="00581ED9"/>
    <w:rsid w:val="0058491D"/>
    <w:rsid w:val="0058600F"/>
    <w:rsid w:val="005864A8"/>
    <w:rsid w:val="00586E70"/>
    <w:rsid w:val="005973C8"/>
    <w:rsid w:val="005A10C7"/>
    <w:rsid w:val="005A301B"/>
    <w:rsid w:val="005A5CC9"/>
    <w:rsid w:val="005A7D10"/>
    <w:rsid w:val="005B5FCE"/>
    <w:rsid w:val="005B6641"/>
    <w:rsid w:val="005B70CB"/>
    <w:rsid w:val="005B79D4"/>
    <w:rsid w:val="005C0869"/>
    <w:rsid w:val="005C310B"/>
    <w:rsid w:val="005C3395"/>
    <w:rsid w:val="005C3644"/>
    <w:rsid w:val="005C516B"/>
    <w:rsid w:val="005C7449"/>
    <w:rsid w:val="005D0847"/>
    <w:rsid w:val="005D0DCE"/>
    <w:rsid w:val="005D480C"/>
    <w:rsid w:val="005D64A0"/>
    <w:rsid w:val="005E1F87"/>
    <w:rsid w:val="005E29AB"/>
    <w:rsid w:val="005E3005"/>
    <w:rsid w:val="006010B7"/>
    <w:rsid w:val="006021F9"/>
    <w:rsid w:val="006070C4"/>
    <w:rsid w:val="0061249E"/>
    <w:rsid w:val="00617225"/>
    <w:rsid w:val="00627206"/>
    <w:rsid w:val="006331A4"/>
    <w:rsid w:val="00634C8D"/>
    <w:rsid w:val="00635775"/>
    <w:rsid w:val="0064015F"/>
    <w:rsid w:val="00641547"/>
    <w:rsid w:val="006423E5"/>
    <w:rsid w:val="00643A92"/>
    <w:rsid w:val="00644965"/>
    <w:rsid w:val="00645F0D"/>
    <w:rsid w:val="00647D11"/>
    <w:rsid w:val="00651882"/>
    <w:rsid w:val="00652E9A"/>
    <w:rsid w:val="006538E1"/>
    <w:rsid w:val="00655A06"/>
    <w:rsid w:val="00657432"/>
    <w:rsid w:val="006647CB"/>
    <w:rsid w:val="006655DE"/>
    <w:rsid w:val="00667A71"/>
    <w:rsid w:val="006710D0"/>
    <w:rsid w:val="00673EA9"/>
    <w:rsid w:val="00675EBB"/>
    <w:rsid w:val="006764DA"/>
    <w:rsid w:val="00676C7E"/>
    <w:rsid w:val="0068086E"/>
    <w:rsid w:val="006814E1"/>
    <w:rsid w:val="00682199"/>
    <w:rsid w:val="006826DE"/>
    <w:rsid w:val="00682D4B"/>
    <w:rsid w:val="00684D02"/>
    <w:rsid w:val="00685182"/>
    <w:rsid w:val="00693736"/>
    <w:rsid w:val="006964E2"/>
    <w:rsid w:val="00696ECF"/>
    <w:rsid w:val="006971EC"/>
    <w:rsid w:val="006A03DA"/>
    <w:rsid w:val="006A0533"/>
    <w:rsid w:val="006A0AC4"/>
    <w:rsid w:val="006A6EED"/>
    <w:rsid w:val="006B030D"/>
    <w:rsid w:val="006B0FBF"/>
    <w:rsid w:val="006B159D"/>
    <w:rsid w:val="006B3C55"/>
    <w:rsid w:val="006B5963"/>
    <w:rsid w:val="006D1126"/>
    <w:rsid w:val="006D431C"/>
    <w:rsid w:val="006D7982"/>
    <w:rsid w:val="006E29B6"/>
    <w:rsid w:val="006E2C6E"/>
    <w:rsid w:val="006E67E1"/>
    <w:rsid w:val="006E7C1F"/>
    <w:rsid w:val="006F17D2"/>
    <w:rsid w:val="006F1A80"/>
    <w:rsid w:val="006F25A9"/>
    <w:rsid w:val="00702562"/>
    <w:rsid w:val="007035D8"/>
    <w:rsid w:val="00703F6A"/>
    <w:rsid w:val="00704156"/>
    <w:rsid w:val="00706FA3"/>
    <w:rsid w:val="00707B68"/>
    <w:rsid w:val="007157F5"/>
    <w:rsid w:val="007204CF"/>
    <w:rsid w:val="00722785"/>
    <w:rsid w:val="0072539C"/>
    <w:rsid w:val="00726A2C"/>
    <w:rsid w:val="0072790B"/>
    <w:rsid w:val="0073010E"/>
    <w:rsid w:val="00737BBC"/>
    <w:rsid w:val="007401A4"/>
    <w:rsid w:val="00742432"/>
    <w:rsid w:val="00744799"/>
    <w:rsid w:val="00745647"/>
    <w:rsid w:val="0074795F"/>
    <w:rsid w:val="00747C98"/>
    <w:rsid w:val="00747F01"/>
    <w:rsid w:val="00755786"/>
    <w:rsid w:val="00756C11"/>
    <w:rsid w:val="00762352"/>
    <w:rsid w:val="00763E1C"/>
    <w:rsid w:val="00765003"/>
    <w:rsid w:val="00765A7F"/>
    <w:rsid w:val="00771F51"/>
    <w:rsid w:val="00783A73"/>
    <w:rsid w:val="00783C72"/>
    <w:rsid w:val="00790518"/>
    <w:rsid w:val="00791C54"/>
    <w:rsid w:val="00795E86"/>
    <w:rsid w:val="007A6195"/>
    <w:rsid w:val="007B2079"/>
    <w:rsid w:val="007B25CE"/>
    <w:rsid w:val="007C7919"/>
    <w:rsid w:val="007D0FE2"/>
    <w:rsid w:val="007D2731"/>
    <w:rsid w:val="007D27E8"/>
    <w:rsid w:val="007D3FCC"/>
    <w:rsid w:val="007D6F42"/>
    <w:rsid w:val="007D748A"/>
    <w:rsid w:val="007E0A1F"/>
    <w:rsid w:val="007E186F"/>
    <w:rsid w:val="007E45A5"/>
    <w:rsid w:val="007F0C2D"/>
    <w:rsid w:val="007F1BCD"/>
    <w:rsid w:val="007F28DC"/>
    <w:rsid w:val="007F7F2B"/>
    <w:rsid w:val="0080328B"/>
    <w:rsid w:val="008038A7"/>
    <w:rsid w:val="00810096"/>
    <w:rsid w:val="0081106D"/>
    <w:rsid w:val="0082026C"/>
    <w:rsid w:val="00820502"/>
    <w:rsid w:val="0082260A"/>
    <w:rsid w:val="0082422E"/>
    <w:rsid w:val="0082613E"/>
    <w:rsid w:val="008305DB"/>
    <w:rsid w:val="00831655"/>
    <w:rsid w:val="00835229"/>
    <w:rsid w:val="008409E1"/>
    <w:rsid w:val="00840CF3"/>
    <w:rsid w:val="0084244B"/>
    <w:rsid w:val="00846C94"/>
    <w:rsid w:val="00847788"/>
    <w:rsid w:val="00850E22"/>
    <w:rsid w:val="008525FF"/>
    <w:rsid w:val="00854D4D"/>
    <w:rsid w:val="0085506E"/>
    <w:rsid w:val="00855794"/>
    <w:rsid w:val="0086012C"/>
    <w:rsid w:val="00860383"/>
    <w:rsid w:val="008604D7"/>
    <w:rsid w:val="00860A80"/>
    <w:rsid w:val="0086574C"/>
    <w:rsid w:val="008672DA"/>
    <w:rsid w:val="00871481"/>
    <w:rsid w:val="0087158E"/>
    <w:rsid w:val="008717BB"/>
    <w:rsid w:val="00871E0C"/>
    <w:rsid w:val="00872F2F"/>
    <w:rsid w:val="008756BF"/>
    <w:rsid w:val="00875859"/>
    <w:rsid w:val="008801EE"/>
    <w:rsid w:val="00880C72"/>
    <w:rsid w:val="00880E11"/>
    <w:rsid w:val="008833D1"/>
    <w:rsid w:val="00885D33"/>
    <w:rsid w:val="00887253"/>
    <w:rsid w:val="00892020"/>
    <w:rsid w:val="00894AAF"/>
    <w:rsid w:val="00894B79"/>
    <w:rsid w:val="008A1A8E"/>
    <w:rsid w:val="008A23B4"/>
    <w:rsid w:val="008B1496"/>
    <w:rsid w:val="008B3322"/>
    <w:rsid w:val="008B3F23"/>
    <w:rsid w:val="008B3FA3"/>
    <w:rsid w:val="008C26A4"/>
    <w:rsid w:val="008C379F"/>
    <w:rsid w:val="008C57EC"/>
    <w:rsid w:val="008C5B49"/>
    <w:rsid w:val="008C748F"/>
    <w:rsid w:val="008D51E9"/>
    <w:rsid w:val="008D5E3F"/>
    <w:rsid w:val="008D7122"/>
    <w:rsid w:val="008D7B96"/>
    <w:rsid w:val="008D7DC9"/>
    <w:rsid w:val="008E0FFF"/>
    <w:rsid w:val="008E3A4A"/>
    <w:rsid w:val="008E6788"/>
    <w:rsid w:val="008F27E5"/>
    <w:rsid w:val="008F2D8C"/>
    <w:rsid w:val="008F6F2C"/>
    <w:rsid w:val="008F7200"/>
    <w:rsid w:val="00906674"/>
    <w:rsid w:val="00907ED2"/>
    <w:rsid w:val="00911332"/>
    <w:rsid w:val="009139CC"/>
    <w:rsid w:val="00916392"/>
    <w:rsid w:val="00924CCD"/>
    <w:rsid w:val="00930062"/>
    <w:rsid w:val="00930520"/>
    <w:rsid w:val="00930604"/>
    <w:rsid w:val="00935854"/>
    <w:rsid w:val="0093759A"/>
    <w:rsid w:val="00946DC5"/>
    <w:rsid w:val="00951D81"/>
    <w:rsid w:val="00953BA1"/>
    <w:rsid w:val="00953DF9"/>
    <w:rsid w:val="00954D96"/>
    <w:rsid w:val="00956B12"/>
    <w:rsid w:val="00956BAE"/>
    <w:rsid w:val="009606EC"/>
    <w:rsid w:val="0096101C"/>
    <w:rsid w:val="009673A0"/>
    <w:rsid w:val="00970A52"/>
    <w:rsid w:val="009775BD"/>
    <w:rsid w:val="00983D18"/>
    <w:rsid w:val="009842DD"/>
    <w:rsid w:val="00986E91"/>
    <w:rsid w:val="009871E0"/>
    <w:rsid w:val="00995C7F"/>
    <w:rsid w:val="009968AD"/>
    <w:rsid w:val="00997D87"/>
    <w:rsid w:val="009A0AD0"/>
    <w:rsid w:val="009A1563"/>
    <w:rsid w:val="009A1BDA"/>
    <w:rsid w:val="009A3770"/>
    <w:rsid w:val="009A54B9"/>
    <w:rsid w:val="009B2B21"/>
    <w:rsid w:val="009B5CB2"/>
    <w:rsid w:val="009C1FB1"/>
    <w:rsid w:val="009D217F"/>
    <w:rsid w:val="009D6583"/>
    <w:rsid w:val="009F1A82"/>
    <w:rsid w:val="009F3AD9"/>
    <w:rsid w:val="009F4B42"/>
    <w:rsid w:val="009F7713"/>
    <w:rsid w:val="00A00010"/>
    <w:rsid w:val="00A009CF"/>
    <w:rsid w:val="00A010EA"/>
    <w:rsid w:val="00A04DF6"/>
    <w:rsid w:val="00A05951"/>
    <w:rsid w:val="00A05B5F"/>
    <w:rsid w:val="00A07ECB"/>
    <w:rsid w:val="00A1195D"/>
    <w:rsid w:val="00A12D5C"/>
    <w:rsid w:val="00A166EB"/>
    <w:rsid w:val="00A17626"/>
    <w:rsid w:val="00A20473"/>
    <w:rsid w:val="00A22E5D"/>
    <w:rsid w:val="00A23415"/>
    <w:rsid w:val="00A27E89"/>
    <w:rsid w:val="00A33771"/>
    <w:rsid w:val="00A338C6"/>
    <w:rsid w:val="00A35AC7"/>
    <w:rsid w:val="00A417B5"/>
    <w:rsid w:val="00A4262F"/>
    <w:rsid w:val="00A42988"/>
    <w:rsid w:val="00A45AEE"/>
    <w:rsid w:val="00A55D85"/>
    <w:rsid w:val="00A56A50"/>
    <w:rsid w:val="00A613A9"/>
    <w:rsid w:val="00A6457F"/>
    <w:rsid w:val="00A70E17"/>
    <w:rsid w:val="00A711A2"/>
    <w:rsid w:val="00A72983"/>
    <w:rsid w:val="00A73579"/>
    <w:rsid w:val="00A754AA"/>
    <w:rsid w:val="00A7669F"/>
    <w:rsid w:val="00A76A5A"/>
    <w:rsid w:val="00A83022"/>
    <w:rsid w:val="00A868DC"/>
    <w:rsid w:val="00A907E3"/>
    <w:rsid w:val="00A94AA1"/>
    <w:rsid w:val="00A956D4"/>
    <w:rsid w:val="00A973B6"/>
    <w:rsid w:val="00AA2EA1"/>
    <w:rsid w:val="00AA46A7"/>
    <w:rsid w:val="00AA4DE0"/>
    <w:rsid w:val="00AB203C"/>
    <w:rsid w:val="00AB2518"/>
    <w:rsid w:val="00AC07D7"/>
    <w:rsid w:val="00AC58B2"/>
    <w:rsid w:val="00AC711D"/>
    <w:rsid w:val="00AD1699"/>
    <w:rsid w:val="00AD1DE6"/>
    <w:rsid w:val="00AD345B"/>
    <w:rsid w:val="00AE039E"/>
    <w:rsid w:val="00AE234B"/>
    <w:rsid w:val="00AE30A7"/>
    <w:rsid w:val="00AE35AA"/>
    <w:rsid w:val="00AE618E"/>
    <w:rsid w:val="00AE687F"/>
    <w:rsid w:val="00AF06EC"/>
    <w:rsid w:val="00AF3305"/>
    <w:rsid w:val="00AF3E96"/>
    <w:rsid w:val="00B03179"/>
    <w:rsid w:val="00B055AD"/>
    <w:rsid w:val="00B060AA"/>
    <w:rsid w:val="00B15454"/>
    <w:rsid w:val="00B15B35"/>
    <w:rsid w:val="00B17F2D"/>
    <w:rsid w:val="00B200E2"/>
    <w:rsid w:val="00B21A98"/>
    <w:rsid w:val="00B22EC7"/>
    <w:rsid w:val="00B23547"/>
    <w:rsid w:val="00B26185"/>
    <w:rsid w:val="00B27DC4"/>
    <w:rsid w:val="00B3067D"/>
    <w:rsid w:val="00B30E5F"/>
    <w:rsid w:val="00B3161C"/>
    <w:rsid w:val="00B31B07"/>
    <w:rsid w:val="00B31C84"/>
    <w:rsid w:val="00B354FB"/>
    <w:rsid w:val="00B364D2"/>
    <w:rsid w:val="00B46196"/>
    <w:rsid w:val="00B46C91"/>
    <w:rsid w:val="00B4721B"/>
    <w:rsid w:val="00B53E64"/>
    <w:rsid w:val="00B56A3C"/>
    <w:rsid w:val="00B5707E"/>
    <w:rsid w:val="00B57193"/>
    <w:rsid w:val="00B57A9C"/>
    <w:rsid w:val="00B6797D"/>
    <w:rsid w:val="00B7436E"/>
    <w:rsid w:val="00B750F0"/>
    <w:rsid w:val="00B754CB"/>
    <w:rsid w:val="00B75878"/>
    <w:rsid w:val="00B853F8"/>
    <w:rsid w:val="00B87C9C"/>
    <w:rsid w:val="00B9327C"/>
    <w:rsid w:val="00B93602"/>
    <w:rsid w:val="00B9482B"/>
    <w:rsid w:val="00B963FE"/>
    <w:rsid w:val="00B9734B"/>
    <w:rsid w:val="00BA00CB"/>
    <w:rsid w:val="00BA408A"/>
    <w:rsid w:val="00BA49D3"/>
    <w:rsid w:val="00BA4B6A"/>
    <w:rsid w:val="00BB264B"/>
    <w:rsid w:val="00BB3BDF"/>
    <w:rsid w:val="00BB54AD"/>
    <w:rsid w:val="00BB5CC8"/>
    <w:rsid w:val="00BB6EC6"/>
    <w:rsid w:val="00BB6F14"/>
    <w:rsid w:val="00BC2203"/>
    <w:rsid w:val="00BC428A"/>
    <w:rsid w:val="00BD118A"/>
    <w:rsid w:val="00BD4D5F"/>
    <w:rsid w:val="00BD6CEB"/>
    <w:rsid w:val="00BE04BF"/>
    <w:rsid w:val="00BE0F2B"/>
    <w:rsid w:val="00BE2F58"/>
    <w:rsid w:val="00BE3824"/>
    <w:rsid w:val="00BE3F1F"/>
    <w:rsid w:val="00BE75FE"/>
    <w:rsid w:val="00BF3BD4"/>
    <w:rsid w:val="00BF70F7"/>
    <w:rsid w:val="00C01C98"/>
    <w:rsid w:val="00C02B8C"/>
    <w:rsid w:val="00C04586"/>
    <w:rsid w:val="00C15A3D"/>
    <w:rsid w:val="00C17D28"/>
    <w:rsid w:val="00C22FBF"/>
    <w:rsid w:val="00C23682"/>
    <w:rsid w:val="00C2441F"/>
    <w:rsid w:val="00C25A6D"/>
    <w:rsid w:val="00C25C2F"/>
    <w:rsid w:val="00C266FE"/>
    <w:rsid w:val="00C27AF4"/>
    <w:rsid w:val="00C3289E"/>
    <w:rsid w:val="00C32900"/>
    <w:rsid w:val="00C33C44"/>
    <w:rsid w:val="00C40444"/>
    <w:rsid w:val="00C432BD"/>
    <w:rsid w:val="00C43943"/>
    <w:rsid w:val="00C5287F"/>
    <w:rsid w:val="00C52B11"/>
    <w:rsid w:val="00C53D13"/>
    <w:rsid w:val="00C56C45"/>
    <w:rsid w:val="00C56F27"/>
    <w:rsid w:val="00C6137D"/>
    <w:rsid w:val="00C61705"/>
    <w:rsid w:val="00C61D17"/>
    <w:rsid w:val="00C7084D"/>
    <w:rsid w:val="00C71D84"/>
    <w:rsid w:val="00C743ED"/>
    <w:rsid w:val="00C767E8"/>
    <w:rsid w:val="00C769DB"/>
    <w:rsid w:val="00C7713C"/>
    <w:rsid w:val="00C8281F"/>
    <w:rsid w:val="00C82B23"/>
    <w:rsid w:val="00C84907"/>
    <w:rsid w:val="00C85500"/>
    <w:rsid w:val="00C87A87"/>
    <w:rsid w:val="00C92F2D"/>
    <w:rsid w:val="00C967E9"/>
    <w:rsid w:val="00CA1568"/>
    <w:rsid w:val="00CA4275"/>
    <w:rsid w:val="00CA4A5D"/>
    <w:rsid w:val="00CB004E"/>
    <w:rsid w:val="00CB1E8E"/>
    <w:rsid w:val="00CB3D01"/>
    <w:rsid w:val="00CB502E"/>
    <w:rsid w:val="00CB6313"/>
    <w:rsid w:val="00CB6615"/>
    <w:rsid w:val="00CB7D07"/>
    <w:rsid w:val="00CC323E"/>
    <w:rsid w:val="00CE0342"/>
    <w:rsid w:val="00CF0789"/>
    <w:rsid w:val="00CF0ACD"/>
    <w:rsid w:val="00CF27AB"/>
    <w:rsid w:val="00CF2C28"/>
    <w:rsid w:val="00CF33FF"/>
    <w:rsid w:val="00CF41FC"/>
    <w:rsid w:val="00CF4A06"/>
    <w:rsid w:val="00CF4F6B"/>
    <w:rsid w:val="00CF520E"/>
    <w:rsid w:val="00CF648C"/>
    <w:rsid w:val="00CF6CE5"/>
    <w:rsid w:val="00CF707B"/>
    <w:rsid w:val="00CF7256"/>
    <w:rsid w:val="00CF7391"/>
    <w:rsid w:val="00CF7F84"/>
    <w:rsid w:val="00D04601"/>
    <w:rsid w:val="00D0746A"/>
    <w:rsid w:val="00D1047F"/>
    <w:rsid w:val="00D1443F"/>
    <w:rsid w:val="00D14AE9"/>
    <w:rsid w:val="00D168F7"/>
    <w:rsid w:val="00D2538E"/>
    <w:rsid w:val="00D317F0"/>
    <w:rsid w:val="00D351C3"/>
    <w:rsid w:val="00D354C4"/>
    <w:rsid w:val="00D360E2"/>
    <w:rsid w:val="00D406C4"/>
    <w:rsid w:val="00D459D4"/>
    <w:rsid w:val="00D45C06"/>
    <w:rsid w:val="00D45F40"/>
    <w:rsid w:val="00D46FDA"/>
    <w:rsid w:val="00D52A65"/>
    <w:rsid w:val="00D53588"/>
    <w:rsid w:val="00D5668D"/>
    <w:rsid w:val="00D56B0E"/>
    <w:rsid w:val="00D60EE1"/>
    <w:rsid w:val="00D622E3"/>
    <w:rsid w:val="00D653E4"/>
    <w:rsid w:val="00D65415"/>
    <w:rsid w:val="00D66967"/>
    <w:rsid w:val="00D67060"/>
    <w:rsid w:val="00D704EB"/>
    <w:rsid w:val="00D748CB"/>
    <w:rsid w:val="00D75A26"/>
    <w:rsid w:val="00D85C9A"/>
    <w:rsid w:val="00D87903"/>
    <w:rsid w:val="00D9110A"/>
    <w:rsid w:val="00D93D45"/>
    <w:rsid w:val="00D94297"/>
    <w:rsid w:val="00D970AA"/>
    <w:rsid w:val="00D97AB6"/>
    <w:rsid w:val="00D97DE2"/>
    <w:rsid w:val="00DA548B"/>
    <w:rsid w:val="00DA6A39"/>
    <w:rsid w:val="00DA6FA9"/>
    <w:rsid w:val="00DB2E0C"/>
    <w:rsid w:val="00DB3CA9"/>
    <w:rsid w:val="00DB5FE1"/>
    <w:rsid w:val="00DC32B5"/>
    <w:rsid w:val="00DC45F9"/>
    <w:rsid w:val="00DD42BD"/>
    <w:rsid w:val="00DD5661"/>
    <w:rsid w:val="00DE0C4A"/>
    <w:rsid w:val="00DE306B"/>
    <w:rsid w:val="00DE5035"/>
    <w:rsid w:val="00DE65FD"/>
    <w:rsid w:val="00DE70CF"/>
    <w:rsid w:val="00DF066C"/>
    <w:rsid w:val="00DF472E"/>
    <w:rsid w:val="00E008C0"/>
    <w:rsid w:val="00E00F7C"/>
    <w:rsid w:val="00E02D83"/>
    <w:rsid w:val="00E02FEB"/>
    <w:rsid w:val="00E04247"/>
    <w:rsid w:val="00E0470D"/>
    <w:rsid w:val="00E049FC"/>
    <w:rsid w:val="00E0531E"/>
    <w:rsid w:val="00E05669"/>
    <w:rsid w:val="00E11BBA"/>
    <w:rsid w:val="00E130DF"/>
    <w:rsid w:val="00E13529"/>
    <w:rsid w:val="00E151FF"/>
    <w:rsid w:val="00E15D08"/>
    <w:rsid w:val="00E17DD0"/>
    <w:rsid w:val="00E20C88"/>
    <w:rsid w:val="00E2159C"/>
    <w:rsid w:val="00E21EEA"/>
    <w:rsid w:val="00E261C8"/>
    <w:rsid w:val="00E30589"/>
    <w:rsid w:val="00E32E77"/>
    <w:rsid w:val="00E34721"/>
    <w:rsid w:val="00E37FD2"/>
    <w:rsid w:val="00E40EB9"/>
    <w:rsid w:val="00E4271C"/>
    <w:rsid w:val="00E44FEE"/>
    <w:rsid w:val="00E51B74"/>
    <w:rsid w:val="00E54B42"/>
    <w:rsid w:val="00E54DE7"/>
    <w:rsid w:val="00E67670"/>
    <w:rsid w:val="00E7081F"/>
    <w:rsid w:val="00E73F25"/>
    <w:rsid w:val="00E76B9C"/>
    <w:rsid w:val="00E7768C"/>
    <w:rsid w:val="00E85ABF"/>
    <w:rsid w:val="00E85FAD"/>
    <w:rsid w:val="00E86265"/>
    <w:rsid w:val="00E86334"/>
    <w:rsid w:val="00E87B16"/>
    <w:rsid w:val="00E9160B"/>
    <w:rsid w:val="00E92089"/>
    <w:rsid w:val="00E93A51"/>
    <w:rsid w:val="00E94161"/>
    <w:rsid w:val="00E942D2"/>
    <w:rsid w:val="00EA19BD"/>
    <w:rsid w:val="00EA1AA5"/>
    <w:rsid w:val="00EA1F47"/>
    <w:rsid w:val="00EA582F"/>
    <w:rsid w:val="00EB1E04"/>
    <w:rsid w:val="00EB3C66"/>
    <w:rsid w:val="00EB4001"/>
    <w:rsid w:val="00EC0C2F"/>
    <w:rsid w:val="00EC7081"/>
    <w:rsid w:val="00ED561E"/>
    <w:rsid w:val="00EE1CEC"/>
    <w:rsid w:val="00EE2C4F"/>
    <w:rsid w:val="00EE65AF"/>
    <w:rsid w:val="00EF340C"/>
    <w:rsid w:val="00EF5235"/>
    <w:rsid w:val="00EF570D"/>
    <w:rsid w:val="00F01B02"/>
    <w:rsid w:val="00F03590"/>
    <w:rsid w:val="00F04178"/>
    <w:rsid w:val="00F04785"/>
    <w:rsid w:val="00F0545B"/>
    <w:rsid w:val="00F1289B"/>
    <w:rsid w:val="00F13DE1"/>
    <w:rsid w:val="00F15944"/>
    <w:rsid w:val="00F250AF"/>
    <w:rsid w:val="00F26CDA"/>
    <w:rsid w:val="00F31583"/>
    <w:rsid w:val="00F3213B"/>
    <w:rsid w:val="00F36704"/>
    <w:rsid w:val="00F40A8E"/>
    <w:rsid w:val="00F40FE5"/>
    <w:rsid w:val="00F52857"/>
    <w:rsid w:val="00F5366D"/>
    <w:rsid w:val="00F61C11"/>
    <w:rsid w:val="00F62810"/>
    <w:rsid w:val="00F65767"/>
    <w:rsid w:val="00F6664A"/>
    <w:rsid w:val="00F66654"/>
    <w:rsid w:val="00F66B47"/>
    <w:rsid w:val="00F679D9"/>
    <w:rsid w:val="00F70428"/>
    <w:rsid w:val="00F720CD"/>
    <w:rsid w:val="00F72E31"/>
    <w:rsid w:val="00F73317"/>
    <w:rsid w:val="00F73628"/>
    <w:rsid w:val="00F81419"/>
    <w:rsid w:val="00F816A8"/>
    <w:rsid w:val="00F85CCD"/>
    <w:rsid w:val="00F87077"/>
    <w:rsid w:val="00F91CBD"/>
    <w:rsid w:val="00F951AD"/>
    <w:rsid w:val="00FA3C03"/>
    <w:rsid w:val="00FB01ED"/>
    <w:rsid w:val="00FB1312"/>
    <w:rsid w:val="00FB361C"/>
    <w:rsid w:val="00FB78AF"/>
    <w:rsid w:val="00FC09B5"/>
    <w:rsid w:val="00FC2D65"/>
    <w:rsid w:val="00FC2D98"/>
    <w:rsid w:val="00FC2E58"/>
    <w:rsid w:val="00FC7A82"/>
    <w:rsid w:val="00FD0637"/>
    <w:rsid w:val="00FD0BBD"/>
    <w:rsid w:val="00FD2039"/>
    <w:rsid w:val="00FD3779"/>
    <w:rsid w:val="00FD6F88"/>
    <w:rsid w:val="00FE1708"/>
    <w:rsid w:val="00FE1820"/>
    <w:rsid w:val="00FE2075"/>
    <w:rsid w:val="00FE4662"/>
    <w:rsid w:val="00FF3993"/>
    <w:rsid w:val="00FF4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68011"/>
  <w14:defaultImageDpi w14:val="300"/>
  <w15:docId w15:val="{6015BFF9-BF9C-4229-B41F-CDB4BDCE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842DD"/>
    <w:pPr>
      <w:keepNext/>
      <w:numPr>
        <w:numId w:val="5"/>
      </w:numPr>
      <w:spacing w:before="240" w:after="60"/>
      <w:outlineLvl w:val="0"/>
    </w:pPr>
    <w:rPr>
      <w:rFonts w:ascii="Times New Roman" w:eastAsia="Times New Roman" w:hAnsi="Times New Roman" w:cs="Arial"/>
      <w:b/>
      <w:bCs/>
      <w:caps/>
      <w:kern w:val="32"/>
      <w:sz w:val="32"/>
      <w:szCs w:val="32"/>
    </w:rPr>
  </w:style>
  <w:style w:type="paragraph" w:styleId="Heading2">
    <w:name w:val="heading 2"/>
    <w:basedOn w:val="Normal"/>
    <w:next w:val="Normal"/>
    <w:link w:val="Heading2Char"/>
    <w:uiPriority w:val="9"/>
    <w:semiHidden/>
    <w:unhideWhenUsed/>
    <w:qFormat/>
    <w:rsid w:val="006710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842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2E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A38C1"/>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0A38C1"/>
    <w:rPr>
      <w:rFonts w:ascii="Times New Roman" w:eastAsia="Times New Roman" w:hAnsi="Times New Roman" w:cs="Times New Roman"/>
    </w:rPr>
  </w:style>
  <w:style w:type="paragraph" w:styleId="ListParagraph">
    <w:name w:val="List Paragraph"/>
    <w:aliases w:val="Mummuga loetelu,Loendi l›ik,List (bullet),List Paragraph1"/>
    <w:basedOn w:val="Normal"/>
    <w:link w:val="ListParagraphChar"/>
    <w:uiPriority w:val="34"/>
    <w:qFormat/>
    <w:rsid w:val="000A38C1"/>
    <w:pPr>
      <w:ind w:left="720"/>
      <w:contextualSpacing/>
    </w:pPr>
    <w:rPr>
      <w:rFonts w:ascii="Times New Roman" w:eastAsia="Times New Roman" w:hAnsi="Times New Roman" w:cs="Times New Roman"/>
      <w:sz w:val="20"/>
      <w:szCs w:val="20"/>
    </w:rPr>
  </w:style>
  <w:style w:type="character" w:customStyle="1" w:styleId="Liguvaikefont1">
    <w:name w:val="Lõigu vaikefont1"/>
    <w:rsid w:val="000A38C1"/>
  </w:style>
  <w:style w:type="character" w:styleId="Hyperlink">
    <w:name w:val="Hyperlink"/>
    <w:basedOn w:val="DefaultParagraphFont"/>
    <w:uiPriority w:val="99"/>
    <w:rsid w:val="000A38C1"/>
    <w:rPr>
      <w:color w:val="0000FF"/>
      <w:u w:val="single"/>
    </w:rPr>
  </w:style>
  <w:style w:type="table" w:styleId="TableGrid">
    <w:name w:val="Table Grid"/>
    <w:basedOn w:val="TableNormal"/>
    <w:uiPriority w:val="39"/>
    <w:rsid w:val="000A38C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541F"/>
    <w:rPr>
      <w:color w:val="800080" w:themeColor="followedHyperlink"/>
      <w:u w:val="single"/>
    </w:rPr>
  </w:style>
  <w:style w:type="character" w:styleId="CommentReference">
    <w:name w:val="annotation reference"/>
    <w:basedOn w:val="DefaultParagraphFont"/>
    <w:uiPriority w:val="99"/>
    <w:semiHidden/>
    <w:unhideWhenUsed/>
    <w:rsid w:val="00860383"/>
    <w:rPr>
      <w:sz w:val="18"/>
      <w:szCs w:val="18"/>
    </w:rPr>
  </w:style>
  <w:style w:type="paragraph" w:styleId="CommentText">
    <w:name w:val="annotation text"/>
    <w:basedOn w:val="Normal"/>
    <w:link w:val="CommentTextChar"/>
    <w:uiPriority w:val="99"/>
    <w:unhideWhenUsed/>
    <w:rsid w:val="00860383"/>
  </w:style>
  <w:style w:type="character" w:customStyle="1" w:styleId="CommentTextChar">
    <w:name w:val="Comment Text Char"/>
    <w:basedOn w:val="DefaultParagraphFont"/>
    <w:link w:val="CommentText"/>
    <w:uiPriority w:val="99"/>
    <w:rsid w:val="00860383"/>
  </w:style>
  <w:style w:type="paragraph" w:styleId="CommentSubject">
    <w:name w:val="annotation subject"/>
    <w:basedOn w:val="CommentText"/>
    <w:next w:val="CommentText"/>
    <w:link w:val="CommentSubjectChar"/>
    <w:uiPriority w:val="99"/>
    <w:semiHidden/>
    <w:unhideWhenUsed/>
    <w:rsid w:val="00860383"/>
    <w:rPr>
      <w:b/>
      <w:bCs/>
      <w:sz w:val="20"/>
      <w:szCs w:val="20"/>
    </w:rPr>
  </w:style>
  <w:style w:type="character" w:customStyle="1" w:styleId="CommentSubjectChar">
    <w:name w:val="Comment Subject Char"/>
    <w:basedOn w:val="CommentTextChar"/>
    <w:link w:val="CommentSubject"/>
    <w:uiPriority w:val="99"/>
    <w:semiHidden/>
    <w:rsid w:val="00860383"/>
    <w:rPr>
      <w:b/>
      <w:bCs/>
      <w:sz w:val="20"/>
      <w:szCs w:val="20"/>
    </w:rPr>
  </w:style>
  <w:style w:type="paragraph" w:styleId="BalloonText">
    <w:name w:val="Balloon Text"/>
    <w:basedOn w:val="Normal"/>
    <w:link w:val="BalloonTextChar"/>
    <w:uiPriority w:val="99"/>
    <w:semiHidden/>
    <w:unhideWhenUsed/>
    <w:rsid w:val="008603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0383"/>
    <w:rPr>
      <w:rFonts w:ascii="Lucida Grande" w:hAnsi="Lucida Grande" w:cs="Lucida Grande"/>
      <w:sz w:val="18"/>
      <w:szCs w:val="18"/>
    </w:rPr>
  </w:style>
  <w:style w:type="paragraph" w:styleId="Header">
    <w:name w:val="header"/>
    <w:basedOn w:val="Normal"/>
    <w:link w:val="HeaderChar"/>
    <w:uiPriority w:val="99"/>
    <w:unhideWhenUsed/>
    <w:rsid w:val="00032A67"/>
    <w:pPr>
      <w:tabs>
        <w:tab w:val="center" w:pos="4320"/>
        <w:tab w:val="right" w:pos="8640"/>
      </w:tabs>
    </w:pPr>
  </w:style>
  <w:style w:type="character" w:customStyle="1" w:styleId="HeaderChar">
    <w:name w:val="Header Char"/>
    <w:basedOn w:val="DefaultParagraphFont"/>
    <w:link w:val="Header"/>
    <w:uiPriority w:val="99"/>
    <w:rsid w:val="00032A67"/>
  </w:style>
  <w:style w:type="paragraph" w:styleId="Footer">
    <w:name w:val="footer"/>
    <w:basedOn w:val="Normal"/>
    <w:link w:val="FooterChar"/>
    <w:uiPriority w:val="99"/>
    <w:unhideWhenUsed/>
    <w:rsid w:val="00032A67"/>
    <w:pPr>
      <w:tabs>
        <w:tab w:val="center" w:pos="4320"/>
        <w:tab w:val="right" w:pos="8640"/>
      </w:tabs>
    </w:pPr>
  </w:style>
  <w:style w:type="character" w:customStyle="1" w:styleId="FooterChar">
    <w:name w:val="Footer Char"/>
    <w:basedOn w:val="DefaultParagraphFont"/>
    <w:link w:val="Footer"/>
    <w:uiPriority w:val="99"/>
    <w:rsid w:val="00032A67"/>
  </w:style>
  <w:style w:type="character" w:customStyle="1" w:styleId="Heading1Char">
    <w:name w:val="Heading 1 Char"/>
    <w:basedOn w:val="DefaultParagraphFont"/>
    <w:link w:val="Heading1"/>
    <w:rsid w:val="009842DD"/>
    <w:rPr>
      <w:rFonts w:ascii="Times New Roman" w:eastAsia="Times New Roman" w:hAnsi="Times New Roman" w:cs="Arial"/>
      <w:b/>
      <w:bCs/>
      <w:caps/>
      <w:kern w:val="32"/>
      <w:sz w:val="32"/>
      <w:szCs w:val="32"/>
    </w:rPr>
  </w:style>
  <w:style w:type="paragraph" w:customStyle="1" w:styleId="phitekst2">
    <w:name w:val="põhitekst 2"/>
    <w:basedOn w:val="Heading3"/>
    <w:rsid w:val="009842DD"/>
    <w:pPr>
      <w:keepNext w:val="0"/>
      <w:keepLines w:val="0"/>
      <w:numPr>
        <w:ilvl w:val="2"/>
        <w:numId w:val="5"/>
      </w:numPr>
      <w:tabs>
        <w:tab w:val="clear" w:pos="1497"/>
        <w:tab w:val="num" w:pos="360"/>
      </w:tabs>
      <w:spacing w:before="0"/>
      <w:ind w:left="0" w:firstLine="0"/>
    </w:pPr>
    <w:rPr>
      <w:rFonts w:ascii="Times New Roman" w:eastAsia="Times New Roman" w:hAnsi="Times New Roman" w:cs="Times New Roman"/>
      <w:b w:val="0"/>
      <w:color w:val="auto"/>
      <w:szCs w:val="26"/>
    </w:rPr>
  </w:style>
  <w:style w:type="character" w:customStyle="1" w:styleId="Heading3Char">
    <w:name w:val="Heading 3 Char"/>
    <w:basedOn w:val="DefaultParagraphFont"/>
    <w:link w:val="Heading3"/>
    <w:uiPriority w:val="9"/>
    <w:semiHidden/>
    <w:rsid w:val="009842DD"/>
    <w:rPr>
      <w:rFonts w:asciiTheme="majorHAnsi" w:eastAsiaTheme="majorEastAsia" w:hAnsiTheme="majorHAnsi" w:cstheme="majorBidi"/>
      <w:b/>
      <w:bCs/>
      <w:color w:val="4F81BD" w:themeColor="accent1"/>
    </w:rPr>
  </w:style>
  <w:style w:type="paragraph" w:styleId="Revision">
    <w:name w:val="Revision"/>
    <w:hidden/>
    <w:uiPriority w:val="99"/>
    <w:semiHidden/>
    <w:rsid w:val="007F7F2B"/>
  </w:style>
  <w:style w:type="character" w:customStyle="1" w:styleId="Lahendamatamainimine1">
    <w:name w:val="Lahendamata mainimine1"/>
    <w:basedOn w:val="DefaultParagraphFont"/>
    <w:uiPriority w:val="99"/>
    <w:rsid w:val="00176C77"/>
    <w:rPr>
      <w:color w:val="808080"/>
      <w:shd w:val="clear" w:color="auto" w:fill="E6E6E6"/>
    </w:rPr>
  </w:style>
  <w:style w:type="character" w:customStyle="1" w:styleId="Lahendamatamainimine2">
    <w:name w:val="Lahendamata mainimine2"/>
    <w:basedOn w:val="DefaultParagraphFont"/>
    <w:uiPriority w:val="99"/>
    <w:rsid w:val="0025042F"/>
    <w:rPr>
      <w:color w:val="808080"/>
      <w:shd w:val="clear" w:color="auto" w:fill="E6E6E6"/>
    </w:rPr>
  </w:style>
  <w:style w:type="paragraph" w:styleId="NormalWeb">
    <w:name w:val="Normal (Web)"/>
    <w:basedOn w:val="Normal"/>
    <w:uiPriority w:val="99"/>
    <w:semiHidden/>
    <w:unhideWhenUsed/>
    <w:rsid w:val="00D9110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110A"/>
    <w:rPr>
      <w:b/>
      <w:bCs/>
    </w:rPr>
  </w:style>
  <w:style w:type="character" w:customStyle="1" w:styleId="tyhik">
    <w:name w:val="tyhik"/>
    <w:basedOn w:val="DefaultParagraphFont"/>
    <w:rsid w:val="003801AA"/>
  </w:style>
  <w:style w:type="character" w:styleId="UnresolvedMention">
    <w:name w:val="Unresolved Mention"/>
    <w:basedOn w:val="DefaultParagraphFont"/>
    <w:uiPriority w:val="99"/>
    <w:semiHidden/>
    <w:unhideWhenUsed/>
    <w:rsid w:val="00CB004E"/>
    <w:rPr>
      <w:color w:val="605E5C"/>
      <w:shd w:val="clear" w:color="auto" w:fill="E1DFDD"/>
    </w:rPr>
  </w:style>
  <w:style w:type="character" w:customStyle="1" w:styleId="Heading2Char">
    <w:name w:val="Heading 2 Char"/>
    <w:basedOn w:val="DefaultParagraphFont"/>
    <w:link w:val="Heading2"/>
    <w:uiPriority w:val="9"/>
    <w:semiHidden/>
    <w:rsid w:val="006710D0"/>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DB2E0C"/>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Mummuga loetelu Char,Loendi l›ik Char,List (bullet) Char,List Paragraph1 Char"/>
    <w:basedOn w:val="DefaultParagraphFont"/>
    <w:link w:val="ListParagraph"/>
    <w:uiPriority w:val="34"/>
    <w:locked/>
    <w:rsid w:val="00D351C3"/>
    <w:rPr>
      <w:rFonts w:ascii="Times New Roman" w:eastAsia="Times New Roman" w:hAnsi="Times New Roman" w:cs="Times New Roman"/>
      <w:sz w:val="20"/>
      <w:szCs w:val="20"/>
    </w:rPr>
  </w:style>
  <w:style w:type="paragraph" w:customStyle="1" w:styleId="P68B1DB1-Normaallaad1">
    <w:name w:val="P68B1DB1-Normaallaad1"/>
    <w:basedOn w:val="Normal"/>
    <w:rPr>
      <w:rFonts w:ascii="Arial" w:hAnsi="Arial" w:cs="Arial"/>
      <w:b/>
      <w:sz w:val="22"/>
      <w:szCs w:val="22"/>
    </w:rPr>
  </w:style>
  <w:style w:type="paragraph" w:customStyle="1" w:styleId="P68B1DB1-Normaallaad2">
    <w:name w:val="P68B1DB1-Normaallaad2"/>
    <w:basedOn w:val="Normal"/>
    <w:rPr>
      <w:rFonts w:ascii="Arial" w:hAnsi="Arial" w:cs="Arial"/>
      <w:sz w:val="22"/>
      <w:szCs w:val="22"/>
    </w:rPr>
  </w:style>
  <w:style w:type="paragraph" w:customStyle="1" w:styleId="P68B1DB1-Normaallaad3">
    <w:name w:val="P68B1DB1-Normaallaad3"/>
    <w:basedOn w:val="Normal"/>
    <w:rPr>
      <w:rFonts w:ascii="Arial" w:eastAsia="Arial" w:hAnsi="Arial" w:cs="Arial"/>
      <w:sz w:val="22"/>
      <w:szCs w:val="22"/>
    </w:rPr>
  </w:style>
  <w:style w:type="paragraph" w:customStyle="1" w:styleId="P68B1DB1-Loendilik4">
    <w:name w:val="P68B1DB1-Loendilik4"/>
    <w:basedOn w:val="ListParagraph"/>
    <w:rPr>
      <w:rFonts w:ascii="Arial" w:hAnsi="Arial" w:cs="Arial"/>
      <w:sz w:val="22"/>
      <w:szCs w:val="22"/>
    </w:rPr>
  </w:style>
  <w:style w:type="paragraph" w:customStyle="1" w:styleId="P68B1DB1-Loendilik5">
    <w:name w:val="P68B1DB1-Loendilik5"/>
    <w:basedOn w:val="ListParagraph"/>
    <w:rPr>
      <w:rFonts w:ascii="Arial" w:hAnsi="Arial" w:cs="Arial"/>
      <w:b/>
      <w:sz w:val="22"/>
      <w:szCs w:val="22"/>
    </w:rPr>
  </w:style>
  <w:style w:type="paragraph" w:customStyle="1" w:styleId="P68B1DB1-Normaallaad6">
    <w:name w:val="P68B1DB1-Normaallaad6"/>
    <w:basedOn w:val="Normal"/>
    <w:rPr>
      <w:rFonts w:ascii="Arial" w:eastAsia="Arial" w:hAnsi="Arial" w:cs="Arial"/>
      <w:b/>
      <w:sz w:val="22"/>
      <w:szCs w:val="22"/>
    </w:rPr>
  </w:style>
  <w:style w:type="paragraph" w:customStyle="1" w:styleId="P68B1DB1-phitekst27">
    <w:name w:val="P68B1DB1-phitekst27"/>
    <w:basedOn w:val="phitekst2"/>
    <w:rPr>
      <w:rFonts w:ascii="Arial" w:hAnsi="Arial" w:cs="Arial"/>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097">
      <w:bodyDiv w:val="1"/>
      <w:marLeft w:val="0"/>
      <w:marRight w:val="0"/>
      <w:marTop w:val="0"/>
      <w:marBottom w:val="0"/>
      <w:divBdr>
        <w:top w:val="none" w:sz="0" w:space="0" w:color="auto"/>
        <w:left w:val="none" w:sz="0" w:space="0" w:color="auto"/>
        <w:bottom w:val="none" w:sz="0" w:space="0" w:color="auto"/>
        <w:right w:val="none" w:sz="0" w:space="0" w:color="auto"/>
      </w:divBdr>
    </w:div>
    <w:div w:id="536818953">
      <w:bodyDiv w:val="1"/>
      <w:marLeft w:val="0"/>
      <w:marRight w:val="0"/>
      <w:marTop w:val="0"/>
      <w:marBottom w:val="0"/>
      <w:divBdr>
        <w:top w:val="none" w:sz="0" w:space="0" w:color="auto"/>
        <w:left w:val="none" w:sz="0" w:space="0" w:color="auto"/>
        <w:bottom w:val="none" w:sz="0" w:space="0" w:color="auto"/>
        <w:right w:val="none" w:sz="0" w:space="0" w:color="auto"/>
      </w:divBdr>
    </w:div>
    <w:div w:id="567770893">
      <w:bodyDiv w:val="1"/>
      <w:marLeft w:val="0"/>
      <w:marRight w:val="0"/>
      <w:marTop w:val="0"/>
      <w:marBottom w:val="0"/>
      <w:divBdr>
        <w:top w:val="none" w:sz="0" w:space="0" w:color="auto"/>
        <w:left w:val="none" w:sz="0" w:space="0" w:color="auto"/>
        <w:bottom w:val="none" w:sz="0" w:space="0" w:color="auto"/>
        <w:right w:val="none" w:sz="0" w:space="0" w:color="auto"/>
      </w:divBdr>
    </w:div>
    <w:div w:id="1154876778">
      <w:bodyDiv w:val="1"/>
      <w:marLeft w:val="0"/>
      <w:marRight w:val="0"/>
      <w:marTop w:val="0"/>
      <w:marBottom w:val="0"/>
      <w:divBdr>
        <w:top w:val="none" w:sz="0" w:space="0" w:color="auto"/>
        <w:left w:val="none" w:sz="0" w:space="0" w:color="auto"/>
        <w:bottom w:val="none" w:sz="0" w:space="0" w:color="auto"/>
        <w:right w:val="none" w:sz="0" w:space="0" w:color="auto"/>
      </w:divBdr>
    </w:div>
    <w:div w:id="1314335775">
      <w:bodyDiv w:val="1"/>
      <w:marLeft w:val="0"/>
      <w:marRight w:val="0"/>
      <w:marTop w:val="0"/>
      <w:marBottom w:val="0"/>
      <w:divBdr>
        <w:top w:val="none" w:sz="0" w:space="0" w:color="auto"/>
        <w:left w:val="none" w:sz="0" w:space="0" w:color="auto"/>
        <w:bottom w:val="none" w:sz="0" w:space="0" w:color="auto"/>
        <w:right w:val="none" w:sz="0" w:space="0" w:color="auto"/>
      </w:divBdr>
    </w:div>
    <w:div w:id="1338731314">
      <w:bodyDiv w:val="1"/>
      <w:marLeft w:val="0"/>
      <w:marRight w:val="0"/>
      <w:marTop w:val="0"/>
      <w:marBottom w:val="0"/>
      <w:divBdr>
        <w:top w:val="none" w:sz="0" w:space="0" w:color="auto"/>
        <w:left w:val="none" w:sz="0" w:space="0" w:color="auto"/>
        <w:bottom w:val="none" w:sz="0" w:space="0" w:color="auto"/>
        <w:right w:val="none" w:sz="0" w:space="0" w:color="auto"/>
      </w:divBdr>
    </w:div>
    <w:div w:id="1538665204">
      <w:bodyDiv w:val="1"/>
      <w:marLeft w:val="0"/>
      <w:marRight w:val="0"/>
      <w:marTop w:val="0"/>
      <w:marBottom w:val="0"/>
      <w:divBdr>
        <w:top w:val="none" w:sz="0" w:space="0" w:color="auto"/>
        <w:left w:val="none" w:sz="0" w:space="0" w:color="auto"/>
        <w:bottom w:val="none" w:sz="0" w:space="0" w:color="auto"/>
        <w:right w:val="none" w:sz="0" w:space="0" w:color="auto"/>
      </w:divBdr>
    </w:div>
    <w:div w:id="1629361340">
      <w:bodyDiv w:val="1"/>
      <w:marLeft w:val="0"/>
      <w:marRight w:val="0"/>
      <w:marTop w:val="0"/>
      <w:marBottom w:val="0"/>
      <w:divBdr>
        <w:top w:val="none" w:sz="0" w:space="0" w:color="auto"/>
        <w:left w:val="none" w:sz="0" w:space="0" w:color="auto"/>
        <w:bottom w:val="none" w:sz="0" w:space="0" w:color="auto"/>
        <w:right w:val="none" w:sz="0" w:space="0" w:color="auto"/>
      </w:divBdr>
    </w:div>
    <w:div w:id="1720400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ked@sotsiaalkindlustusame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DC0-66A3-4B56-A930-54897705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1796</Words>
  <Characters>13691</Characters>
  <Application>Microsoft Office Word</Application>
  <DocSecurity>0</DocSecurity>
  <Lines>1369</Lines>
  <Paragraphs>329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Arengufond</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Kaasik</dc:creator>
  <cp:keywords/>
  <dc:description/>
  <cp:lastModifiedBy>Sven Peterson</cp:lastModifiedBy>
  <cp:revision>3</cp:revision>
  <cp:lastPrinted>2019-05-16T05:43:00Z</cp:lastPrinted>
  <dcterms:created xsi:type="dcterms:W3CDTF">2026-01-06T08:06:00Z</dcterms:created>
  <dcterms:modified xsi:type="dcterms:W3CDTF">2026-01-06T08:06:00Z</dcterms:modified>
</cp:coreProperties>
</file>