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6498" w14:textId="77777777" w:rsidR="00FE1294" w:rsidRPr="00FE1294" w:rsidRDefault="00FE1294" w:rsidP="00FE1294">
      <w:pPr>
        <w:pStyle w:val="eelnupealkiri"/>
        <w:jc w:val="right"/>
        <w:rPr>
          <w:b w:val="0"/>
          <w:sz w:val="24"/>
          <w:szCs w:val="24"/>
        </w:rPr>
      </w:pPr>
      <w:r w:rsidRPr="00FE1294">
        <w:rPr>
          <w:sz w:val="24"/>
          <w:szCs w:val="24"/>
        </w:rPr>
        <w:tab/>
      </w:r>
      <w:r w:rsidRPr="00FE1294">
        <w:rPr>
          <w:sz w:val="24"/>
          <w:szCs w:val="24"/>
        </w:rPr>
        <w:tab/>
      </w:r>
      <w:r w:rsidRPr="00FE1294">
        <w:rPr>
          <w:sz w:val="24"/>
          <w:szCs w:val="24"/>
        </w:rPr>
        <w:tab/>
      </w:r>
      <w:r w:rsidRPr="00FE1294">
        <w:rPr>
          <w:sz w:val="24"/>
          <w:szCs w:val="24"/>
        </w:rPr>
        <w:tab/>
      </w:r>
      <w:r w:rsidRPr="00FE1294">
        <w:rPr>
          <w:sz w:val="24"/>
          <w:szCs w:val="24"/>
        </w:rPr>
        <w:tab/>
      </w:r>
      <w:r w:rsidRPr="00FE1294">
        <w:rPr>
          <w:sz w:val="24"/>
          <w:szCs w:val="24"/>
        </w:rPr>
        <w:tab/>
        <w:t xml:space="preserve">         </w:t>
      </w:r>
      <w:r w:rsidRPr="00FE1294">
        <w:rPr>
          <w:b w:val="0"/>
          <w:sz w:val="24"/>
          <w:szCs w:val="24"/>
        </w:rPr>
        <w:t>EELNÕU</w:t>
      </w:r>
    </w:p>
    <w:p w14:paraId="7BFD8B56" w14:textId="7F684633" w:rsidR="00073753" w:rsidRPr="00CD229A" w:rsidRDefault="00073753" w:rsidP="00CD229A">
      <w:pPr>
        <w:pStyle w:val="eelnupealkiri"/>
        <w:rPr>
          <w:sz w:val="24"/>
          <w:szCs w:val="24"/>
        </w:rPr>
      </w:pPr>
      <w:r w:rsidRPr="00FE1294">
        <w:rPr>
          <w:sz w:val="24"/>
          <w:szCs w:val="24"/>
        </w:rPr>
        <w:t>Ravim</w:t>
      </w:r>
      <w:r w:rsidR="00FE1294" w:rsidRPr="00FE1294">
        <w:rPr>
          <w:sz w:val="24"/>
          <w:szCs w:val="24"/>
        </w:rPr>
        <w:t>iseaduse muutmise seadu</w:t>
      </w:r>
      <w:r w:rsidR="00CD229A">
        <w:rPr>
          <w:sz w:val="24"/>
          <w:szCs w:val="24"/>
        </w:rPr>
        <w:t>s</w:t>
      </w:r>
    </w:p>
    <w:p w14:paraId="48D75FF9" w14:textId="77777777" w:rsidR="00073753" w:rsidRPr="00FE1294" w:rsidRDefault="00073753" w:rsidP="00073753">
      <w:pPr>
        <w:rPr>
          <w:szCs w:val="24"/>
        </w:rPr>
      </w:pPr>
    </w:p>
    <w:p w14:paraId="0989B0E5" w14:textId="77777777" w:rsidR="00073753" w:rsidRPr="000D2DCD" w:rsidRDefault="00073753" w:rsidP="00073753">
      <w:pPr>
        <w:pStyle w:val="eelnupealkiri"/>
        <w:spacing w:before="0" w:after="0"/>
        <w:contextualSpacing/>
        <w:jc w:val="left"/>
        <w:rPr>
          <w:b w:val="0"/>
          <w:bCs w:val="0"/>
          <w:sz w:val="24"/>
          <w:szCs w:val="24"/>
        </w:rPr>
      </w:pPr>
      <w:bookmarkStart w:id="0" w:name="_Hlk198742209"/>
      <w:r w:rsidRPr="000D2DCD">
        <w:rPr>
          <w:b w:val="0"/>
          <w:bCs w:val="0"/>
          <w:sz w:val="24"/>
          <w:szCs w:val="24"/>
        </w:rPr>
        <w:t>§</w:t>
      </w:r>
      <w:bookmarkEnd w:id="0"/>
      <w:r w:rsidRPr="000D2DCD">
        <w:rPr>
          <w:b w:val="0"/>
          <w:bCs w:val="0"/>
          <w:sz w:val="24"/>
          <w:szCs w:val="24"/>
        </w:rPr>
        <w:t xml:space="preserve"> 1.  Ravimiseaduse muutmine</w:t>
      </w:r>
    </w:p>
    <w:p w14:paraId="02540814" w14:textId="77777777" w:rsidR="00073753" w:rsidRPr="000D2DCD" w:rsidRDefault="00073753" w:rsidP="00073753">
      <w:pPr>
        <w:pStyle w:val="eelnupealkiri"/>
        <w:spacing w:before="0" w:after="0"/>
        <w:contextualSpacing/>
        <w:jc w:val="left"/>
        <w:rPr>
          <w:b w:val="0"/>
          <w:bCs w:val="0"/>
          <w:sz w:val="24"/>
          <w:szCs w:val="24"/>
        </w:rPr>
      </w:pPr>
      <w:r w:rsidRPr="000D2DCD">
        <w:rPr>
          <w:b w:val="0"/>
          <w:bCs w:val="0"/>
          <w:sz w:val="24"/>
          <w:szCs w:val="24"/>
        </w:rPr>
        <w:tab/>
      </w:r>
    </w:p>
    <w:p w14:paraId="6CC6944C" w14:textId="77777777" w:rsidR="00073753" w:rsidRPr="000D2DCD" w:rsidRDefault="00073753" w:rsidP="00073753">
      <w:pPr>
        <w:pStyle w:val="eelnupealkiri"/>
        <w:spacing w:before="0" w:after="0"/>
        <w:contextualSpacing/>
        <w:jc w:val="left"/>
        <w:rPr>
          <w:b w:val="0"/>
          <w:bCs w:val="0"/>
          <w:color w:val="000000" w:themeColor="text1"/>
          <w:sz w:val="24"/>
          <w:szCs w:val="24"/>
        </w:rPr>
      </w:pPr>
      <w:r w:rsidRPr="000D2DCD">
        <w:rPr>
          <w:b w:val="0"/>
          <w:bCs w:val="0"/>
          <w:color w:val="000000" w:themeColor="text1"/>
          <w:sz w:val="24"/>
          <w:szCs w:val="24"/>
          <w:shd w:val="clear" w:color="auto" w:fill="FFFFFF"/>
        </w:rPr>
        <w:t>Ravimiseaduses</w:t>
      </w:r>
      <w:r w:rsidRPr="000D2DCD">
        <w:rPr>
          <w:b w:val="0"/>
          <w:bCs w:val="0"/>
          <w:color w:val="000000" w:themeColor="text1"/>
          <w:sz w:val="24"/>
          <w:szCs w:val="24"/>
        </w:rPr>
        <w:t xml:space="preserve"> tehakse järgmised muudatused:</w:t>
      </w:r>
    </w:p>
    <w:p w14:paraId="193407D3" w14:textId="77777777" w:rsidR="00073753" w:rsidRPr="000D2DCD" w:rsidRDefault="00073753" w:rsidP="00073753">
      <w:pPr>
        <w:pStyle w:val="eelnupealkiri"/>
        <w:spacing w:before="0" w:after="0"/>
        <w:contextualSpacing/>
        <w:jc w:val="left"/>
        <w:rPr>
          <w:b w:val="0"/>
          <w:bCs w:val="0"/>
          <w:color w:val="000000" w:themeColor="text1"/>
          <w:sz w:val="24"/>
          <w:szCs w:val="24"/>
          <w:bdr w:val="none" w:sz="0" w:space="0" w:color="auto" w:frame="1"/>
        </w:rPr>
      </w:pPr>
    </w:p>
    <w:p w14:paraId="7C1CD688" w14:textId="77777777" w:rsidR="00073753" w:rsidRPr="000D2DCD" w:rsidRDefault="00073753" w:rsidP="00073753">
      <w:pPr>
        <w:pStyle w:val="Loendilik"/>
        <w:numPr>
          <w:ilvl w:val="0"/>
          <w:numId w:val="1"/>
        </w:numPr>
        <w:shd w:val="clear" w:color="auto" w:fill="FFFFFF"/>
        <w:spacing w:after="0"/>
        <w:outlineLvl w:val="2"/>
        <w:rPr>
          <w:rFonts w:eastAsia="Times New Roman"/>
          <w:color w:val="000000" w:themeColor="text1"/>
          <w:szCs w:val="24"/>
          <w:bdr w:val="none" w:sz="0" w:space="0" w:color="auto" w:frame="1"/>
          <w:lang w:eastAsia="et-EE"/>
        </w:rPr>
      </w:pPr>
      <w:r w:rsidRPr="000D2DCD">
        <w:rPr>
          <w:rFonts w:eastAsia="Times New Roman"/>
          <w:color w:val="000000" w:themeColor="text1"/>
          <w:szCs w:val="24"/>
          <w:bdr w:val="none" w:sz="0" w:space="0" w:color="auto" w:frame="1"/>
          <w:lang w:eastAsia="et-EE"/>
        </w:rPr>
        <w:t xml:space="preserve">paragrahvi 82 </w:t>
      </w:r>
      <w:r w:rsidR="00FE1294" w:rsidRPr="000D2DCD">
        <w:rPr>
          <w:rFonts w:eastAsia="Times New Roman"/>
          <w:color w:val="000000" w:themeColor="text1"/>
          <w:szCs w:val="24"/>
          <w:bdr w:val="none" w:sz="0" w:space="0" w:color="auto" w:frame="1"/>
          <w:lang w:eastAsia="et-EE"/>
        </w:rPr>
        <w:t>lõik</w:t>
      </w:r>
      <w:r w:rsidRPr="000D2DCD">
        <w:rPr>
          <w:rFonts w:eastAsia="Times New Roman"/>
          <w:color w:val="000000" w:themeColor="text1"/>
          <w:szCs w:val="24"/>
          <w:bdr w:val="none" w:sz="0" w:space="0" w:color="auto" w:frame="1"/>
          <w:lang w:eastAsia="et-EE"/>
        </w:rPr>
        <w:t>e 1</w:t>
      </w:r>
      <w:r w:rsidR="00FE1294" w:rsidRPr="000D2DCD">
        <w:rPr>
          <w:rFonts w:eastAsia="Times New Roman"/>
          <w:color w:val="000000" w:themeColor="text1"/>
          <w:szCs w:val="24"/>
          <w:bdr w:val="none" w:sz="0" w:space="0" w:color="auto" w:frame="1"/>
          <w:lang w:eastAsia="et-EE"/>
        </w:rPr>
        <w:t xml:space="preserve"> punkt</w:t>
      </w:r>
      <w:r w:rsidRPr="000D2DCD">
        <w:rPr>
          <w:rFonts w:eastAsia="Times New Roman"/>
          <w:color w:val="000000" w:themeColor="text1"/>
          <w:szCs w:val="24"/>
          <w:bdr w:val="none" w:sz="0" w:space="0" w:color="auto" w:frame="1"/>
          <w:lang w:eastAsia="et-EE"/>
        </w:rPr>
        <w:t xml:space="preserve"> 2 muudetakse ja sõnastatakse järgmiselt: </w:t>
      </w:r>
    </w:p>
    <w:p w14:paraId="795F180A" w14:textId="77777777" w:rsidR="00073753" w:rsidRPr="000D2DCD" w:rsidRDefault="00073753" w:rsidP="00073753">
      <w:pPr>
        <w:shd w:val="clear" w:color="auto" w:fill="FFFFFF"/>
        <w:spacing w:after="0"/>
        <w:outlineLvl w:val="2"/>
        <w:rPr>
          <w:rFonts w:eastAsia="Times New Roman"/>
          <w:color w:val="000000" w:themeColor="text1"/>
          <w:szCs w:val="24"/>
          <w:lang w:eastAsia="et-EE"/>
        </w:rPr>
      </w:pPr>
    </w:p>
    <w:p w14:paraId="502A228E" w14:textId="77777777" w:rsidR="00073753" w:rsidRPr="000D2DCD" w:rsidRDefault="00073753" w:rsidP="00AD100B">
      <w:pPr>
        <w:shd w:val="clear" w:color="auto" w:fill="FFFFFF"/>
        <w:spacing w:after="0"/>
        <w:jc w:val="both"/>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„2) ravimite väljakirjutamise õigust omavatele isikutele, proviisoritele, farmatseutidele ja ravimite väljakirjutamise õigust mitteomavatele õdedele suunatud reklaam;“;</w:t>
      </w:r>
    </w:p>
    <w:p w14:paraId="7B7C8337"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72C2C8D1"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 xml:space="preserve"> 2) </w:t>
      </w:r>
      <w:r w:rsidR="00FE1294" w:rsidRPr="000D2DCD">
        <w:rPr>
          <w:color w:val="000000" w:themeColor="text1"/>
          <w:szCs w:val="24"/>
          <w:bdr w:val="none" w:sz="0" w:space="0" w:color="auto" w:frame="1"/>
          <w:shd w:val="clear" w:color="auto" w:fill="FFFFFF"/>
        </w:rPr>
        <w:t>p</w:t>
      </w:r>
      <w:r w:rsidRPr="000D2DCD">
        <w:rPr>
          <w:color w:val="000000" w:themeColor="text1"/>
          <w:szCs w:val="24"/>
          <w:bdr w:val="none" w:sz="0" w:space="0" w:color="auto" w:frame="1"/>
          <w:shd w:val="clear" w:color="auto" w:fill="FFFFFF"/>
        </w:rPr>
        <w:t>aragrahvi 82 lõike 2 punkt 4 muudetakse ja sõnastatakse järgmiselt:</w:t>
      </w:r>
    </w:p>
    <w:p w14:paraId="359EF33C"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2DE621A2" w14:textId="77777777" w:rsidR="00073753" w:rsidRPr="000D2DCD" w:rsidRDefault="00073753" w:rsidP="00AD100B">
      <w:pPr>
        <w:shd w:val="clear" w:color="auto" w:fill="FFFFFF"/>
        <w:spacing w:after="0"/>
        <w:jc w:val="both"/>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„4) ravimite väljakirjutamise õigust omavat</w:t>
      </w:r>
      <w:r w:rsidR="00AD100B" w:rsidRPr="000D2DCD">
        <w:rPr>
          <w:color w:val="000000" w:themeColor="text1"/>
          <w:szCs w:val="24"/>
          <w:bdr w:val="none" w:sz="0" w:space="0" w:color="auto" w:frame="1"/>
          <w:shd w:val="clear" w:color="auto" w:fill="FFFFFF"/>
        </w:rPr>
        <w:t>ele isikutele, proviisoritele,</w:t>
      </w:r>
      <w:r w:rsidRPr="000D2DCD">
        <w:rPr>
          <w:color w:val="000000" w:themeColor="text1"/>
          <w:szCs w:val="24"/>
          <w:bdr w:val="none" w:sz="0" w:space="0" w:color="auto" w:frame="1"/>
          <w:shd w:val="clear" w:color="auto" w:fill="FFFFFF"/>
        </w:rPr>
        <w:t xml:space="preserve"> farmatseutidele </w:t>
      </w:r>
      <w:r w:rsidR="00AD100B" w:rsidRPr="000D2DCD">
        <w:rPr>
          <w:color w:val="000000" w:themeColor="text1"/>
          <w:szCs w:val="24"/>
          <w:bdr w:val="none" w:sz="0" w:space="0" w:color="auto" w:frame="1"/>
          <w:shd w:val="clear" w:color="auto" w:fill="FFFFFF"/>
        </w:rPr>
        <w:t>ja</w:t>
      </w:r>
      <w:r w:rsidRPr="000D2DCD">
        <w:rPr>
          <w:color w:val="000000" w:themeColor="text1"/>
          <w:szCs w:val="24"/>
          <w:bdr w:val="none" w:sz="0" w:space="0" w:color="auto" w:frame="1"/>
          <w:shd w:val="clear" w:color="auto" w:fill="FFFFFF"/>
        </w:rPr>
        <w:t xml:space="preserve"> ravimite väljakirjutamist mitteomavatele õdedele edastatavaid eelretsenseeritavates arstiteaduslikes või farmaatsiaalastes ajakirjades avaldatud teadusartiklite koopiaid ilma igasuguste muudatuste ja lisadeta.“;</w:t>
      </w:r>
    </w:p>
    <w:p w14:paraId="70A51FB6"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09BE7D7C" w14:textId="77777777" w:rsidR="00073753" w:rsidRPr="000D2DCD" w:rsidRDefault="00073753" w:rsidP="00073753">
      <w:pPr>
        <w:shd w:val="clear" w:color="auto" w:fill="FFFFFF"/>
        <w:spacing w:after="0"/>
        <w:ind w:left="120"/>
        <w:outlineLvl w:val="2"/>
        <w:rPr>
          <w:rFonts w:eastAsia="Times New Roman"/>
          <w:color w:val="000000" w:themeColor="text1"/>
          <w:szCs w:val="24"/>
          <w:bdr w:val="none" w:sz="0" w:space="0" w:color="auto" w:frame="1"/>
          <w:lang w:eastAsia="et-EE"/>
        </w:rPr>
      </w:pPr>
      <w:r w:rsidRPr="000D2DCD">
        <w:rPr>
          <w:rFonts w:eastAsia="Times New Roman"/>
          <w:color w:val="000000" w:themeColor="text1"/>
          <w:szCs w:val="24"/>
          <w:bdr w:val="none" w:sz="0" w:space="0" w:color="auto" w:frame="1"/>
          <w:lang w:eastAsia="et-EE"/>
        </w:rPr>
        <w:t xml:space="preserve">3) paragrahvi 82 lõike 3 sissejuhatav osa muudetakse ja sõnastatakse järgmiselt: </w:t>
      </w:r>
    </w:p>
    <w:p w14:paraId="6BE0B4F8"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268B6D68" w14:textId="77777777" w:rsidR="00073753" w:rsidRPr="000D2DCD" w:rsidRDefault="00073753" w:rsidP="00AD100B">
      <w:pPr>
        <w:shd w:val="clear" w:color="auto" w:fill="FFFFFF"/>
        <w:spacing w:after="0"/>
        <w:jc w:val="both"/>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 xml:space="preserve">„(3) Ravimireklaamiks ravimite väljakirjutamise õigust omavatele isikutele, proviisoritele, farmatseutidele </w:t>
      </w:r>
      <w:r w:rsidR="00AD100B" w:rsidRPr="000D2DCD">
        <w:rPr>
          <w:color w:val="000000" w:themeColor="text1"/>
          <w:szCs w:val="24"/>
          <w:bdr w:val="none" w:sz="0" w:space="0" w:color="auto" w:frame="1"/>
          <w:shd w:val="clear" w:color="auto" w:fill="FFFFFF"/>
        </w:rPr>
        <w:t>ja</w:t>
      </w:r>
      <w:r w:rsidRPr="000D2DCD">
        <w:rPr>
          <w:color w:val="000000" w:themeColor="text1"/>
          <w:szCs w:val="24"/>
          <w:bdr w:val="none" w:sz="0" w:space="0" w:color="auto" w:frame="1"/>
          <w:shd w:val="clear" w:color="auto" w:fill="FFFFFF"/>
        </w:rPr>
        <w:t xml:space="preserve"> ravimite väljakirjutamise õigust mitteomavatele õdedele loetakse reklaami, mis avalikustatakse ühel järgmisel viisil:“;</w:t>
      </w:r>
    </w:p>
    <w:p w14:paraId="4DF0E40E"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2D69CC8C" w14:textId="77777777" w:rsidR="00073753" w:rsidRPr="000D2DCD" w:rsidRDefault="00AD100B" w:rsidP="00AD100B">
      <w:pPr>
        <w:shd w:val="clear" w:color="auto" w:fill="FFFFFF"/>
        <w:spacing w:after="0"/>
        <w:ind w:left="120"/>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 xml:space="preserve">4) </w:t>
      </w:r>
      <w:r w:rsidR="00073753" w:rsidRPr="000D2DCD">
        <w:rPr>
          <w:color w:val="000000" w:themeColor="text1"/>
          <w:szCs w:val="24"/>
          <w:bdr w:val="none" w:sz="0" w:space="0" w:color="auto" w:frame="1"/>
          <w:shd w:val="clear" w:color="auto" w:fill="FFFFFF"/>
        </w:rPr>
        <w:t xml:space="preserve">paragrahvi 85 </w:t>
      </w:r>
      <w:r w:rsidR="008E34F5" w:rsidRPr="000D2DCD">
        <w:rPr>
          <w:color w:val="000000" w:themeColor="text1"/>
          <w:szCs w:val="24"/>
          <w:bdr w:val="none" w:sz="0" w:space="0" w:color="auto" w:frame="1"/>
          <w:shd w:val="clear" w:color="auto" w:fill="FFFFFF"/>
        </w:rPr>
        <w:t>pealkiri</w:t>
      </w:r>
      <w:r w:rsidR="00073753" w:rsidRPr="000D2DCD">
        <w:rPr>
          <w:color w:val="000000" w:themeColor="text1"/>
          <w:szCs w:val="24"/>
          <w:bdr w:val="none" w:sz="0" w:space="0" w:color="auto" w:frame="1"/>
          <w:shd w:val="clear" w:color="auto" w:fill="FFFFFF"/>
        </w:rPr>
        <w:t xml:space="preserve"> muudetakse ning sõnastatakse järgmiselt:</w:t>
      </w:r>
    </w:p>
    <w:p w14:paraId="4ED8DA12"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7032BBC1"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 xml:space="preserve">„§ 85. </w:t>
      </w:r>
      <w:r w:rsidRPr="000D2DCD">
        <w:rPr>
          <w:szCs w:val="24"/>
        </w:rPr>
        <w:t>Ravimireklaam ravimite väljakirjutamise õigust omavatele isikutele, proviisoritele, farmatseutidele</w:t>
      </w:r>
      <w:r w:rsidR="00AD100B" w:rsidRPr="000D2DCD">
        <w:rPr>
          <w:szCs w:val="24"/>
        </w:rPr>
        <w:t xml:space="preserve"> ja ravimite väljakirjutamise õigust mitte omavatele õdedele</w:t>
      </w:r>
      <w:r w:rsidRPr="000D2DCD">
        <w:rPr>
          <w:color w:val="000000" w:themeColor="text1"/>
          <w:szCs w:val="24"/>
          <w:bdr w:val="none" w:sz="0" w:space="0" w:color="auto" w:frame="1"/>
          <w:shd w:val="clear" w:color="auto" w:fill="FFFFFF"/>
        </w:rPr>
        <w:t>“</w:t>
      </w:r>
      <w:r w:rsidR="008E34F5" w:rsidRPr="000D2DCD">
        <w:rPr>
          <w:color w:val="000000" w:themeColor="text1"/>
          <w:szCs w:val="24"/>
          <w:bdr w:val="none" w:sz="0" w:space="0" w:color="auto" w:frame="1"/>
          <w:shd w:val="clear" w:color="auto" w:fill="FFFFFF"/>
        </w:rPr>
        <w:t>;</w:t>
      </w:r>
    </w:p>
    <w:p w14:paraId="6559C56F" w14:textId="77777777" w:rsidR="008E34F5" w:rsidRPr="000D2DCD" w:rsidRDefault="008E34F5" w:rsidP="00AD100B">
      <w:pPr>
        <w:shd w:val="clear" w:color="auto" w:fill="FFFFFF"/>
        <w:spacing w:after="0"/>
        <w:jc w:val="both"/>
        <w:outlineLvl w:val="2"/>
        <w:rPr>
          <w:rFonts w:eastAsia="Times New Roman"/>
          <w:color w:val="000000" w:themeColor="text1"/>
          <w:szCs w:val="24"/>
          <w:lang w:eastAsia="et-EE"/>
        </w:rPr>
      </w:pPr>
    </w:p>
    <w:p w14:paraId="3FF829F0" w14:textId="77777777" w:rsidR="008E34F5" w:rsidRPr="000D2DCD" w:rsidRDefault="008E34F5"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5) paragrahvi 85 lõike 1 esimene lause muudetakse ja sõnastatakse järgmiselt:</w:t>
      </w:r>
    </w:p>
    <w:p w14:paraId="2E6DA445" w14:textId="77777777" w:rsidR="008E34F5" w:rsidRPr="000D2DCD" w:rsidRDefault="008E34F5" w:rsidP="00AD100B">
      <w:pPr>
        <w:shd w:val="clear" w:color="auto" w:fill="FFFFFF"/>
        <w:spacing w:after="0"/>
        <w:jc w:val="both"/>
        <w:outlineLvl w:val="2"/>
        <w:rPr>
          <w:rFonts w:eastAsia="Times New Roman"/>
          <w:color w:val="000000" w:themeColor="text1"/>
          <w:szCs w:val="24"/>
          <w:lang w:eastAsia="et-EE"/>
        </w:rPr>
      </w:pPr>
    </w:p>
    <w:p w14:paraId="3F43BADE" w14:textId="77777777" w:rsidR="008E34F5" w:rsidRPr="000D2DCD" w:rsidRDefault="008E34F5"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„Ravimite väljakirjutamise õigust omavatele isikutele, proviisoritele ja farmatseutidele ning ravimite väljakirjutamise õigust mitteomavatele õdedele suunatud ravimireklaamis kasutatud tsitaadid teaduskirjandusest peavad olema esitatud ilma muudatusteta ning koos viitega algallikale.“;</w:t>
      </w:r>
    </w:p>
    <w:p w14:paraId="24649B49" w14:textId="77777777" w:rsidR="00AD100B" w:rsidRPr="000D2DCD" w:rsidRDefault="00AD100B" w:rsidP="00073753">
      <w:pPr>
        <w:shd w:val="clear" w:color="auto" w:fill="FFFFFF"/>
        <w:spacing w:after="0"/>
        <w:outlineLvl w:val="2"/>
        <w:rPr>
          <w:rFonts w:eastAsia="Times New Roman"/>
          <w:color w:val="000000" w:themeColor="text1"/>
          <w:szCs w:val="24"/>
          <w:lang w:eastAsia="et-EE"/>
        </w:rPr>
      </w:pPr>
    </w:p>
    <w:p w14:paraId="42A601AE" w14:textId="77777777" w:rsidR="00AD100B" w:rsidRPr="000D2DCD" w:rsidRDefault="008E34F5" w:rsidP="00073753">
      <w:pPr>
        <w:shd w:val="clear" w:color="auto" w:fill="FFFFFF"/>
        <w:spacing w:after="0"/>
        <w:outlineLvl w:val="2"/>
        <w:rPr>
          <w:rFonts w:eastAsia="Times New Roman"/>
          <w:color w:val="000000" w:themeColor="text1"/>
          <w:szCs w:val="24"/>
          <w:lang w:eastAsia="et-EE"/>
        </w:rPr>
      </w:pPr>
      <w:r w:rsidRPr="000D2DCD">
        <w:rPr>
          <w:rFonts w:eastAsia="Times New Roman"/>
          <w:color w:val="000000" w:themeColor="text1"/>
          <w:szCs w:val="24"/>
          <w:lang w:eastAsia="et-EE"/>
        </w:rPr>
        <w:t>6</w:t>
      </w:r>
      <w:r w:rsidR="00AD100B" w:rsidRPr="000D2DCD">
        <w:rPr>
          <w:rFonts w:eastAsia="Times New Roman"/>
          <w:color w:val="000000" w:themeColor="text1"/>
          <w:szCs w:val="24"/>
          <w:lang w:eastAsia="et-EE"/>
        </w:rPr>
        <w:t>) paragrahvi 85 lõike 11 esimene lause muudetakse ja sõnastatakse järgmiselt:</w:t>
      </w:r>
    </w:p>
    <w:p w14:paraId="759B58F5" w14:textId="77777777" w:rsidR="00AD100B" w:rsidRPr="000D2DCD" w:rsidRDefault="00AD100B" w:rsidP="00073753">
      <w:pPr>
        <w:shd w:val="clear" w:color="auto" w:fill="FFFFFF"/>
        <w:spacing w:after="0"/>
        <w:outlineLvl w:val="2"/>
        <w:rPr>
          <w:rFonts w:eastAsia="Times New Roman"/>
          <w:color w:val="000000" w:themeColor="text1"/>
          <w:szCs w:val="24"/>
          <w:lang w:eastAsia="et-EE"/>
        </w:rPr>
      </w:pPr>
    </w:p>
    <w:p w14:paraId="63B0ACA8" w14:textId="77777777" w:rsidR="00AD100B" w:rsidRPr="000D2DCD" w:rsidRDefault="00AD100B"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„Retseptiravimi reklaam Internetis on lubatud juhul, kui juurdepääs teabele on piiratud ravimite väljakirjutamise õigust omavate isikute, proviisorite, farmatseutide ja ravimite väljakirjutamise õigust mitteomavate õdedega.</w:t>
      </w:r>
      <w:r w:rsidR="00FE1294" w:rsidRPr="000D2DCD">
        <w:rPr>
          <w:rFonts w:eastAsia="Times New Roman"/>
          <w:color w:val="000000" w:themeColor="text1"/>
          <w:szCs w:val="24"/>
          <w:lang w:eastAsia="et-EE"/>
        </w:rPr>
        <w:t>“;</w:t>
      </w:r>
    </w:p>
    <w:p w14:paraId="0BDC9A67"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p>
    <w:p w14:paraId="291C0E14"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7) paragrahvi 86 lõike 1 esimene lause muudetakse ja sõnastatakse järgmiselt:</w:t>
      </w:r>
    </w:p>
    <w:p w14:paraId="3454D2A2"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p>
    <w:p w14:paraId="352161A0"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 xml:space="preserve">„Ravimi müügiloa hoidjal, tema volitatud isikul ja kolmandal isikul on ravimi müügi mõjutamise eesmärgil keelatud anda ravimi väljakirjutamise õigust omavale isikule, proviisorile, farmatseudile </w:t>
      </w:r>
      <w:r w:rsidR="00FE1294" w:rsidRPr="000D2DCD">
        <w:rPr>
          <w:rFonts w:eastAsia="Times New Roman"/>
          <w:color w:val="000000" w:themeColor="text1"/>
          <w:szCs w:val="24"/>
          <w:lang w:eastAsia="et-EE"/>
        </w:rPr>
        <w:t xml:space="preserve">ja </w:t>
      </w:r>
      <w:r w:rsidRPr="000D2DCD">
        <w:rPr>
          <w:rFonts w:eastAsia="Times New Roman"/>
          <w:color w:val="000000" w:themeColor="text1"/>
          <w:szCs w:val="24"/>
          <w:lang w:eastAsia="et-EE"/>
        </w:rPr>
        <w:t xml:space="preserve">ravimi väljakirjutamise õigust mitteomavale õele ning nimetatud isikutel on </w:t>
      </w:r>
      <w:r w:rsidRPr="000D2DCD">
        <w:rPr>
          <w:rFonts w:eastAsia="Times New Roman"/>
          <w:color w:val="000000" w:themeColor="text1"/>
          <w:szCs w:val="24"/>
          <w:lang w:eastAsia="et-EE"/>
        </w:rPr>
        <w:lastRenderedPageBreak/>
        <w:t>keelatud vastu võtta kingitusi ja teenuseid, mille väärtus ületab 6,40 eurot, välja arvatud käesoleva paragrahvi lõikes 2 sätestatud juhul.“;</w:t>
      </w:r>
    </w:p>
    <w:p w14:paraId="5CAB099F"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p>
    <w:p w14:paraId="289CF214"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8) paragrahvi 86 lõiked 3 ja 4 muudetakse ja sõnastatakse järgmiselt:</w:t>
      </w:r>
    </w:p>
    <w:p w14:paraId="27FFB086"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p>
    <w:p w14:paraId="1723D48E"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„(3) Ravimi müügiloa hoidjal on õigus toetada arstiteaduslikel või farmaatsiaalastel üritustel osalemist, hüvitades ürituse teadusliku osa osavõtumaksu ning majutus- ja transpordikulud mõistlikus ulatuses. Nimetatud kulude hüvitamine ei tohi laieneda kellelegi teisele kui ravimite väljakirjutamise õigust omavatele isikutele, proviisoritele, farmatseutidele ja ravimite väljakirjutamise õigust mitteomavatele õdedele.</w:t>
      </w:r>
    </w:p>
    <w:p w14:paraId="549E1730"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(4) Ravimi väljakirjutamise õigust omavatele isikutele, proviisoritele, farmatseutidele ja ravimite väljakirjutamise õigust mitteomavatele õdedele on keelatud korraldada ravimiga seotud loosimisi ja loteriisid.“</w:t>
      </w:r>
      <w:r w:rsidR="00FE1294" w:rsidRPr="000D2DCD">
        <w:rPr>
          <w:rFonts w:eastAsia="Times New Roman"/>
          <w:color w:val="000000" w:themeColor="text1"/>
          <w:szCs w:val="24"/>
          <w:lang w:eastAsia="et-EE"/>
        </w:rPr>
        <w:t>;</w:t>
      </w:r>
    </w:p>
    <w:p w14:paraId="4FEC70D7"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p>
    <w:p w14:paraId="3CB1D13B"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9) paragrahvi 86 lõiked 6-8 muudetakse ja sõnastatakse järgmiselt:</w:t>
      </w:r>
    </w:p>
    <w:p w14:paraId="0CB49835"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p>
    <w:p w14:paraId="073FDF95"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„(6) Kui ravimi müügiloa hoidja või tema volitatud isik korraldab ravimite väljakirjutamise õigust omavatele isikutele, proviisoritele, farmatseutidele ja ravimite väljakirjutamise õigust mitteomavatele õdedele teadusliku ürituse, peab nimetatud üritusel võõrustamine, sealhulgas meelelahutus, olema mõistlikul tasemel, jääma ettevõtmise põhieesmärgi suhtes teisejärguliseks ega tohi olla suunatud kellelegi teisele kui nimetatud isikutele. Nimetatud üritusel ravimite kohta edastatav teave peab vastama ravimireklaami nõuetele.</w:t>
      </w:r>
    </w:p>
    <w:p w14:paraId="3870FEB1"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p>
    <w:p w14:paraId="61E7A28B"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(7) Kõik ravimite väljakirjutamise õigust omavatele isikutele, proviisoritele farmatseutidele ja ravimite väljakirjutamise õigust mitteomavatele õdedele antavad toetused, samuti käesoleva paragrahvi lõigetes 5 ja 6 nimetatud üritusteks tehtavad kulutused peavad kajastuma müügiloa hoidja volitatud isiku või filiaali dokumentides.</w:t>
      </w:r>
    </w:p>
    <w:p w14:paraId="0E538AF6"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p>
    <w:p w14:paraId="3606B863" w14:textId="77777777" w:rsidR="00167EFA" w:rsidRPr="000D2DCD" w:rsidRDefault="00167EFA" w:rsidP="00167EFA">
      <w:pPr>
        <w:shd w:val="clear" w:color="auto" w:fill="FFFFFF"/>
        <w:spacing w:after="0"/>
        <w:jc w:val="both"/>
        <w:outlineLvl w:val="2"/>
        <w:rPr>
          <w:rFonts w:eastAsia="Times New Roman"/>
          <w:color w:val="000000" w:themeColor="text1"/>
          <w:szCs w:val="24"/>
          <w:lang w:eastAsia="et-EE"/>
        </w:rPr>
      </w:pPr>
      <w:r w:rsidRPr="000D2DCD">
        <w:rPr>
          <w:rFonts w:eastAsia="Times New Roman"/>
          <w:color w:val="000000" w:themeColor="text1"/>
          <w:szCs w:val="24"/>
          <w:lang w:eastAsia="et-EE"/>
        </w:rPr>
        <w:t>(8) Kõik ravimi müügiloa hoidja või tema volitatud isiku ja ravimite väljakirjutamise õigust omava isiku, proviisori, farmatseudi või ravimite väljakirjutamise õigust mitteomavate õdede vahel sõlmitud lepingud, mille alusel see isik, proviisor, farmatseut või õde saab rahalisi või mitterahalisi hüvitisi, mis ei ole seotud Ravimiameti ja kliiniliste uuringute eetikakomitee poolt heaks kiidetud kliinilise uuringuga, esitatakse Ravimiametile viimase nõudmisel ning on avalik teave.“</w:t>
      </w:r>
    </w:p>
    <w:p w14:paraId="3ADC9092" w14:textId="77777777" w:rsidR="00167EFA" w:rsidRPr="000D2DCD" w:rsidRDefault="00167EFA" w:rsidP="00AD100B">
      <w:pPr>
        <w:shd w:val="clear" w:color="auto" w:fill="FFFFFF"/>
        <w:spacing w:after="0"/>
        <w:jc w:val="both"/>
        <w:outlineLvl w:val="2"/>
        <w:rPr>
          <w:rFonts w:eastAsia="Times New Roman"/>
          <w:color w:val="000000" w:themeColor="text1"/>
          <w:szCs w:val="24"/>
          <w:lang w:eastAsia="et-EE"/>
        </w:rPr>
      </w:pPr>
    </w:p>
    <w:p w14:paraId="3AA30C61" w14:textId="77777777" w:rsidR="00AD100B" w:rsidRPr="000D2DCD" w:rsidRDefault="00AD100B" w:rsidP="00073753">
      <w:pPr>
        <w:shd w:val="clear" w:color="auto" w:fill="FFFFFF"/>
        <w:spacing w:after="0"/>
        <w:outlineLvl w:val="2"/>
        <w:rPr>
          <w:color w:val="000000" w:themeColor="text1"/>
          <w:szCs w:val="24"/>
          <w:bdr w:val="none" w:sz="0" w:space="0" w:color="auto" w:frame="1"/>
          <w:shd w:val="clear" w:color="auto" w:fill="FFFFFF"/>
        </w:rPr>
      </w:pPr>
      <w:bookmarkStart w:id="1" w:name="para30lg2b1"/>
    </w:p>
    <w:p w14:paraId="1C1EA8D3"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 2. Seaduse jõustumine</w:t>
      </w:r>
    </w:p>
    <w:p w14:paraId="5F3F7A58"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p w14:paraId="21457E0D" w14:textId="76CA5C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r w:rsidRPr="000D2DCD">
        <w:rPr>
          <w:color w:val="000000" w:themeColor="text1"/>
          <w:szCs w:val="24"/>
          <w:bdr w:val="none" w:sz="0" w:space="0" w:color="auto" w:frame="1"/>
          <w:shd w:val="clear" w:color="auto" w:fill="FFFFFF"/>
        </w:rPr>
        <w:t>Käesolev seadus jõustub 202</w:t>
      </w:r>
      <w:r w:rsidR="00CC2F07" w:rsidRPr="000D2DCD">
        <w:rPr>
          <w:color w:val="000000" w:themeColor="text1"/>
          <w:szCs w:val="24"/>
          <w:bdr w:val="none" w:sz="0" w:space="0" w:color="auto" w:frame="1"/>
          <w:shd w:val="clear" w:color="auto" w:fill="FFFFFF"/>
        </w:rPr>
        <w:t>7</w:t>
      </w:r>
      <w:r w:rsidRPr="000D2DCD">
        <w:rPr>
          <w:color w:val="000000" w:themeColor="text1"/>
          <w:szCs w:val="24"/>
          <w:bdr w:val="none" w:sz="0" w:space="0" w:color="auto" w:frame="1"/>
          <w:shd w:val="clear" w:color="auto" w:fill="FFFFFF"/>
        </w:rPr>
        <w:t>. aasta 1. jaanuaril.</w:t>
      </w:r>
    </w:p>
    <w:p w14:paraId="02018AC6" w14:textId="77777777" w:rsidR="00073753" w:rsidRPr="000D2DCD" w:rsidRDefault="00073753" w:rsidP="00073753">
      <w:pPr>
        <w:shd w:val="clear" w:color="auto" w:fill="FFFFFF"/>
        <w:spacing w:after="0"/>
        <w:outlineLvl w:val="2"/>
        <w:rPr>
          <w:color w:val="000000" w:themeColor="text1"/>
          <w:szCs w:val="24"/>
          <w:bdr w:val="none" w:sz="0" w:space="0" w:color="auto" w:frame="1"/>
          <w:shd w:val="clear" w:color="auto" w:fill="FFFFFF"/>
        </w:rPr>
      </w:pPr>
    </w:p>
    <w:bookmarkEnd w:id="1"/>
    <w:p w14:paraId="16671DEB" w14:textId="77777777" w:rsidR="0066248A" w:rsidRPr="0066248A" w:rsidRDefault="0066248A" w:rsidP="0066248A">
      <w:pPr>
        <w:shd w:val="clear" w:color="auto" w:fill="FFFFFF"/>
        <w:spacing w:after="0"/>
        <w:rPr>
          <w:color w:val="202020"/>
          <w:szCs w:val="24"/>
          <w:shd w:val="clear" w:color="auto" w:fill="FFFFFF"/>
        </w:rPr>
      </w:pPr>
      <w:r w:rsidRPr="0066248A">
        <w:rPr>
          <w:color w:val="202020"/>
          <w:szCs w:val="24"/>
          <w:shd w:val="clear" w:color="auto" w:fill="FFFFFF"/>
        </w:rPr>
        <w:t>Lauri Hussar</w:t>
      </w:r>
    </w:p>
    <w:p w14:paraId="0CF38994" w14:textId="77777777" w:rsidR="0066248A" w:rsidRDefault="0066248A" w:rsidP="0066248A">
      <w:pPr>
        <w:shd w:val="clear" w:color="auto" w:fill="FFFFFF"/>
        <w:spacing w:after="0"/>
        <w:rPr>
          <w:color w:val="202020"/>
          <w:szCs w:val="24"/>
          <w:shd w:val="clear" w:color="auto" w:fill="FFFFFF"/>
        </w:rPr>
      </w:pPr>
      <w:r w:rsidRPr="0066248A">
        <w:rPr>
          <w:color w:val="202020"/>
          <w:szCs w:val="24"/>
          <w:shd w:val="clear" w:color="auto" w:fill="FFFFFF"/>
        </w:rPr>
        <w:t>Riigikogu esimees</w:t>
      </w:r>
    </w:p>
    <w:p w14:paraId="3DF3A143" w14:textId="77777777" w:rsidR="0066248A" w:rsidRDefault="0066248A" w:rsidP="0066248A">
      <w:pPr>
        <w:shd w:val="clear" w:color="auto" w:fill="FFFFFF"/>
        <w:spacing w:after="0"/>
        <w:rPr>
          <w:color w:val="202020"/>
          <w:szCs w:val="24"/>
          <w:shd w:val="clear" w:color="auto" w:fill="FFFFFF"/>
        </w:rPr>
      </w:pPr>
    </w:p>
    <w:p w14:paraId="335D98E2" w14:textId="77777777" w:rsidR="0066248A" w:rsidRDefault="0066248A" w:rsidP="0066248A">
      <w:pPr>
        <w:shd w:val="clear" w:color="auto" w:fill="FFFFFF"/>
        <w:spacing w:after="0"/>
        <w:rPr>
          <w:color w:val="202020"/>
          <w:szCs w:val="24"/>
          <w:shd w:val="clear" w:color="auto" w:fill="FFFFFF"/>
        </w:rPr>
      </w:pPr>
    </w:p>
    <w:p w14:paraId="3CC90799" w14:textId="122B1325" w:rsidR="0066248A" w:rsidRDefault="0066248A" w:rsidP="0066248A">
      <w:pPr>
        <w:shd w:val="clear" w:color="auto" w:fill="FFFFFF"/>
        <w:spacing w:after="0"/>
        <w:rPr>
          <w:color w:val="202020"/>
          <w:szCs w:val="24"/>
          <w:shd w:val="clear" w:color="auto" w:fill="FFFFFF"/>
        </w:rPr>
      </w:pPr>
      <w:r w:rsidRPr="0066248A">
        <w:rPr>
          <w:color w:val="202020"/>
          <w:szCs w:val="24"/>
          <w:shd w:val="clear" w:color="auto" w:fill="FFFFFF"/>
        </w:rPr>
        <w:t>Tallinn,                 2026</w:t>
      </w:r>
    </w:p>
    <w:p w14:paraId="01DA5D74" w14:textId="77777777" w:rsidR="0066248A" w:rsidRPr="00753238" w:rsidRDefault="0066248A" w:rsidP="0066248A">
      <w:pPr>
        <w:pBdr>
          <w:bottom w:val="single" w:sz="4" w:space="1" w:color="auto"/>
        </w:pBdr>
      </w:pPr>
    </w:p>
    <w:p w14:paraId="72443114" w14:textId="216D7B19" w:rsidR="0066248A" w:rsidRDefault="0066248A" w:rsidP="0066248A">
      <w:bookmarkStart w:id="2" w:name="_Hlk62118428"/>
      <w:r>
        <w:t>Algatab</w:t>
      </w:r>
      <w:r>
        <w:tab/>
      </w:r>
      <w:r>
        <w:t xml:space="preserve">                                                                                          04.05.2026</w:t>
      </w:r>
      <w:bookmarkEnd w:id="2"/>
    </w:p>
    <w:p w14:paraId="6C6DC5A8" w14:textId="1EE26C17" w:rsidR="0066248A" w:rsidRPr="0066248A" w:rsidRDefault="0066248A" w:rsidP="0066248A">
      <w:r>
        <w:t>D</w:t>
      </w:r>
      <w:r w:rsidRPr="0066248A">
        <w:rPr>
          <w:color w:val="202020"/>
          <w:szCs w:val="24"/>
          <w:shd w:val="clear" w:color="auto" w:fill="FFFFFF"/>
        </w:rPr>
        <w:t>iana Ingerainen</w:t>
      </w:r>
      <w:r>
        <w:rPr>
          <w:color w:val="202020"/>
          <w:szCs w:val="24"/>
          <w:shd w:val="clear" w:color="auto" w:fill="FFFFFF"/>
        </w:rPr>
        <w:t xml:space="preserve"> </w:t>
      </w:r>
    </w:p>
    <w:p w14:paraId="4A44A56F" w14:textId="77777777" w:rsidR="0066248A" w:rsidRPr="0066248A" w:rsidRDefault="0066248A" w:rsidP="0066248A">
      <w:pPr>
        <w:shd w:val="clear" w:color="auto" w:fill="FFFFFF"/>
        <w:spacing w:after="0"/>
        <w:rPr>
          <w:strike/>
          <w:color w:val="202020"/>
          <w:szCs w:val="24"/>
          <w:shd w:val="clear" w:color="auto" w:fill="FFFFFF"/>
        </w:rPr>
      </w:pPr>
    </w:p>
    <w:p w14:paraId="10357D70" w14:textId="77777777" w:rsidR="00073753" w:rsidRPr="000D2DCD" w:rsidRDefault="00073753" w:rsidP="00073753">
      <w:pPr>
        <w:shd w:val="clear" w:color="auto" w:fill="FFFFFF"/>
        <w:spacing w:after="0"/>
        <w:rPr>
          <w:strike/>
          <w:color w:val="202020"/>
          <w:szCs w:val="24"/>
          <w:shd w:val="clear" w:color="auto" w:fill="FFFFFF"/>
        </w:rPr>
      </w:pPr>
    </w:p>
    <w:p w14:paraId="5C4729A8" w14:textId="77777777" w:rsidR="00073753" w:rsidRPr="00FE1294" w:rsidRDefault="00073753" w:rsidP="00073753">
      <w:pPr>
        <w:spacing w:after="0"/>
        <w:ind w:right="32"/>
        <w:contextualSpacing/>
        <w:rPr>
          <w:szCs w:val="24"/>
        </w:rPr>
      </w:pPr>
    </w:p>
    <w:p w14:paraId="311605DF" w14:textId="77777777" w:rsidR="00073753" w:rsidRPr="00FE1294" w:rsidRDefault="00073753" w:rsidP="00073753">
      <w:pPr>
        <w:spacing w:after="0"/>
        <w:ind w:right="32"/>
        <w:contextualSpacing/>
        <w:rPr>
          <w:szCs w:val="24"/>
        </w:rPr>
      </w:pPr>
    </w:p>
    <w:p w14:paraId="5A97B69E" w14:textId="77777777" w:rsidR="00FE4F25" w:rsidRPr="00FE1294" w:rsidRDefault="00FE4F25">
      <w:pPr>
        <w:rPr>
          <w:szCs w:val="24"/>
        </w:rPr>
      </w:pPr>
    </w:p>
    <w:sectPr w:rsidR="00FE4F25" w:rsidRPr="00FE1294" w:rsidSect="000B68E7">
      <w:headerReference w:type="default" r:id="rId7"/>
      <w:pgSz w:w="11900" w:h="16840"/>
      <w:pgMar w:top="1247" w:right="851"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41D4" w14:textId="77777777" w:rsidR="00D26D53" w:rsidRDefault="00D26D53">
      <w:pPr>
        <w:spacing w:after="0"/>
      </w:pPr>
      <w:r>
        <w:separator/>
      </w:r>
    </w:p>
  </w:endnote>
  <w:endnote w:type="continuationSeparator" w:id="0">
    <w:p w14:paraId="0EC1CDBA" w14:textId="77777777" w:rsidR="00D26D53" w:rsidRDefault="00D26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93F7" w14:textId="77777777" w:rsidR="00D26D53" w:rsidRDefault="00D26D53">
      <w:pPr>
        <w:spacing w:after="0"/>
      </w:pPr>
      <w:r>
        <w:separator/>
      </w:r>
    </w:p>
  </w:footnote>
  <w:footnote w:type="continuationSeparator" w:id="0">
    <w:p w14:paraId="51B3D289" w14:textId="77777777" w:rsidR="00D26D53" w:rsidRDefault="00D26D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BFC" w14:textId="4CAF2891" w:rsidR="00B5454B" w:rsidRDefault="00000000">
    <w:pPr>
      <w:pStyle w:val="Pis"/>
    </w:pPr>
    <w:r>
      <w:rPr>
        <w:noProof/>
        <w:lang w:eastAsia="et-EE"/>
      </w:rPr>
      <mc:AlternateContent>
        <mc:Choice Requires="wps">
          <w:drawing>
            <wp:anchor distT="0" distB="0" distL="114300" distR="114300" simplePos="0" relativeHeight="251659264" behindDoc="0" locked="0" layoutInCell="1" allowOverlap="1" wp14:anchorId="5E11C834" wp14:editId="76B427E7">
              <wp:simplePos x="0" y="0"/>
              <wp:positionH relativeFrom="column">
                <wp:posOffset>4977912</wp:posOffset>
              </wp:positionH>
              <wp:positionV relativeFrom="paragraph">
                <wp:posOffset>-141556</wp:posOffset>
              </wp:positionV>
              <wp:extent cx="1005840" cy="2127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5840" cy="212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DD5968" w14:textId="77777777" w:rsidR="00B5454B" w:rsidRPr="002E7912" w:rsidRDefault="00000000"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sidR="00BD5349">
                            <w:rPr>
                              <w:noProof/>
                              <w:sz w:val="16"/>
                              <w:szCs w:val="16"/>
                            </w:rPr>
                            <w:t>3</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1C834" id="_x0000_t202" coordsize="21600,21600" o:spt="202" path="m,l,21600r21600,l21600,xe">
              <v:stroke joinstyle="miter"/>
              <v:path gradientshapeok="t" o:connecttype="rect"/>
            </v:shapetype>
            <v:shape id="Text Box 1" o:spid="_x0000_s1026" type="#_x0000_t202" style="position:absolute;margin-left:391.95pt;margin-top:-11.15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" filled="f" stroked="f">
              <v:textbox>
                <w:txbxContent>
                  <w:p w14:paraId="42DD5968" w14:textId="77777777" w:rsidR="00B5454B" w:rsidRPr="002E7912" w:rsidRDefault="00000000"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sidR="00BD5349">
                      <w:rPr>
                        <w:noProof/>
                        <w:sz w:val="16"/>
                        <w:szCs w:val="16"/>
                      </w:rPr>
                      <w:t>3</w:t>
                    </w:r>
                    <w:r w:rsidRPr="002E7912">
                      <w:rPr>
                        <w:sz w:val="16"/>
                        <w:szCs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E0DCB"/>
    <w:multiLevelType w:val="hybridMultilevel"/>
    <w:tmpl w:val="9FCA73F8"/>
    <w:lvl w:ilvl="0" w:tplc="71B8FE04">
      <w:start w:val="1"/>
      <w:numFmt w:val="decimal"/>
      <w:lvlText w:val="%1)"/>
      <w:lvlJc w:val="left"/>
      <w:pPr>
        <w:ind w:left="480" w:hanging="360"/>
      </w:pPr>
      <w:rPr>
        <w:rFonts w:hint="default"/>
        <w:b/>
        <w:bCs/>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16cid:durableId="115784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53"/>
    <w:rsid w:val="00073753"/>
    <w:rsid w:val="000D2DCD"/>
    <w:rsid w:val="00167EFA"/>
    <w:rsid w:val="00254A11"/>
    <w:rsid w:val="002562AB"/>
    <w:rsid w:val="004D65C6"/>
    <w:rsid w:val="0066248A"/>
    <w:rsid w:val="008E34F5"/>
    <w:rsid w:val="00AD100B"/>
    <w:rsid w:val="00B5454B"/>
    <w:rsid w:val="00BD5349"/>
    <w:rsid w:val="00BE3E52"/>
    <w:rsid w:val="00CC2F07"/>
    <w:rsid w:val="00CD229A"/>
    <w:rsid w:val="00D26D53"/>
    <w:rsid w:val="00E12CB1"/>
    <w:rsid w:val="00FE1294"/>
    <w:rsid w:val="00FE4F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4B89"/>
  <w15:chartTrackingRefBased/>
  <w15:docId w15:val="{218163CA-3B37-4954-A11C-F67C08F3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73753"/>
    <w:pPr>
      <w:spacing w:after="60" w:line="240" w:lineRule="auto"/>
    </w:pPr>
    <w:rPr>
      <w:rFonts w:ascii="Times New Roman" w:eastAsiaTheme="minorEastAsia" w:hAnsi="Times New Roman" w:cs="Times New Roman"/>
      <w:sz w:val="24"/>
      <w:szCs w:val="1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73753"/>
    <w:pPr>
      <w:ind w:left="720"/>
      <w:contextualSpacing/>
    </w:pPr>
  </w:style>
  <w:style w:type="paragraph" w:styleId="Pis">
    <w:name w:val="header"/>
    <w:basedOn w:val="Normaallaad"/>
    <w:link w:val="PisMrk"/>
    <w:uiPriority w:val="99"/>
    <w:unhideWhenUsed/>
    <w:rsid w:val="00073753"/>
    <w:pPr>
      <w:tabs>
        <w:tab w:val="center" w:pos="4153"/>
        <w:tab w:val="right" w:pos="8306"/>
      </w:tabs>
      <w:spacing w:after="0"/>
    </w:pPr>
  </w:style>
  <w:style w:type="character" w:customStyle="1" w:styleId="PisMrk">
    <w:name w:val="Päis Märk"/>
    <w:basedOn w:val="Liguvaikefont"/>
    <w:link w:val="Pis"/>
    <w:uiPriority w:val="99"/>
    <w:rsid w:val="00073753"/>
    <w:rPr>
      <w:rFonts w:ascii="Times New Roman" w:eastAsiaTheme="minorEastAsia" w:hAnsi="Times New Roman" w:cs="Times New Roman"/>
      <w:sz w:val="24"/>
      <w:szCs w:val="18"/>
    </w:rPr>
  </w:style>
  <w:style w:type="paragraph" w:styleId="Jalus">
    <w:name w:val="footer"/>
    <w:basedOn w:val="Normaallaad"/>
    <w:link w:val="JalusMrk"/>
    <w:uiPriority w:val="99"/>
    <w:unhideWhenUsed/>
    <w:rsid w:val="00073753"/>
    <w:pPr>
      <w:tabs>
        <w:tab w:val="center" w:pos="4153"/>
        <w:tab w:val="right" w:pos="8306"/>
      </w:tabs>
      <w:spacing w:after="0"/>
    </w:pPr>
  </w:style>
  <w:style w:type="character" w:customStyle="1" w:styleId="JalusMrk">
    <w:name w:val="Jalus Märk"/>
    <w:basedOn w:val="Liguvaikefont"/>
    <w:link w:val="Jalus"/>
    <w:uiPriority w:val="99"/>
    <w:rsid w:val="00073753"/>
    <w:rPr>
      <w:rFonts w:ascii="Times New Roman" w:eastAsiaTheme="minorEastAsia" w:hAnsi="Times New Roman" w:cs="Times New Roman"/>
      <w:sz w:val="24"/>
      <w:szCs w:val="18"/>
    </w:rPr>
  </w:style>
  <w:style w:type="paragraph" w:customStyle="1" w:styleId="eelnupealkiri">
    <w:name w:val="eelnõu pealkiri"/>
    <w:basedOn w:val="Normaallaad"/>
    <w:qFormat/>
    <w:rsid w:val="00073753"/>
    <w:pPr>
      <w:spacing w:before="120" w:after="480"/>
      <w:jc w:val="center"/>
    </w:pPr>
    <w:rPr>
      <w:rFonts w:eastAsiaTheme="minorHAnsi"/>
      <w:b/>
      <w:bCs/>
      <w:sz w:val="32"/>
      <w:szCs w:val="32"/>
    </w:rPr>
  </w:style>
  <w:style w:type="paragraph" w:styleId="Normaallaadveeb">
    <w:name w:val="Normal (Web)"/>
    <w:basedOn w:val="Normaallaad"/>
    <w:uiPriority w:val="99"/>
    <w:semiHidden/>
    <w:unhideWhenUsed/>
    <w:rsid w:val="00167E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4151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Sära</dc:creator>
  <cp:keywords/>
  <dc:description/>
  <cp:lastModifiedBy>Triin Ratassepp</cp:lastModifiedBy>
  <cp:revision>6</cp:revision>
  <cp:lastPrinted>2026-05-05T06:29:00Z</cp:lastPrinted>
  <dcterms:created xsi:type="dcterms:W3CDTF">2025-05-28T06:11:00Z</dcterms:created>
  <dcterms:modified xsi:type="dcterms:W3CDTF">2026-05-05T06:30:00Z</dcterms:modified>
</cp:coreProperties>
</file>