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E47AFA">
        <w:trPr>
          <w:trHeight w:val="2353"/>
        </w:trPr>
        <w:tc>
          <w:tcPr>
            <w:tcW w:w="5387" w:type="dxa"/>
            <w:shd w:val="clear" w:color="auto" w:fill="auto"/>
          </w:tcPr>
          <w:p w14:paraId="2999B57C" w14:textId="77777777" w:rsidR="00317F3A" w:rsidRPr="00A10E66" w:rsidRDefault="00317F3A" w:rsidP="00E47AFA">
            <w:pPr>
              <w:pStyle w:val="TableContents"/>
              <w:rPr>
                <w:b/>
              </w:rPr>
            </w:pPr>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E47AFA">
            <w:pPr>
              <w:pStyle w:val="AK"/>
              <w:jc w:val="right"/>
            </w:pPr>
          </w:p>
          <w:p w14:paraId="49E88691" w14:textId="77777777" w:rsidR="00317F3A" w:rsidRPr="00BC1A62" w:rsidRDefault="00317F3A" w:rsidP="00E47AFA">
            <w:pPr>
              <w:jc w:val="right"/>
            </w:pPr>
          </w:p>
        </w:tc>
      </w:tr>
      <w:tr w:rsidR="00317F3A" w:rsidRPr="001D4CFB" w14:paraId="17D59DC2" w14:textId="77777777" w:rsidTr="00E47AFA">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41702"/>
          <w:p w14:paraId="3685B978" w14:textId="77777777" w:rsidR="00317F3A" w:rsidRPr="006B118C" w:rsidRDefault="00317F3A" w:rsidP="00317F3A"/>
        </w:tc>
        <w:tc>
          <w:tcPr>
            <w:tcW w:w="3685" w:type="dxa"/>
            <w:shd w:val="clear" w:color="auto" w:fill="auto"/>
          </w:tcPr>
          <w:p w14:paraId="432905F0" w14:textId="516782C2" w:rsidR="00317F3A" w:rsidRPr="0076054B" w:rsidRDefault="0018748D" w:rsidP="00E47AFA">
            <w:pPr>
              <w:pStyle w:val="Kuupev1"/>
              <w:rPr>
                <w:i/>
                <w:iCs/>
              </w:rPr>
            </w:pPr>
            <w:r>
              <w:fldChar w:fldCharType="begin"/>
            </w:r>
            <w:r>
              <w:instrText xml:space="preserve"> delta_regDateTime  \* MERGEFORMAT</w:instrText>
            </w:r>
            <w:r>
              <w:fldChar w:fldCharType="separate"/>
            </w:r>
            <w:r w:rsidR="00ED126A">
              <w:t>03.02.2025</w:t>
            </w:r>
            <w:r>
              <w:fldChar w:fldCharType="end"/>
            </w:r>
            <w:r w:rsidR="00317F3A">
              <w:t xml:space="preserve">  nr </w:t>
            </w:r>
            <w:r w:rsidR="00A02530">
              <w:fldChar w:fldCharType="begin"/>
            </w:r>
            <w:r w:rsidR="00ED126A">
              <w:instrText xml:space="preserve"> delta_regNumber  \* MERGEFORMAT</w:instrText>
            </w:r>
            <w:r w:rsidR="00A02530">
              <w:fldChar w:fldCharType="separate"/>
            </w:r>
            <w:r w:rsidR="00ED126A">
              <w:t>4</w:t>
            </w:r>
            <w:r w:rsidR="00A02530">
              <w:fldChar w:fldCharType="end"/>
            </w:r>
          </w:p>
        </w:tc>
      </w:tr>
      <w:tr w:rsidR="00317F3A" w:rsidRPr="001D4CFB" w14:paraId="57B6022E" w14:textId="77777777" w:rsidTr="00E47AFA">
        <w:trPr>
          <w:trHeight w:val="624"/>
        </w:trPr>
        <w:tc>
          <w:tcPr>
            <w:tcW w:w="5387" w:type="dxa"/>
            <w:shd w:val="clear" w:color="auto" w:fill="auto"/>
          </w:tcPr>
          <w:p w14:paraId="7911DF95" w14:textId="088EC117" w:rsidR="00317F3A" w:rsidRDefault="00A02530" w:rsidP="00E47AFA">
            <w:pPr>
              <w:pStyle w:val="Pealkiri1"/>
            </w:pPr>
            <w:r>
              <w:fldChar w:fldCharType="begin"/>
            </w:r>
            <w:r w:rsidR="00ED126A">
              <w:instrText xml:space="preserve"> delta_docName  \* MERGEFORMAT</w:instrText>
            </w:r>
            <w:r>
              <w:fldChar w:fldCharType="separate"/>
            </w:r>
            <w:r w:rsidR="00ED126A">
              <w:t>Majandus- ja infotehnoloogiaministri 30. mai 2023. a määruse nr 30 „Ettevõtja varustuskindluse toetuse tingimused ja kord“ muutmine</w:t>
            </w:r>
            <w:r>
              <w:fldChar w:fldCharType="end"/>
            </w:r>
          </w:p>
        </w:tc>
        <w:tc>
          <w:tcPr>
            <w:tcW w:w="3685" w:type="dxa"/>
            <w:shd w:val="clear" w:color="auto" w:fill="auto"/>
          </w:tcPr>
          <w:p w14:paraId="3DBB5B9A" w14:textId="77777777" w:rsidR="00317F3A" w:rsidRDefault="00317F3A" w:rsidP="00E47AFA"/>
        </w:tc>
      </w:tr>
    </w:tbl>
    <w:p w14:paraId="1A1D33D2" w14:textId="0E103FA8" w:rsidR="00194A32" w:rsidRDefault="00883F3F" w:rsidP="00194A32">
      <w:pPr>
        <w:pStyle w:val="Tekst"/>
      </w:pPr>
      <w:r w:rsidRPr="00883F3F">
        <w:t>Määrus kehtestatakse välissuhtlemisseaduse § 8 lõike 4 ja Vabariigi Valitsuse 29. novembri 2021.</w:t>
      </w:r>
      <w:r w:rsidR="00E330B3">
        <w:t> </w:t>
      </w:r>
      <w:r w:rsidRPr="00883F3F">
        <w:t>a määruse nr 108 „Taaste- ja vastupidavuskava elluviimise korraldus ja toetuse andmise üldtingimused“ § 8 lõike 1 alusel.</w:t>
      </w:r>
    </w:p>
    <w:p w14:paraId="59D27784" w14:textId="77777777" w:rsidR="00883F3F" w:rsidRDefault="00883F3F" w:rsidP="00194A32">
      <w:pPr>
        <w:pStyle w:val="Tekst"/>
      </w:pPr>
    </w:p>
    <w:p w14:paraId="5079C940" w14:textId="77777777" w:rsidR="00883F3F" w:rsidRPr="00883F3F" w:rsidRDefault="00883F3F" w:rsidP="00883F3F">
      <w:pPr>
        <w:pStyle w:val="Tekst"/>
      </w:pPr>
      <w:r w:rsidRPr="00883F3F">
        <w:t>Majandus- ja infotehnoloogiaministri 30. mai 2023. a määruses nr 30 „Ettevõtja varustuskindluse toetuse tingimused ja kord“ tehakse järgmised muudatused:</w:t>
      </w:r>
    </w:p>
    <w:p w14:paraId="6B2A6BD2" w14:textId="77777777" w:rsidR="00883F3F" w:rsidRPr="00883F3F" w:rsidRDefault="00883F3F" w:rsidP="00883F3F">
      <w:pPr>
        <w:pStyle w:val="Tekst"/>
      </w:pPr>
    </w:p>
    <w:p w14:paraId="557753BE" w14:textId="185EB551" w:rsidR="00883F3F" w:rsidRPr="00883F3F" w:rsidRDefault="00883F3F" w:rsidP="00883F3F">
      <w:pPr>
        <w:pStyle w:val="Tekst"/>
      </w:pPr>
      <w:r w:rsidRPr="00883F3F">
        <w:rPr>
          <w:b/>
          <w:bCs/>
        </w:rPr>
        <w:t xml:space="preserve">1) </w:t>
      </w:r>
      <w:r w:rsidRPr="00883F3F">
        <w:t>paragrahvi 2 tekst sõnastatakse järgmiselt:</w:t>
      </w:r>
    </w:p>
    <w:p w14:paraId="5DD494FC" w14:textId="77777777" w:rsidR="00883F3F" w:rsidRPr="00883F3F" w:rsidRDefault="00883F3F" w:rsidP="00883F3F">
      <w:pPr>
        <w:pStyle w:val="Tekst"/>
      </w:pPr>
    </w:p>
    <w:p w14:paraId="3F647624" w14:textId="49A80E03" w:rsidR="00883F3F" w:rsidRPr="00883F3F" w:rsidRDefault="00883F3F" w:rsidP="00883F3F">
      <w:pPr>
        <w:pStyle w:val="Tekst"/>
      </w:pPr>
      <w:r w:rsidRPr="00883F3F">
        <w:t>„(1) Määruse alusel antakse toetust vähese tähtsusega abina Euroopa Komisjoni määruse (EL) 2023/2831, milles käsitletakse Euroopa Liidu toimimise lepingu artiklite 107 ja 108 kohaldamist vähese tähtsusega abi suhtes (ELT L 2023/2831, 15.12.2023, lk 1–12, edaspidi </w:t>
      </w:r>
      <w:r w:rsidRPr="00883F3F">
        <w:rPr>
          <w:i/>
          <w:iCs/>
        </w:rPr>
        <w:t>VTA määrus</w:t>
      </w:r>
      <w:r w:rsidRPr="00883F3F">
        <w:t>), tähenduses, millele kohaldatakse nimetatud määrust</w:t>
      </w:r>
      <w:r w:rsidR="00FC7513">
        <w:t xml:space="preserve"> ja konkurentsiseaduse § 33</w:t>
      </w:r>
      <w:r w:rsidRPr="00883F3F">
        <w:t xml:space="preserve"> või riigiabina Euroopa Komisjoni määruse (EL) nr 651/2014 ELi aluslepingu artiklite 107 ja 108 kohaldamise kohta, millega teatavat liiki abi tunnistatakse siseturuga kokkusobivaks (ELT L 187, 26.06.2014, lk 1–78) (edaspidi </w:t>
      </w:r>
      <w:r w:rsidRPr="00883F3F">
        <w:rPr>
          <w:i/>
          <w:iCs/>
        </w:rPr>
        <w:t>üldine grupierandi määrus</w:t>
      </w:r>
      <w:r w:rsidRPr="00883F3F">
        <w:t>), tähenduses, millele kohaldatakse nimetatud määrust ja konkurentsiseaduse § 34</w:t>
      </w:r>
      <w:r w:rsidRPr="00883F3F">
        <w:rPr>
          <w:vertAlign w:val="superscript"/>
        </w:rPr>
        <w:t>2</w:t>
      </w:r>
      <w:r w:rsidRPr="00883F3F">
        <w:t>, järgmiselt:</w:t>
      </w:r>
    </w:p>
    <w:p w14:paraId="0C1520D1" w14:textId="77777777" w:rsidR="00883F3F" w:rsidRPr="00883F3F" w:rsidRDefault="00883F3F" w:rsidP="00883F3F">
      <w:pPr>
        <w:pStyle w:val="Tekst"/>
      </w:pPr>
      <w:r w:rsidRPr="00883F3F">
        <w:t>1) paragrahvi 7 lõike 2 punktides 1 ja 2 sätestatud tegevusteks antav toetus on investeeringuteks ettenähtud abi taastuvallikatest toodetud energia ja vesiniku ning tõhusa koostootmise edendamiseks üldise grupierandi määruse artikli 41 tähenduses või vähese tähtsusega abi;</w:t>
      </w:r>
    </w:p>
    <w:p w14:paraId="2198AE52" w14:textId="77777777" w:rsidR="00883F3F" w:rsidRPr="00883F3F" w:rsidRDefault="00883F3F" w:rsidP="00883F3F">
      <w:pPr>
        <w:pStyle w:val="Tekst"/>
      </w:pPr>
      <w:r w:rsidRPr="00883F3F">
        <w:t>2) paragrahvi 7 lõike 2 punktides 3–5 sätestatud tegevusteks antav toetus on vähese tähtsusega abi.</w:t>
      </w:r>
    </w:p>
    <w:p w14:paraId="796442B2" w14:textId="77777777" w:rsidR="00883F3F" w:rsidRPr="00883F3F" w:rsidRDefault="00883F3F" w:rsidP="00883F3F">
      <w:pPr>
        <w:pStyle w:val="Tekst"/>
      </w:pPr>
    </w:p>
    <w:p w14:paraId="165FAEBD" w14:textId="77777777" w:rsidR="00883F3F" w:rsidRPr="00883F3F" w:rsidRDefault="00883F3F" w:rsidP="00883F3F">
      <w:pPr>
        <w:pStyle w:val="Tekst"/>
      </w:pPr>
      <w:r w:rsidRPr="00883F3F">
        <w:t>(2) Määruse alusel ei anta abi:</w:t>
      </w:r>
    </w:p>
    <w:p w14:paraId="6FBF36BD" w14:textId="77777777" w:rsidR="00883F3F" w:rsidRPr="00883F3F" w:rsidRDefault="00883F3F" w:rsidP="00883F3F">
      <w:pPr>
        <w:pStyle w:val="Tekst"/>
      </w:pPr>
      <w:r w:rsidRPr="00883F3F">
        <w:t>1) ettevõtjale, kellele Euroopa Komisjoni varasema otsuse alusel, millega abi on tunnistatud ebaseaduslikuks ja siseturuga kokkusobimatuks, esitatud korraldus abi tagasimaksmiseks on täitmata;</w:t>
      </w:r>
    </w:p>
    <w:p w14:paraId="15A3E5B3" w14:textId="77777777" w:rsidR="00883F3F" w:rsidRPr="00883F3F" w:rsidRDefault="00883F3F" w:rsidP="00883F3F">
      <w:pPr>
        <w:pStyle w:val="Tekst"/>
      </w:pPr>
      <w:r w:rsidRPr="00883F3F">
        <w:t>2) VTA määruse artikli 1 lõikes 1 sätestatud juhtudel;</w:t>
      </w:r>
    </w:p>
    <w:p w14:paraId="4BAFD360" w14:textId="77777777" w:rsidR="00883F3F" w:rsidRPr="00883F3F" w:rsidRDefault="00883F3F" w:rsidP="00883F3F">
      <w:pPr>
        <w:pStyle w:val="Tekst"/>
      </w:pPr>
      <w:r w:rsidRPr="00883F3F">
        <w:t>3) üldise grupierandi määruse artikli 1 lõigetes 2–6 sätestatud juhtudel;</w:t>
      </w:r>
    </w:p>
    <w:p w14:paraId="334CF16D" w14:textId="77777777" w:rsidR="00883F3F" w:rsidRPr="00883F3F" w:rsidRDefault="00883F3F" w:rsidP="00883F3F">
      <w:pPr>
        <w:pStyle w:val="Tekst"/>
      </w:pPr>
      <w:r w:rsidRPr="00883F3F">
        <w:t>4) raskustes olevale ettevõtjale.“;</w:t>
      </w:r>
    </w:p>
    <w:p w14:paraId="29D6BD7D" w14:textId="77777777" w:rsidR="00883F3F" w:rsidRPr="00883F3F" w:rsidRDefault="00883F3F" w:rsidP="00883F3F">
      <w:pPr>
        <w:pStyle w:val="Tekst"/>
      </w:pPr>
    </w:p>
    <w:p w14:paraId="2E30248D" w14:textId="77777777" w:rsidR="00883F3F" w:rsidRPr="00883F3F" w:rsidRDefault="00883F3F" w:rsidP="00883F3F">
      <w:pPr>
        <w:pStyle w:val="Tekst"/>
      </w:pPr>
      <w:r w:rsidRPr="00883F3F">
        <w:rPr>
          <w:b/>
          <w:bCs/>
        </w:rPr>
        <w:t>2)</w:t>
      </w:r>
      <w:r w:rsidRPr="00883F3F">
        <w:t xml:space="preserve"> paragrahvi 4 punkti 1</w:t>
      </w:r>
      <w:r w:rsidRPr="00883F3F">
        <w:rPr>
          <w:vertAlign w:val="superscript"/>
        </w:rPr>
        <w:t>1</w:t>
      </w:r>
      <w:r w:rsidRPr="00883F3F">
        <w:t xml:space="preserve"> täiendatakse pärast sõna „seadmega“ sõnadega „või elektrivõrguga liitumine“;</w:t>
      </w:r>
    </w:p>
    <w:p w14:paraId="07F6FB49" w14:textId="77777777" w:rsidR="00883F3F" w:rsidRPr="00883F3F" w:rsidRDefault="00883F3F" w:rsidP="00883F3F">
      <w:pPr>
        <w:pStyle w:val="Tekst"/>
      </w:pPr>
    </w:p>
    <w:p w14:paraId="2912CCA1" w14:textId="77777777" w:rsidR="00883F3F" w:rsidRPr="00883F3F" w:rsidRDefault="00883F3F" w:rsidP="00883F3F">
      <w:pPr>
        <w:pStyle w:val="Tekst"/>
      </w:pPr>
      <w:r w:rsidRPr="00883F3F">
        <w:rPr>
          <w:b/>
          <w:bCs/>
        </w:rPr>
        <w:lastRenderedPageBreak/>
        <w:t>3)</w:t>
      </w:r>
      <w:r w:rsidRPr="00883F3F">
        <w:t xml:space="preserve"> paragrahvi 4 punktis 3 asendatakse tekstiosa „komisjoni määruse (EL) nr 651/2014 ELi aluslepingu artiklite 107 ja 108 kohaldamise kohta, millega teatavat liiki abi tunnistatakse siseturuga kokkusobivaks (ELT L 187, 26.06.2014, lk 1–78, edaspidi </w:t>
      </w:r>
      <w:r w:rsidRPr="00883F3F">
        <w:rPr>
          <w:i/>
          <w:iCs/>
        </w:rPr>
        <w:t>üldine grupierandi määrus</w:t>
      </w:r>
      <w:r w:rsidRPr="00883F3F">
        <w:t>)“ sõnadega „üldise grupierandi määruse“;</w:t>
      </w:r>
    </w:p>
    <w:p w14:paraId="5140FD4D" w14:textId="77777777" w:rsidR="00883F3F" w:rsidRPr="00883F3F" w:rsidRDefault="00883F3F" w:rsidP="00883F3F">
      <w:pPr>
        <w:pStyle w:val="Tekst"/>
      </w:pPr>
    </w:p>
    <w:p w14:paraId="45425162" w14:textId="77777777" w:rsidR="00883F3F" w:rsidRPr="00883F3F" w:rsidRDefault="00883F3F" w:rsidP="00883F3F">
      <w:pPr>
        <w:pStyle w:val="Tekst"/>
      </w:pPr>
      <w:r w:rsidRPr="00883F3F">
        <w:rPr>
          <w:b/>
          <w:bCs/>
        </w:rPr>
        <w:t>4)</w:t>
      </w:r>
      <w:r w:rsidRPr="00883F3F">
        <w:t xml:space="preserve"> paragrahvi 7 lõiget 2 täiendatakse punktiga 5 järgmises sõnastuses:</w:t>
      </w:r>
    </w:p>
    <w:p w14:paraId="1C38F159" w14:textId="77777777" w:rsidR="00883F3F" w:rsidRPr="00883F3F" w:rsidRDefault="00883F3F" w:rsidP="00883F3F">
      <w:pPr>
        <w:pStyle w:val="Tekst"/>
      </w:pPr>
    </w:p>
    <w:p w14:paraId="4F8FA784" w14:textId="77777777" w:rsidR="00883F3F" w:rsidRPr="00883F3F" w:rsidRDefault="00883F3F" w:rsidP="00883F3F">
      <w:pPr>
        <w:pStyle w:val="Tekst"/>
      </w:pPr>
      <w:r w:rsidRPr="00883F3F">
        <w:t>„5) ehitusprojekti eelprojekti koostamine, kui eelprojekt on vajalik punktides 1 või 3 sätestatud tegevuse elluviimiseks ning eelprojekti valmimise kuupäev on hilisem kui 2022. a 20. juuli.“;</w:t>
      </w:r>
    </w:p>
    <w:p w14:paraId="551A5808" w14:textId="77777777" w:rsidR="00883F3F" w:rsidRPr="00883F3F" w:rsidRDefault="00883F3F" w:rsidP="00883F3F">
      <w:pPr>
        <w:pStyle w:val="Tekst"/>
      </w:pPr>
    </w:p>
    <w:p w14:paraId="6EB00604" w14:textId="77777777" w:rsidR="00883F3F" w:rsidRPr="00883F3F" w:rsidRDefault="00883F3F" w:rsidP="00883F3F">
      <w:pPr>
        <w:pStyle w:val="Tekst"/>
      </w:pPr>
      <w:r w:rsidRPr="00883F3F">
        <w:rPr>
          <w:b/>
          <w:bCs/>
        </w:rPr>
        <w:t>5)</w:t>
      </w:r>
      <w:r w:rsidRPr="00883F3F">
        <w:t xml:space="preserve"> paragrahvi 7 lõige 4 sõnastatakse järgmiselt:</w:t>
      </w:r>
    </w:p>
    <w:p w14:paraId="71E3C2DB" w14:textId="77777777" w:rsidR="00883F3F" w:rsidRPr="00883F3F" w:rsidRDefault="00883F3F" w:rsidP="00883F3F">
      <w:pPr>
        <w:pStyle w:val="Tekst"/>
      </w:pPr>
    </w:p>
    <w:p w14:paraId="49B7520E" w14:textId="77777777" w:rsidR="00883F3F" w:rsidRPr="00883F3F" w:rsidRDefault="00883F3F" w:rsidP="00883F3F">
      <w:pPr>
        <w:pStyle w:val="Tekst"/>
      </w:pPr>
      <w:r w:rsidRPr="00883F3F">
        <w:t>„(4) Taotleja ei tohi alustada projektiga seotud tegevusi ega võtta kohustusi nimetatud tegevuste elluviimiseks enne taotluse esitamist, välja arvatud lõike 2 punktis 5 sätestatud tegevuse puhul.“;</w:t>
      </w:r>
    </w:p>
    <w:p w14:paraId="18D3BEBA" w14:textId="77777777" w:rsidR="00883F3F" w:rsidRPr="00883F3F" w:rsidRDefault="00883F3F" w:rsidP="00883F3F">
      <w:pPr>
        <w:pStyle w:val="Tekst"/>
      </w:pPr>
    </w:p>
    <w:p w14:paraId="0E489EAB" w14:textId="77777777" w:rsidR="00883F3F" w:rsidRPr="00883F3F" w:rsidRDefault="00883F3F" w:rsidP="00883F3F">
      <w:pPr>
        <w:pStyle w:val="Tekst"/>
        <w:rPr>
          <w:b/>
          <w:bCs/>
        </w:rPr>
      </w:pPr>
      <w:r w:rsidRPr="00883F3F">
        <w:rPr>
          <w:b/>
          <w:bCs/>
        </w:rPr>
        <w:t xml:space="preserve">6) </w:t>
      </w:r>
      <w:r w:rsidRPr="00883F3F">
        <w:t>paragrahvi 8 lõike 3 punkt 1 tunnistatakse kehtetuks;</w:t>
      </w:r>
    </w:p>
    <w:p w14:paraId="12FBC956" w14:textId="77777777" w:rsidR="00883F3F" w:rsidRPr="00883F3F" w:rsidRDefault="00883F3F" w:rsidP="00883F3F">
      <w:pPr>
        <w:pStyle w:val="Tekst"/>
        <w:rPr>
          <w:b/>
          <w:bCs/>
        </w:rPr>
      </w:pPr>
    </w:p>
    <w:p w14:paraId="60679918" w14:textId="77777777" w:rsidR="00883F3F" w:rsidRPr="00883F3F" w:rsidRDefault="00883F3F" w:rsidP="00883F3F">
      <w:pPr>
        <w:pStyle w:val="Tekst"/>
      </w:pPr>
      <w:r w:rsidRPr="00883F3F">
        <w:rPr>
          <w:b/>
          <w:bCs/>
        </w:rPr>
        <w:t>7)</w:t>
      </w:r>
      <w:r w:rsidRPr="00883F3F">
        <w:t xml:space="preserve"> paragrahvi 8 lõiget 3 täiendatakse punktiga 8 järgmises sõnastuses:</w:t>
      </w:r>
    </w:p>
    <w:p w14:paraId="0169180C" w14:textId="77777777" w:rsidR="00883F3F" w:rsidRPr="00883F3F" w:rsidRDefault="00883F3F" w:rsidP="00883F3F">
      <w:pPr>
        <w:pStyle w:val="Tekst"/>
      </w:pPr>
    </w:p>
    <w:p w14:paraId="37CC2E2C" w14:textId="77777777" w:rsidR="00883F3F" w:rsidRPr="00883F3F" w:rsidRDefault="00883F3F" w:rsidP="00883F3F">
      <w:pPr>
        <w:pStyle w:val="Tekst"/>
      </w:pPr>
      <w:r w:rsidRPr="00883F3F">
        <w:t>„8) elektrivõrguga liitumistasu.“;</w:t>
      </w:r>
    </w:p>
    <w:p w14:paraId="2F140F19" w14:textId="77777777" w:rsidR="00883F3F" w:rsidRPr="00883F3F" w:rsidRDefault="00883F3F" w:rsidP="00883F3F">
      <w:pPr>
        <w:pStyle w:val="Tekst"/>
      </w:pPr>
    </w:p>
    <w:p w14:paraId="2F941178" w14:textId="77777777" w:rsidR="00883F3F" w:rsidRPr="00883F3F" w:rsidRDefault="00883F3F" w:rsidP="00883F3F">
      <w:pPr>
        <w:pStyle w:val="Tekst"/>
      </w:pPr>
      <w:r w:rsidRPr="00883F3F">
        <w:rPr>
          <w:b/>
          <w:bCs/>
        </w:rPr>
        <w:t xml:space="preserve">8) </w:t>
      </w:r>
      <w:r w:rsidRPr="00883F3F">
        <w:t>paragrahvi 8 täiendatakse lõikega 4</w:t>
      </w:r>
      <w:r w:rsidRPr="00883F3F">
        <w:rPr>
          <w:vertAlign w:val="superscript"/>
        </w:rPr>
        <w:t>1</w:t>
      </w:r>
      <w:r w:rsidRPr="00883F3F">
        <w:t xml:space="preserve"> järgmises sõnastuses:</w:t>
      </w:r>
    </w:p>
    <w:p w14:paraId="5E6EE4D6" w14:textId="77777777" w:rsidR="00883F3F" w:rsidRPr="00883F3F" w:rsidRDefault="00883F3F" w:rsidP="00883F3F">
      <w:pPr>
        <w:pStyle w:val="Tekst"/>
      </w:pPr>
    </w:p>
    <w:p w14:paraId="5F4DC114" w14:textId="77777777" w:rsidR="00883F3F" w:rsidRPr="00883F3F" w:rsidRDefault="00883F3F" w:rsidP="00883F3F">
      <w:pPr>
        <w:pStyle w:val="Tekst"/>
      </w:pPr>
      <w:r w:rsidRPr="00883F3F">
        <w:t>„(4</w:t>
      </w:r>
      <w:r w:rsidRPr="00883F3F">
        <w:rPr>
          <w:vertAlign w:val="superscript"/>
        </w:rPr>
        <w:t>1</w:t>
      </w:r>
      <w:r w:rsidRPr="00883F3F">
        <w:t>) Paragrahvi 7 lõike 2 punktis 5 sätestatud tegevusel on toetatav kulu ehitusprojekti eelprojekti koostamise maksumus.“;</w:t>
      </w:r>
    </w:p>
    <w:p w14:paraId="44F50637" w14:textId="77777777" w:rsidR="00883F3F" w:rsidRPr="00883F3F" w:rsidRDefault="00883F3F" w:rsidP="00883F3F">
      <w:pPr>
        <w:pStyle w:val="Tekst"/>
      </w:pPr>
    </w:p>
    <w:p w14:paraId="06FC3FAE" w14:textId="77777777" w:rsidR="00883F3F" w:rsidRPr="00883F3F" w:rsidRDefault="00883F3F" w:rsidP="00883F3F">
      <w:pPr>
        <w:pStyle w:val="Tekst"/>
      </w:pPr>
      <w:r w:rsidRPr="00883F3F">
        <w:rPr>
          <w:b/>
          <w:bCs/>
        </w:rPr>
        <w:t>9)</w:t>
      </w:r>
      <w:r w:rsidRPr="00883F3F">
        <w:t xml:space="preserve"> paragrahvi 9 lõige 1 sõnastatakse järgmiselt:</w:t>
      </w:r>
    </w:p>
    <w:p w14:paraId="1623A592" w14:textId="77777777" w:rsidR="00883F3F" w:rsidRPr="00883F3F" w:rsidRDefault="00883F3F" w:rsidP="00883F3F">
      <w:pPr>
        <w:pStyle w:val="Tekst"/>
      </w:pPr>
    </w:p>
    <w:p w14:paraId="70937DB8" w14:textId="77777777" w:rsidR="00883F3F" w:rsidRPr="00883F3F" w:rsidRDefault="00883F3F" w:rsidP="00883F3F">
      <w:pPr>
        <w:pStyle w:val="Tekst"/>
      </w:pPr>
      <w:r w:rsidRPr="00883F3F">
        <w:t>„(1) Projekti abikõlblikkuse periood algab taotluse esitamise kuupäevast või taotluses märgitud ja taotluse rahuldamise otsuses määratud hilisemast kuupäevast ja lõpeb taotluse rahuldamise otsuses määratud kuupäeval, kuid hiljemalt 31. märtsil 2026. Juhul kui § 7 lõike 2 punktis 5 sätestatud tegevuse elluviimisega on alustatud enne taotluse esitamist, määrab vahendusasutus taotleja soovil nimetatud tegevuse osas taotluse rahuldamise otsuses taotluse esitamisest varasema abikõlblikkuse perioodi alguskuupäeva.“;</w:t>
      </w:r>
    </w:p>
    <w:p w14:paraId="654AF813" w14:textId="77777777" w:rsidR="00883F3F" w:rsidRPr="00883F3F" w:rsidRDefault="00883F3F" w:rsidP="00883F3F">
      <w:pPr>
        <w:pStyle w:val="Tekst"/>
        <w:rPr>
          <w:b/>
          <w:bCs/>
        </w:rPr>
      </w:pPr>
    </w:p>
    <w:p w14:paraId="081BD10A" w14:textId="07491FDC" w:rsidR="00883F3F" w:rsidRPr="00883F3F" w:rsidRDefault="00883F3F" w:rsidP="00883F3F">
      <w:pPr>
        <w:pStyle w:val="Tekst"/>
      </w:pPr>
      <w:r w:rsidRPr="00883F3F">
        <w:rPr>
          <w:b/>
          <w:bCs/>
        </w:rPr>
        <w:t>10)</w:t>
      </w:r>
      <w:r w:rsidRPr="00883F3F">
        <w:t xml:space="preserve"> paragrahvi 9 lõikes 4 ning § 25 lõikes 1 asendatakse tekstiosa „detsembril 2025“ tekstiosaga „märtsil 2026“;</w:t>
      </w:r>
    </w:p>
    <w:p w14:paraId="2E2F21D5" w14:textId="77777777" w:rsidR="00883F3F" w:rsidRPr="00883F3F" w:rsidRDefault="00883F3F" w:rsidP="00883F3F">
      <w:pPr>
        <w:pStyle w:val="Tekst"/>
      </w:pPr>
    </w:p>
    <w:p w14:paraId="6131C0DE" w14:textId="77777777" w:rsidR="00883F3F" w:rsidRPr="00883F3F" w:rsidRDefault="00883F3F" w:rsidP="00883F3F">
      <w:pPr>
        <w:pStyle w:val="Tekst"/>
      </w:pPr>
      <w:r w:rsidRPr="00883F3F">
        <w:rPr>
          <w:b/>
          <w:bCs/>
        </w:rPr>
        <w:t>11)</w:t>
      </w:r>
      <w:r w:rsidRPr="00883F3F">
        <w:t xml:space="preserve"> paragrahvi 10 lõige 3 sõnastatakse järgmiselt:</w:t>
      </w:r>
    </w:p>
    <w:p w14:paraId="4CC0F258" w14:textId="77777777" w:rsidR="00883F3F" w:rsidRPr="00883F3F" w:rsidRDefault="00883F3F" w:rsidP="00883F3F">
      <w:pPr>
        <w:pStyle w:val="Tekst"/>
      </w:pPr>
    </w:p>
    <w:p w14:paraId="211DF0D0" w14:textId="7954E281" w:rsidR="00883F3F" w:rsidRPr="00883F3F" w:rsidRDefault="00883F3F" w:rsidP="00883F3F">
      <w:pPr>
        <w:pStyle w:val="Tekst"/>
      </w:pPr>
      <w:r w:rsidRPr="00883F3F">
        <w:t xml:space="preserve">„(3) Toetuse maksimaalne osakaal, </w:t>
      </w:r>
      <w:r w:rsidR="002F0863">
        <w:t>kui toetust antakse vähese tähtsusega abina</w:t>
      </w:r>
      <w:r w:rsidRPr="00883F3F">
        <w:t>, on:</w:t>
      </w:r>
    </w:p>
    <w:p w14:paraId="14AC230C" w14:textId="77777777" w:rsidR="00883F3F" w:rsidRPr="00883F3F" w:rsidRDefault="00883F3F" w:rsidP="00883F3F">
      <w:pPr>
        <w:pStyle w:val="Tekst"/>
      </w:pPr>
      <w:r w:rsidRPr="00883F3F">
        <w:t>1) 60 protsenti toetatavatest kuludest väikeettevõtja korral;</w:t>
      </w:r>
    </w:p>
    <w:p w14:paraId="2AC941C7" w14:textId="77777777" w:rsidR="00883F3F" w:rsidRPr="00883F3F" w:rsidRDefault="00883F3F" w:rsidP="00883F3F">
      <w:pPr>
        <w:pStyle w:val="Tekst"/>
      </w:pPr>
      <w:r w:rsidRPr="00883F3F">
        <w:t>2) 50 protsenti toetatavatest kuludest keskmise suurusega ettevõtja korral;</w:t>
      </w:r>
    </w:p>
    <w:p w14:paraId="05ED2E89" w14:textId="77777777" w:rsidR="00883F3F" w:rsidRDefault="00883F3F" w:rsidP="00883F3F">
      <w:pPr>
        <w:pStyle w:val="Tekst"/>
      </w:pPr>
      <w:r w:rsidRPr="00883F3F">
        <w:t>3) 40 protsenti toetatavatest kuludest suurettevõtja korral.“;</w:t>
      </w:r>
    </w:p>
    <w:p w14:paraId="6EDFDA62" w14:textId="77777777" w:rsidR="0020315F" w:rsidRDefault="0020315F" w:rsidP="00883F3F">
      <w:pPr>
        <w:pStyle w:val="Tekst"/>
      </w:pPr>
    </w:p>
    <w:p w14:paraId="67CDD6F2" w14:textId="0EB69372" w:rsidR="0020315F" w:rsidRDefault="0020315F" w:rsidP="00883F3F">
      <w:pPr>
        <w:pStyle w:val="Tekst"/>
      </w:pPr>
      <w:r w:rsidRPr="002C5DA5">
        <w:rPr>
          <w:b/>
          <w:bCs/>
        </w:rPr>
        <w:t>12)</w:t>
      </w:r>
      <w:r>
        <w:t xml:space="preserve"> paragrahvi 10 täiendatakse lõikega 3</w:t>
      </w:r>
      <w:r>
        <w:rPr>
          <w:rFonts w:cs="Times New Roman"/>
        </w:rPr>
        <w:t>¹</w:t>
      </w:r>
      <w:r>
        <w:t xml:space="preserve"> järgmises sõnastuses:</w:t>
      </w:r>
    </w:p>
    <w:p w14:paraId="59D53740" w14:textId="77777777" w:rsidR="000F604D" w:rsidRDefault="000F604D" w:rsidP="00883F3F">
      <w:pPr>
        <w:pStyle w:val="Tekst"/>
      </w:pPr>
    </w:p>
    <w:p w14:paraId="5B3178B2" w14:textId="70B84215" w:rsidR="000F604D" w:rsidRDefault="000F604D" w:rsidP="00883F3F">
      <w:pPr>
        <w:pStyle w:val="Tekst"/>
      </w:pPr>
      <w:r>
        <w:t>„(3</w:t>
      </w:r>
      <w:r>
        <w:rPr>
          <w:rFonts w:cs="Times New Roman"/>
        </w:rPr>
        <w:t>¹</w:t>
      </w:r>
      <w:r>
        <w:t>) Toetuse maksimaalne osakaal, kui toetust antakse kooskõlas üldise grupierandi määruse artikliga 41, on:</w:t>
      </w:r>
    </w:p>
    <w:p w14:paraId="05490030" w14:textId="439890DD" w:rsidR="000F604D" w:rsidRDefault="004427F9" w:rsidP="004427F9">
      <w:pPr>
        <w:pStyle w:val="Tekst"/>
      </w:pPr>
      <w:r>
        <w:t xml:space="preserve">1) </w:t>
      </w:r>
      <w:r w:rsidR="005734D7">
        <w:t xml:space="preserve">45 </w:t>
      </w:r>
      <w:r w:rsidR="000F604D">
        <w:t>protsenti § 7 lõike 2 punktis 1 sätestatud tegevuseks;</w:t>
      </w:r>
    </w:p>
    <w:p w14:paraId="3FD3F1A2" w14:textId="585FAA4F" w:rsidR="000F604D" w:rsidRPr="00883F3F" w:rsidRDefault="004427F9" w:rsidP="004427F9">
      <w:pPr>
        <w:pStyle w:val="Tekst"/>
      </w:pPr>
      <w:r>
        <w:t xml:space="preserve">2) </w:t>
      </w:r>
      <w:r w:rsidR="005734D7">
        <w:t>30 p</w:t>
      </w:r>
      <w:r w:rsidR="000F604D">
        <w:t>rotsenti § 7 lõike 2 punktis 2 sätestatud tegevuseks.</w:t>
      </w:r>
      <w:r w:rsidR="00436679">
        <w:t>“;</w:t>
      </w:r>
    </w:p>
    <w:p w14:paraId="2D3285C7" w14:textId="77777777" w:rsidR="004427F9" w:rsidRDefault="004427F9" w:rsidP="00883F3F">
      <w:pPr>
        <w:pStyle w:val="Tekst"/>
      </w:pPr>
    </w:p>
    <w:p w14:paraId="11B52680" w14:textId="3DCE44CF" w:rsidR="006615BD" w:rsidRDefault="006615BD" w:rsidP="00883F3F">
      <w:pPr>
        <w:pStyle w:val="Tekst"/>
      </w:pPr>
      <w:r>
        <w:rPr>
          <w:b/>
          <w:bCs/>
        </w:rPr>
        <w:lastRenderedPageBreak/>
        <w:t>1</w:t>
      </w:r>
      <w:r w:rsidR="00052F78">
        <w:rPr>
          <w:b/>
          <w:bCs/>
        </w:rPr>
        <w:t>3</w:t>
      </w:r>
      <w:r>
        <w:rPr>
          <w:b/>
          <w:bCs/>
        </w:rPr>
        <w:t xml:space="preserve">) </w:t>
      </w:r>
      <w:r>
        <w:t xml:space="preserve">paragrahvi 10 </w:t>
      </w:r>
      <w:r w:rsidR="00804406">
        <w:t>lõiget 4 täiendatakse teise lausega järgmises sõnastuses:</w:t>
      </w:r>
    </w:p>
    <w:p w14:paraId="166C26B1" w14:textId="77777777" w:rsidR="00804406" w:rsidRDefault="00804406" w:rsidP="00883F3F">
      <w:pPr>
        <w:pStyle w:val="Tekst"/>
      </w:pPr>
    </w:p>
    <w:p w14:paraId="01F4CAED" w14:textId="64413D8A" w:rsidR="00804406" w:rsidRDefault="00804406" w:rsidP="00883F3F">
      <w:pPr>
        <w:pStyle w:val="Tekst"/>
      </w:pPr>
      <w:r>
        <w:t>„Toetuse maksimaalset osakaalu ei tõsteta suurettevõtjale § 7 lõike 2 punktides 1 ja 2 sätestatud tegevuseks abi andmisel kooskõlas üldise grupierandi määrusega.“;</w:t>
      </w:r>
    </w:p>
    <w:p w14:paraId="6DE2FCFC" w14:textId="77777777" w:rsidR="006615BD" w:rsidRDefault="006615BD" w:rsidP="00883F3F">
      <w:pPr>
        <w:pStyle w:val="Tekst"/>
        <w:rPr>
          <w:b/>
          <w:bCs/>
        </w:rPr>
      </w:pPr>
    </w:p>
    <w:p w14:paraId="7ADA3B61" w14:textId="641C5611" w:rsidR="00883F3F" w:rsidRPr="00883F3F" w:rsidRDefault="00883F3F" w:rsidP="00883F3F">
      <w:pPr>
        <w:pStyle w:val="Tekst"/>
      </w:pPr>
      <w:r w:rsidRPr="00883F3F">
        <w:rPr>
          <w:b/>
          <w:bCs/>
        </w:rPr>
        <w:t>1</w:t>
      </w:r>
      <w:r w:rsidR="00052F78">
        <w:rPr>
          <w:b/>
          <w:bCs/>
        </w:rPr>
        <w:t>4</w:t>
      </w:r>
      <w:r w:rsidRPr="00883F3F">
        <w:rPr>
          <w:b/>
          <w:bCs/>
        </w:rPr>
        <w:t>)</w:t>
      </w:r>
      <w:r w:rsidRPr="00883F3F">
        <w:t xml:space="preserve"> paragrahvi 11 lõige 1 sõnastatakse järgmiselt:</w:t>
      </w:r>
    </w:p>
    <w:p w14:paraId="2125016F" w14:textId="77777777" w:rsidR="00883F3F" w:rsidRPr="00883F3F" w:rsidRDefault="00883F3F" w:rsidP="00883F3F">
      <w:pPr>
        <w:pStyle w:val="Tekst"/>
      </w:pPr>
    </w:p>
    <w:p w14:paraId="23B4C948" w14:textId="77777777" w:rsidR="00883F3F" w:rsidRPr="00883F3F" w:rsidRDefault="00883F3F" w:rsidP="00883F3F">
      <w:pPr>
        <w:pStyle w:val="Tekst"/>
      </w:pPr>
      <w:r w:rsidRPr="00883F3F">
        <w:t>„(1) Toetust võib taotleda Eestis registreeritud äriühing.“;</w:t>
      </w:r>
    </w:p>
    <w:p w14:paraId="699A8D58" w14:textId="77777777" w:rsidR="00883F3F" w:rsidRPr="00883F3F" w:rsidRDefault="00883F3F" w:rsidP="00883F3F">
      <w:pPr>
        <w:pStyle w:val="Tekst"/>
      </w:pPr>
    </w:p>
    <w:p w14:paraId="692D6007" w14:textId="739E434D" w:rsidR="00883F3F" w:rsidRPr="00883F3F" w:rsidRDefault="00883F3F" w:rsidP="00883F3F">
      <w:pPr>
        <w:pStyle w:val="Tekst"/>
      </w:pPr>
      <w:r w:rsidRPr="00883F3F">
        <w:rPr>
          <w:b/>
          <w:bCs/>
        </w:rPr>
        <w:t>1</w:t>
      </w:r>
      <w:r w:rsidR="00052F78">
        <w:rPr>
          <w:b/>
          <w:bCs/>
        </w:rPr>
        <w:t>5</w:t>
      </w:r>
      <w:r w:rsidRPr="00883F3F">
        <w:rPr>
          <w:b/>
          <w:bCs/>
        </w:rPr>
        <w:t>)</w:t>
      </w:r>
      <w:r w:rsidRPr="00883F3F">
        <w:t xml:space="preserve"> paragrahvi 11 lõi</w:t>
      </w:r>
      <w:r w:rsidR="00715869">
        <w:t>k</w:t>
      </w:r>
      <w:r w:rsidRPr="00883F3F">
        <w:t>e</w:t>
      </w:r>
      <w:r w:rsidR="00715869">
        <w:t>d</w:t>
      </w:r>
      <w:r w:rsidRPr="00883F3F">
        <w:t xml:space="preserve"> 2 ja 3 tunnistatakse kehtetuks;</w:t>
      </w:r>
    </w:p>
    <w:p w14:paraId="0CC9DE70" w14:textId="77777777" w:rsidR="00883F3F" w:rsidRPr="00883F3F" w:rsidRDefault="00883F3F" w:rsidP="00883F3F">
      <w:pPr>
        <w:pStyle w:val="Tekst"/>
      </w:pPr>
    </w:p>
    <w:p w14:paraId="75BA6F3F" w14:textId="77777777" w:rsidR="006850C3" w:rsidRDefault="000A6405" w:rsidP="00504768">
      <w:pPr>
        <w:pStyle w:val="Tekst"/>
      </w:pPr>
      <w:r>
        <w:rPr>
          <w:b/>
          <w:bCs/>
        </w:rPr>
        <w:t>1</w:t>
      </w:r>
      <w:r w:rsidR="00052F78">
        <w:rPr>
          <w:b/>
          <w:bCs/>
        </w:rPr>
        <w:t>6</w:t>
      </w:r>
      <w:r>
        <w:rPr>
          <w:b/>
          <w:bCs/>
        </w:rPr>
        <w:t xml:space="preserve">) </w:t>
      </w:r>
      <w:r>
        <w:t xml:space="preserve">paragrahvi 11 </w:t>
      </w:r>
      <w:r w:rsidR="00D122EB">
        <w:t>lõi</w:t>
      </w:r>
      <w:r w:rsidR="002E1578">
        <w:t>k</w:t>
      </w:r>
      <w:r w:rsidR="00D122EB">
        <w:t xml:space="preserve">e 4 </w:t>
      </w:r>
      <w:r w:rsidR="002E1578">
        <w:t xml:space="preserve">punktid 5–15 </w:t>
      </w:r>
      <w:r w:rsidR="00B47B81">
        <w:t>sõnastatakse järgmiselt</w:t>
      </w:r>
      <w:r w:rsidR="002E1578">
        <w:t>:</w:t>
      </w:r>
    </w:p>
    <w:p w14:paraId="27F5FEB3" w14:textId="77777777" w:rsidR="006850C3" w:rsidRDefault="006850C3" w:rsidP="00504768">
      <w:pPr>
        <w:pStyle w:val="Tekst"/>
      </w:pPr>
    </w:p>
    <w:p w14:paraId="377A0FE4" w14:textId="0C4AADB0" w:rsidR="00504768" w:rsidRDefault="002E1578" w:rsidP="00504768">
      <w:pPr>
        <w:pStyle w:val="Tekst"/>
      </w:pPr>
      <w:r>
        <w:t>„</w:t>
      </w:r>
      <w:r w:rsidR="00504768">
        <w:t>5) jao K alajagu 62 – programmeerimine, konsultatsioonid jms tegevused;</w:t>
      </w:r>
    </w:p>
    <w:p w14:paraId="74CEBBE4" w14:textId="1A732B50" w:rsidR="00504768" w:rsidRDefault="00504768" w:rsidP="000A6405">
      <w:pPr>
        <w:pStyle w:val="Tekst"/>
      </w:pPr>
      <w:r>
        <w:t>6</w:t>
      </w:r>
      <w:r w:rsidR="000A6405">
        <w:t>) jagu L – finants- ja kindlustustegevus;</w:t>
      </w:r>
    </w:p>
    <w:p w14:paraId="3C7A2D82" w14:textId="3D876B83" w:rsidR="000A6405" w:rsidRDefault="00504768" w:rsidP="000A6405">
      <w:pPr>
        <w:pStyle w:val="Tekst"/>
      </w:pPr>
      <w:r>
        <w:t>7</w:t>
      </w:r>
      <w:r w:rsidR="000A6405">
        <w:t>) jao N alajagu 69 – juriidilised toimingud ja arvepidamine;</w:t>
      </w:r>
    </w:p>
    <w:p w14:paraId="363096EA" w14:textId="2ADD4D27" w:rsidR="000A6405" w:rsidRDefault="00504768" w:rsidP="000A6405">
      <w:pPr>
        <w:pStyle w:val="Tekst"/>
      </w:pPr>
      <w:r>
        <w:t>8</w:t>
      </w:r>
      <w:r w:rsidR="000A6405">
        <w:t>) jao N alajagu 70 – peakontorite tegevus ning juhtimisalane nõustamine;</w:t>
      </w:r>
    </w:p>
    <w:p w14:paraId="011A5BD0" w14:textId="1D7F81A6" w:rsidR="000A6405" w:rsidRDefault="00504768" w:rsidP="000A6405">
      <w:pPr>
        <w:pStyle w:val="Tekst"/>
      </w:pPr>
      <w:r>
        <w:t>9</w:t>
      </w:r>
      <w:r w:rsidR="000A6405">
        <w:t>) jao N alajagu 73 – reklaamindus, turu-uuringud ja suhtekorraldus;</w:t>
      </w:r>
    </w:p>
    <w:p w14:paraId="6B40F501" w14:textId="795A7E8E" w:rsidR="000A6405" w:rsidRDefault="000A6405" w:rsidP="000A6405">
      <w:pPr>
        <w:pStyle w:val="Tekst"/>
      </w:pPr>
      <w:r>
        <w:t>1</w:t>
      </w:r>
      <w:r w:rsidR="00504768">
        <w:t>0</w:t>
      </w:r>
      <w:r>
        <w:t>) jao O alajagu 77 – rentimine ja kasutusrent;</w:t>
      </w:r>
    </w:p>
    <w:p w14:paraId="65DD490C" w14:textId="53DD5155" w:rsidR="000A6405" w:rsidRPr="000A6405" w:rsidRDefault="000A6405" w:rsidP="000A6405">
      <w:pPr>
        <w:pStyle w:val="Tekst"/>
      </w:pPr>
      <w:r>
        <w:t>1</w:t>
      </w:r>
      <w:r w:rsidR="00504768">
        <w:t>1</w:t>
      </w:r>
      <w:r>
        <w:t>) jao O alajagu 782 –tööjõu rent ja muud tööjõuteenused“;</w:t>
      </w:r>
    </w:p>
    <w:p w14:paraId="4CC1D066" w14:textId="2229B8FA" w:rsidR="00504768" w:rsidRDefault="00504768" w:rsidP="00504768">
      <w:pPr>
        <w:pStyle w:val="Tekst"/>
      </w:pPr>
      <w:r>
        <w:t>12) jao S alajagu 92 – hasartmängude ja kihlvedude korraldamine</w:t>
      </w:r>
      <w:r w:rsidR="002E1578">
        <w:t>.“</w:t>
      </w:r>
      <w:r w:rsidR="00BF6022">
        <w:t>;</w:t>
      </w:r>
    </w:p>
    <w:p w14:paraId="6F366D73" w14:textId="77777777" w:rsidR="000A6405" w:rsidRDefault="000A6405" w:rsidP="00883F3F">
      <w:pPr>
        <w:pStyle w:val="Tekst"/>
        <w:rPr>
          <w:b/>
          <w:bCs/>
        </w:rPr>
      </w:pPr>
    </w:p>
    <w:p w14:paraId="376725C3" w14:textId="004646AF" w:rsidR="00883F3F" w:rsidRPr="00883F3F" w:rsidRDefault="00883F3F" w:rsidP="00883F3F">
      <w:pPr>
        <w:pStyle w:val="Tekst"/>
      </w:pPr>
      <w:r w:rsidRPr="00883F3F">
        <w:rPr>
          <w:b/>
          <w:bCs/>
        </w:rPr>
        <w:t>1</w:t>
      </w:r>
      <w:r w:rsidR="00052F78">
        <w:rPr>
          <w:b/>
          <w:bCs/>
        </w:rPr>
        <w:t>7</w:t>
      </w:r>
      <w:r w:rsidRPr="00883F3F">
        <w:rPr>
          <w:b/>
          <w:bCs/>
        </w:rPr>
        <w:t>)</w:t>
      </w:r>
      <w:r w:rsidRPr="00883F3F">
        <w:t xml:space="preserve"> paragrahvi 12 lõiget 4 täiendatakse punktiga 6 järgmises sõnastuses:</w:t>
      </w:r>
    </w:p>
    <w:p w14:paraId="0B2070BA" w14:textId="77777777" w:rsidR="00883F3F" w:rsidRPr="00883F3F" w:rsidRDefault="00883F3F" w:rsidP="00883F3F">
      <w:pPr>
        <w:pStyle w:val="Tekst"/>
      </w:pPr>
    </w:p>
    <w:p w14:paraId="76913C99" w14:textId="77777777" w:rsidR="00883F3F" w:rsidRPr="00883F3F" w:rsidRDefault="00883F3F" w:rsidP="00883F3F">
      <w:pPr>
        <w:pStyle w:val="Tekst"/>
      </w:pPr>
      <w:r w:rsidRPr="00883F3F">
        <w:t>„6) võrguettevõtja liitumispakkumine, kui liitutakse elektrivõrguga.“;</w:t>
      </w:r>
    </w:p>
    <w:p w14:paraId="3CCEC027" w14:textId="77777777" w:rsidR="00883F3F" w:rsidRPr="00883F3F" w:rsidRDefault="00883F3F" w:rsidP="00883F3F">
      <w:pPr>
        <w:pStyle w:val="Tekst"/>
      </w:pPr>
    </w:p>
    <w:p w14:paraId="62AE7AB2" w14:textId="3F837AF0" w:rsidR="00883F3F" w:rsidRPr="00883F3F" w:rsidRDefault="00883F3F" w:rsidP="00883F3F">
      <w:pPr>
        <w:pStyle w:val="Tekst"/>
      </w:pPr>
      <w:r w:rsidRPr="00883F3F">
        <w:rPr>
          <w:b/>
          <w:bCs/>
        </w:rPr>
        <w:t>1</w:t>
      </w:r>
      <w:r w:rsidR="00052F78">
        <w:rPr>
          <w:b/>
          <w:bCs/>
        </w:rPr>
        <w:t>8</w:t>
      </w:r>
      <w:r w:rsidRPr="00883F3F">
        <w:rPr>
          <w:b/>
          <w:bCs/>
        </w:rPr>
        <w:t>)</w:t>
      </w:r>
      <w:r w:rsidRPr="00883F3F">
        <w:t xml:space="preserve"> paragrahvi 14 lõige 1 tunnistatakse kehtetuks;</w:t>
      </w:r>
    </w:p>
    <w:p w14:paraId="5AA5F965" w14:textId="77777777" w:rsidR="00883F3F" w:rsidRPr="00883F3F" w:rsidRDefault="00883F3F" w:rsidP="00883F3F">
      <w:pPr>
        <w:pStyle w:val="Tekst"/>
      </w:pPr>
    </w:p>
    <w:p w14:paraId="2C5D85C3" w14:textId="139B5460" w:rsidR="00883F3F" w:rsidRPr="00883F3F" w:rsidRDefault="00883F3F" w:rsidP="00883F3F">
      <w:pPr>
        <w:pStyle w:val="Tekst"/>
      </w:pPr>
      <w:r w:rsidRPr="00883F3F">
        <w:rPr>
          <w:b/>
          <w:bCs/>
        </w:rPr>
        <w:t>1</w:t>
      </w:r>
      <w:r w:rsidR="00052F78">
        <w:rPr>
          <w:b/>
          <w:bCs/>
        </w:rPr>
        <w:t>9</w:t>
      </w:r>
      <w:r w:rsidRPr="00883F3F">
        <w:rPr>
          <w:b/>
          <w:bCs/>
        </w:rPr>
        <w:t>)</w:t>
      </w:r>
      <w:r w:rsidRPr="00883F3F">
        <w:t xml:space="preserve"> paragrahvi 14 lõige 2 sõnastatakse järgmiselt:</w:t>
      </w:r>
    </w:p>
    <w:p w14:paraId="1AE15D2A" w14:textId="77777777" w:rsidR="00883F3F" w:rsidRPr="00883F3F" w:rsidRDefault="00883F3F" w:rsidP="00883F3F">
      <w:pPr>
        <w:pStyle w:val="Tekst"/>
      </w:pPr>
    </w:p>
    <w:p w14:paraId="52BFC722" w14:textId="77777777" w:rsidR="00883F3F" w:rsidRPr="00883F3F" w:rsidRDefault="00883F3F" w:rsidP="00883F3F">
      <w:pPr>
        <w:pStyle w:val="Tekst"/>
      </w:pPr>
      <w:r w:rsidRPr="00883F3F">
        <w:t>„(2) Taotluse menetlemise tähtaeg on 30 tööpäeva.“;</w:t>
      </w:r>
    </w:p>
    <w:p w14:paraId="22474A01" w14:textId="77777777" w:rsidR="00883F3F" w:rsidRPr="00883F3F" w:rsidRDefault="00883F3F" w:rsidP="00883F3F">
      <w:pPr>
        <w:pStyle w:val="Tekst"/>
      </w:pPr>
    </w:p>
    <w:p w14:paraId="23EEDC5C" w14:textId="7C434407" w:rsidR="00883F3F" w:rsidRPr="00883F3F" w:rsidRDefault="00052F78" w:rsidP="00883F3F">
      <w:pPr>
        <w:pStyle w:val="Tekst"/>
      </w:pPr>
      <w:r>
        <w:rPr>
          <w:b/>
          <w:bCs/>
        </w:rPr>
        <w:t>20</w:t>
      </w:r>
      <w:r w:rsidR="00883F3F" w:rsidRPr="00883F3F">
        <w:rPr>
          <w:b/>
          <w:bCs/>
        </w:rPr>
        <w:t>)</w:t>
      </w:r>
      <w:r w:rsidR="00883F3F" w:rsidRPr="00883F3F">
        <w:t xml:space="preserve"> paragrahvi 26 punkt 12 sõnastatakse järgmiselt:</w:t>
      </w:r>
    </w:p>
    <w:p w14:paraId="1D8880A7" w14:textId="77777777" w:rsidR="00883F3F" w:rsidRPr="00883F3F" w:rsidRDefault="00883F3F" w:rsidP="00883F3F">
      <w:pPr>
        <w:pStyle w:val="Tekst"/>
      </w:pPr>
    </w:p>
    <w:p w14:paraId="18BC483C" w14:textId="77777777" w:rsidR="00883F3F" w:rsidRPr="00883F3F" w:rsidRDefault="00883F3F" w:rsidP="00883F3F">
      <w:pPr>
        <w:pStyle w:val="Tekst"/>
      </w:pPr>
      <w:r w:rsidRPr="00883F3F">
        <w:t>„12) kooskõlastama vahendusasutusega toetuse eest loodud ja omandatud vara suhtes olevate õiguste üleandmise korral üleandmise tingimused ning edasise vastutuse vara sihtotstarbelise kasutuse eest, kui üleandmine toimub väikese ja keskmise suurusega ettevõtjast lõppsaaja korral kolme ja suurettevõtjast lõppsaaja korral viie aasta jooksul pärast projekti abikõlblikkuse perioodi lõppemist;“;</w:t>
      </w:r>
    </w:p>
    <w:p w14:paraId="0A2BD6CE" w14:textId="77777777" w:rsidR="00883F3F" w:rsidRPr="00883F3F" w:rsidRDefault="00883F3F" w:rsidP="00883F3F">
      <w:pPr>
        <w:pStyle w:val="Tekst"/>
      </w:pPr>
    </w:p>
    <w:p w14:paraId="4EDC485E" w14:textId="10163C1D" w:rsidR="00883F3F" w:rsidRPr="00883F3F" w:rsidRDefault="00541C7F" w:rsidP="00883F3F">
      <w:pPr>
        <w:pStyle w:val="Tekst"/>
      </w:pPr>
      <w:r>
        <w:rPr>
          <w:b/>
          <w:bCs/>
        </w:rPr>
        <w:t>2</w:t>
      </w:r>
      <w:r w:rsidR="00052F78">
        <w:rPr>
          <w:b/>
          <w:bCs/>
        </w:rPr>
        <w:t>1</w:t>
      </w:r>
      <w:r w:rsidR="00883F3F" w:rsidRPr="00883F3F">
        <w:rPr>
          <w:b/>
          <w:bCs/>
        </w:rPr>
        <w:t>)</w:t>
      </w:r>
      <w:r w:rsidR="00883F3F" w:rsidRPr="00883F3F">
        <w:t xml:space="preserve"> paragrahvi 26 punkt 17 sõnastatakse järgmiselt: </w:t>
      </w:r>
    </w:p>
    <w:p w14:paraId="73D12C71" w14:textId="77777777" w:rsidR="00883F3F" w:rsidRPr="00883F3F" w:rsidRDefault="00883F3F" w:rsidP="00883F3F">
      <w:pPr>
        <w:pStyle w:val="Tekst"/>
      </w:pPr>
    </w:p>
    <w:p w14:paraId="3AA2D347" w14:textId="5CB45B01" w:rsidR="00883F3F" w:rsidRPr="00883F3F" w:rsidRDefault="00883F3F" w:rsidP="00883F3F">
      <w:pPr>
        <w:pStyle w:val="Tekst"/>
      </w:pPr>
      <w:r w:rsidRPr="00883F3F">
        <w:t>„17) kui lõppsaaja ei ole hankija riigihangete seaduse tähenduses ja teenuse või asja eeldatav maksumus on käibemaksuta võrdne 20 000 euroga või sellest suurem, esitama vähemalt kaks võrreldavat hinnapakkumist üksteisest sõltumatu</w:t>
      </w:r>
      <w:r w:rsidR="00FC0B16">
        <w:t>te</w:t>
      </w:r>
      <w:r w:rsidRPr="00883F3F">
        <w:t>lt pakkuja</w:t>
      </w:r>
      <w:r w:rsidR="00FC0B16">
        <w:t>te</w:t>
      </w:r>
      <w:r w:rsidRPr="00883F3F">
        <w:t>lt;“;</w:t>
      </w:r>
    </w:p>
    <w:p w14:paraId="139017BF" w14:textId="77777777" w:rsidR="00883F3F" w:rsidRPr="00883F3F" w:rsidRDefault="00883F3F" w:rsidP="00883F3F">
      <w:pPr>
        <w:pStyle w:val="Tekst"/>
      </w:pPr>
    </w:p>
    <w:p w14:paraId="19EBC2C5" w14:textId="7EE07FF9" w:rsidR="00883F3F" w:rsidRPr="00883F3F" w:rsidRDefault="006615BD" w:rsidP="00883F3F">
      <w:pPr>
        <w:pStyle w:val="Tekst"/>
      </w:pPr>
      <w:r>
        <w:rPr>
          <w:b/>
          <w:bCs/>
        </w:rPr>
        <w:t>2</w:t>
      </w:r>
      <w:r w:rsidR="00052F78">
        <w:rPr>
          <w:b/>
          <w:bCs/>
        </w:rPr>
        <w:t>2</w:t>
      </w:r>
      <w:r w:rsidR="00883F3F" w:rsidRPr="00883F3F">
        <w:rPr>
          <w:b/>
          <w:bCs/>
        </w:rPr>
        <w:t>)</w:t>
      </w:r>
      <w:r w:rsidR="00883F3F" w:rsidRPr="00883F3F">
        <w:t xml:space="preserve"> paragrahvi 26 täiendatakse punktiga 18 järgmises sõnastuses:</w:t>
      </w:r>
    </w:p>
    <w:p w14:paraId="049BC4E1" w14:textId="77777777" w:rsidR="00883F3F" w:rsidRPr="00883F3F" w:rsidRDefault="00883F3F" w:rsidP="00883F3F">
      <w:pPr>
        <w:pStyle w:val="Tekst"/>
      </w:pPr>
    </w:p>
    <w:p w14:paraId="3D169E9E" w14:textId="06828C4C" w:rsidR="00262C94" w:rsidRDefault="00883F3F" w:rsidP="00883F3F">
      <w:pPr>
        <w:pStyle w:val="Tekst"/>
      </w:pPr>
      <w:r w:rsidRPr="00883F3F">
        <w:t xml:space="preserve">„18) ostumenetluse läbiviimisel hoiduma huvide konfliktist, kus </w:t>
      </w:r>
      <w:r w:rsidR="00DC36F0">
        <w:t>lõpp</w:t>
      </w:r>
      <w:r w:rsidRPr="00883F3F">
        <w:t>saajal või tema nimel tegutseval isikul, kes on kaasatud ostumenetluse ettevalmistamisse või korraldamisse või kes võib muul moel mõjutada selle ostumenetluse tulemust, on finantsalaseid, majanduslikke või muid isiklikke huvisid, mida võib käsitada tema erapooletust ja sõltumatust kahjustavatena.“</w:t>
      </w:r>
      <w:r w:rsidR="00262C94">
        <w:t>;</w:t>
      </w:r>
    </w:p>
    <w:p w14:paraId="41FC0397" w14:textId="77777777" w:rsidR="00262C94" w:rsidRDefault="00262C94" w:rsidP="00883F3F">
      <w:pPr>
        <w:pStyle w:val="Tekst"/>
      </w:pPr>
    </w:p>
    <w:p w14:paraId="4B16E9A8" w14:textId="77777777" w:rsidR="00262C94" w:rsidRDefault="00262C94" w:rsidP="00883F3F">
      <w:pPr>
        <w:pStyle w:val="Tekst"/>
      </w:pPr>
      <w:r w:rsidRPr="00066620">
        <w:rPr>
          <w:b/>
          <w:bCs/>
        </w:rPr>
        <w:t>23)</w:t>
      </w:r>
      <w:r>
        <w:t xml:space="preserve"> paragrahvi 28 täiendatakse lõikega 3 järgmises sõnastuses:</w:t>
      </w:r>
    </w:p>
    <w:p w14:paraId="543F666C" w14:textId="77777777" w:rsidR="00262C94" w:rsidRDefault="00262C94" w:rsidP="00883F3F">
      <w:pPr>
        <w:pStyle w:val="Tekst"/>
      </w:pPr>
    </w:p>
    <w:p w14:paraId="66DC9FE3" w14:textId="30CA5210" w:rsidR="00883F3F" w:rsidRPr="00883F3F" w:rsidRDefault="00262C94" w:rsidP="00883F3F">
      <w:pPr>
        <w:pStyle w:val="Tekst"/>
      </w:pPr>
      <w:r>
        <w:t>„(3)</w:t>
      </w:r>
      <w:r w:rsidR="000A5CB0">
        <w:t xml:space="preserve"> Paragrahvi 26 lõiget 18 </w:t>
      </w:r>
      <w:r w:rsidR="00851081">
        <w:t xml:space="preserve">ei </w:t>
      </w:r>
      <w:r w:rsidR="000A5CB0">
        <w:t>rakendata</w:t>
      </w:r>
      <w:r w:rsidR="00851081">
        <w:t xml:space="preserve"> </w:t>
      </w:r>
      <w:r w:rsidR="000A5CB0">
        <w:t>projektidele, mille elluviimiseks esitati taotlus</w:t>
      </w:r>
      <w:r w:rsidR="00851081">
        <w:t xml:space="preserve"> enne</w:t>
      </w:r>
      <w:r w:rsidR="000A5CB0">
        <w:t xml:space="preserve"> nimetatud lõike jõustumist.“.</w:t>
      </w:r>
    </w:p>
    <w:p w14:paraId="07AD5CDD" w14:textId="3E0B94CC" w:rsidR="004211BF" w:rsidRDefault="004211BF" w:rsidP="004211BF">
      <w:pPr>
        <w:pStyle w:val="allikirjastajanimi"/>
        <w:tabs>
          <w:tab w:val="left" w:pos="5387"/>
        </w:tabs>
        <w:spacing w:before="960"/>
      </w:pPr>
      <w:r>
        <w:t>(allkirjastatud digitaalselt)</w:t>
      </w:r>
      <w:r w:rsidR="00E51B27" w:rsidRPr="00E51B27">
        <w:t xml:space="preserve"> </w:t>
      </w:r>
    </w:p>
    <w:p w14:paraId="20D045A1" w14:textId="6F96A882" w:rsidR="004211BF" w:rsidRDefault="004211BF" w:rsidP="004211BF">
      <w:pPr>
        <w:tabs>
          <w:tab w:val="left" w:pos="5387"/>
        </w:tabs>
        <w:spacing w:line="240" w:lineRule="auto"/>
        <w:jc w:val="left"/>
        <w:rPr>
          <w:lang w:eastAsia="en-US" w:bidi="ar-SA"/>
        </w:rPr>
      </w:pPr>
      <w:r>
        <w:rPr>
          <w:lang w:eastAsia="en-US" w:bidi="ar-SA"/>
        </w:rPr>
        <w:fldChar w:fldCharType="begin"/>
      </w:r>
      <w:r w:rsidR="00ED126A">
        <w:rPr>
          <w:lang w:eastAsia="en-US" w:bidi="ar-SA"/>
        </w:rPr>
        <w:instrText xml:space="preserve"> delta_signerName  \* MERGEFORMAT</w:instrText>
      </w:r>
      <w:r>
        <w:rPr>
          <w:lang w:eastAsia="en-US" w:bidi="ar-SA"/>
        </w:rPr>
        <w:fldChar w:fldCharType="separate"/>
      </w:r>
      <w:r w:rsidR="00ED126A">
        <w:rPr>
          <w:lang w:eastAsia="en-US" w:bidi="ar-SA"/>
        </w:rPr>
        <w:t>Erkki Keldo</w:t>
      </w:r>
      <w:r>
        <w:rPr>
          <w:lang w:eastAsia="en-US" w:bidi="ar-SA"/>
        </w:rPr>
        <w:fldChar w:fldCharType="end"/>
      </w:r>
    </w:p>
    <w:p w14:paraId="1413655C" w14:textId="748FA689" w:rsidR="003F35DE" w:rsidRDefault="003F35DE" w:rsidP="004211BF">
      <w:pPr>
        <w:tabs>
          <w:tab w:val="left" w:pos="5387"/>
        </w:tabs>
        <w:spacing w:line="240" w:lineRule="auto"/>
        <w:jc w:val="left"/>
        <w:rPr>
          <w:lang w:eastAsia="en-US" w:bidi="ar-SA"/>
        </w:rPr>
      </w:pPr>
      <w:r>
        <w:rPr>
          <w:lang w:eastAsia="en-US" w:bidi="ar-SA"/>
        </w:rPr>
        <w:fldChar w:fldCharType="begin"/>
      </w:r>
      <w:r w:rsidR="00ED126A">
        <w:rPr>
          <w:lang w:eastAsia="en-US" w:bidi="ar-SA"/>
        </w:rPr>
        <w:instrText xml:space="preserve"> delta_signerJobTitle  \* MERGEFORMAT</w:instrText>
      </w:r>
      <w:r>
        <w:rPr>
          <w:lang w:eastAsia="en-US" w:bidi="ar-SA"/>
        </w:rPr>
        <w:fldChar w:fldCharType="separate"/>
      </w:r>
      <w:r w:rsidR="00ED126A">
        <w:rPr>
          <w:lang w:eastAsia="en-US" w:bidi="ar-SA"/>
        </w:rPr>
        <w:t>majandus- ja tööstusminister</w:t>
      </w:r>
      <w:r>
        <w:rPr>
          <w:lang w:eastAsia="en-US" w:bidi="ar-SA"/>
        </w:rPr>
        <w:fldChar w:fldCharType="end"/>
      </w:r>
    </w:p>
    <w:p w14:paraId="2597C04C" w14:textId="77777777" w:rsidR="003F35DE" w:rsidRDefault="003F35DE" w:rsidP="004211BF">
      <w:pPr>
        <w:tabs>
          <w:tab w:val="left" w:pos="5387"/>
        </w:tabs>
        <w:spacing w:line="240" w:lineRule="auto"/>
        <w:jc w:val="left"/>
        <w:rPr>
          <w:lang w:eastAsia="en-US" w:bidi="ar-SA"/>
        </w:rPr>
      </w:pPr>
    </w:p>
    <w:p w14:paraId="1AC0D168" w14:textId="37407836" w:rsidR="003F35DE" w:rsidRDefault="003F35DE" w:rsidP="003F35DE">
      <w:pPr>
        <w:spacing w:line="240" w:lineRule="auto"/>
        <w:jc w:val="left"/>
        <w:rPr>
          <w:kern w:val="2"/>
          <w:lang w:eastAsia="en-US" w:bidi="ar-SA"/>
        </w:rPr>
      </w:pPr>
    </w:p>
    <w:p w14:paraId="722E338F" w14:textId="77777777" w:rsidR="003F35DE" w:rsidRDefault="003F35DE" w:rsidP="003F35DE">
      <w:pPr>
        <w:spacing w:line="240" w:lineRule="auto"/>
        <w:jc w:val="left"/>
        <w:rPr>
          <w:lang w:eastAsia="en-US" w:bidi="ar-SA"/>
        </w:rPr>
      </w:pPr>
      <w:r>
        <w:rPr>
          <w:lang w:eastAsia="en-US" w:bidi="ar-SA"/>
        </w:rPr>
        <w:t>(allkirjastatud digitaalselt)</w:t>
      </w:r>
    </w:p>
    <w:p w14:paraId="717CD84D" w14:textId="27C44853" w:rsidR="003F35DE" w:rsidRDefault="003F35DE" w:rsidP="003F35DE">
      <w:pPr>
        <w:spacing w:after="360" w:line="240" w:lineRule="auto"/>
        <w:jc w:val="left"/>
        <w:rPr>
          <w:lang w:eastAsia="en-US" w:bidi="ar-SA"/>
        </w:rPr>
      </w:pPr>
      <w:r>
        <w:rPr>
          <w:lang w:eastAsia="en-US" w:bidi="ar-SA"/>
        </w:rPr>
        <w:fldChar w:fldCharType="begin"/>
      </w:r>
      <w:r w:rsidR="00ED126A">
        <w:rPr>
          <w:lang w:eastAsia="en-US" w:bidi="ar-SA"/>
        </w:rPr>
        <w:instrText xml:space="preserve"> delta_secondsignerName  \* MERGEFORMAT</w:instrText>
      </w:r>
      <w:r>
        <w:rPr>
          <w:lang w:eastAsia="en-US" w:bidi="ar-SA"/>
        </w:rPr>
        <w:fldChar w:fldCharType="separate"/>
      </w:r>
      <w:r w:rsidR="00ED126A">
        <w:rPr>
          <w:lang w:eastAsia="en-US" w:bidi="ar-SA"/>
        </w:rPr>
        <w:t>Ahti Kuningas</w:t>
      </w:r>
      <w:r>
        <w:rPr>
          <w:lang w:eastAsia="en-US" w:bidi="ar-SA"/>
        </w:rPr>
        <w:fldChar w:fldCharType="end"/>
      </w:r>
      <w:r>
        <w:rPr>
          <w:lang w:eastAsia="en-US" w:bidi="ar-SA"/>
        </w:rPr>
        <w:br/>
      </w:r>
      <w:r>
        <w:rPr>
          <w:lang w:eastAsia="en-US" w:bidi="ar-SA"/>
        </w:rPr>
        <w:fldChar w:fldCharType="begin"/>
      </w:r>
      <w:r w:rsidR="00ED126A">
        <w:rPr>
          <w:lang w:eastAsia="en-US" w:bidi="ar-SA"/>
        </w:rPr>
        <w:instrText xml:space="preserve"> delta_secondsignerJobTitle  \* MERGEFORMAT</w:instrText>
      </w:r>
      <w:r>
        <w:rPr>
          <w:lang w:eastAsia="en-US" w:bidi="ar-SA"/>
        </w:rPr>
        <w:fldChar w:fldCharType="separate"/>
      </w:r>
      <w:r w:rsidR="00ED126A">
        <w:rPr>
          <w:lang w:eastAsia="en-US" w:bidi="ar-SA"/>
        </w:rPr>
        <w:t>kantsler</w:t>
      </w:r>
      <w:r>
        <w:rPr>
          <w:lang w:eastAsia="en-US" w:bidi="ar-SA"/>
        </w:rPr>
        <w:fldChar w:fldCharType="end"/>
      </w:r>
    </w:p>
    <w:p w14:paraId="754C707F" w14:textId="5D82FCC7" w:rsidR="004211BF" w:rsidRDefault="004211BF" w:rsidP="004211BF">
      <w:pPr>
        <w:tabs>
          <w:tab w:val="left" w:pos="5387"/>
        </w:tabs>
        <w:spacing w:line="240" w:lineRule="auto"/>
        <w:jc w:val="left"/>
        <w:rPr>
          <w:lang w:eastAsia="en-US" w:bidi="ar-SA"/>
        </w:rPr>
      </w:pPr>
    </w:p>
    <w:p w14:paraId="5B9EB380" w14:textId="41A300BC" w:rsidR="00D3183A" w:rsidRDefault="00D3183A" w:rsidP="00317F3A">
      <w:pPr>
        <w:jc w:val="left"/>
      </w:pPr>
    </w:p>
    <w:sectPr w:rsidR="00D3183A"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785"/>
    <w:multiLevelType w:val="hybridMultilevel"/>
    <w:tmpl w:val="EA72C60E"/>
    <w:lvl w:ilvl="0" w:tplc="BD3091FC">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0B1401"/>
    <w:multiLevelType w:val="hybridMultilevel"/>
    <w:tmpl w:val="3760B0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87863054">
    <w:abstractNumId w:val="1"/>
  </w:num>
  <w:num w:numId="2" w16cid:durableId="96674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A"/>
    <w:rsid w:val="00052F78"/>
    <w:rsid w:val="00066620"/>
    <w:rsid w:val="000A5CB0"/>
    <w:rsid w:val="000A6405"/>
    <w:rsid w:val="000B0473"/>
    <w:rsid w:val="000C7792"/>
    <w:rsid w:val="000D1543"/>
    <w:rsid w:val="000E2DEA"/>
    <w:rsid w:val="000F604D"/>
    <w:rsid w:val="00100E5F"/>
    <w:rsid w:val="00111146"/>
    <w:rsid w:val="00145488"/>
    <w:rsid w:val="00181E4A"/>
    <w:rsid w:val="0018748D"/>
    <w:rsid w:val="00194A32"/>
    <w:rsid w:val="001E372B"/>
    <w:rsid w:val="001F5A44"/>
    <w:rsid w:val="0020315F"/>
    <w:rsid w:val="0020653E"/>
    <w:rsid w:val="00262C94"/>
    <w:rsid w:val="00270808"/>
    <w:rsid w:val="00281A15"/>
    <w:rsid w:val="0029105C"/>
    <w:rsid w:val="002C5DA5"/>
    <w:rsid w:val="002E1578"/>
    <w:rsid w:val="002F0863"/>
    <w:rsid w:val="00317F3A"/>
    <w:rsid w:val="003621EB"/>
    <w:rsid w:val="00382322"/>
    <w:rsid w:val="00385A1B"/>
    <w:rsid w:val="003F35DE"/>
    <w:rsid w:val="004102F3"/>
    <w:rsid w:val="00420248"/>
    <w:rsid w:val="004211BF"/>
    <w:rsid w:val="00423C08"/>
    <w:rsid w:val="00436679"/>
    <w:rsid w:val="004427F9"/>
    <w:rsid w:val="004612D7"/>
    <w:rsid w:val="004A5732"/>
    <w:rsid w:val="00504768"/>
    <w:rsid w:val="0052326B"/>
    <w:rsid w:val="00541C7F"/>
    <w:rsid w:val="00555E4B"/>
    <w:rsid w:val="005734D7"/>
    <w:rsid w:val="005914A4"/>
    <w:rsid w:val="005B05D3"/>
    <w:rsid w:val="005D4B9E"/>
    <w:rsid w:val="00610E9F"/>
    <w:rsid w:val="00617712"/>
    <w:rsid w:val="00645905"/>
    <w:rsid w:val="006615BD"/>
    <w:rsid w:val="0067574E"/>
    <w:rsid w:val="006850C3"/>
    <w:rsid w:val="0069700D"/>
    <w:rsid w:val="006D0EEE"/>
    <w:rsid w:val="006E0869"/>
    <w:rsid w:val="006E7383"/>
    <w:rsid w:val="0070041E"/>
    <w:rsid w:val="00705338"/>
    <w:rsid w:val="007078C5"/>
    <w:rsid w:val="00715869"/>
    <w:rsid w:val="00715B80"/>
    <w:rsid w:val="00735EB2"/>
    <w:rsid w:val="00744264"/>
    <w:rsid w:val="00745C32"/>
    <w:rsid w:val="00752A71"/>
    <w:rsid w:val="00795CBF"/>
    <w:rsid w:val="007B45FC"/>
    <w:rsid w:val="007B6CF7"/>
    <w:rsid w:val="007D62CA"/>
    <w:rsid w:val="007F5B46"/>
    <w:rsid w:val="00804406"/>
    <w:rsid w:val="00821714"/>
    <w:rsid w:val="008318C6"/>
    <w:rsid w:val="00851081"/>
    <w:rsid w:val="00852488"/>
    <w:rsid w:val="00883F3F"/>
    <w:rsid w:val="00897E6C"/>
    <w:rsid w:val="008C63A5"/>
    <w:rsid w:val="008E18ED"/>
    <w:rsid w:val="008F37F7"/>
    <w:rsid w:val="00965CE6"/>
    <w:rsid w:val="009B6CA1"/>
    <w:rsid w:val="00A02530"/>
    <w:rsid w:val="00A6052B"/>
    <w:rsid w:val="00A60CED"/>
    <w:rsid w:val="00A77566"/>
    <w:rsid w:val="00A97192"/>
    <w:rsid w:val="00AD338E"/>
    <w:rsid w:val="00B133B9"/>
    <w:rsid w:val="00B43FB6"/>
    <w:rsid w:val="00B47B81"/>
    <w:rsid w:val="00B64D9B"/>
    <w:rsid w:val="00B67ABF"/>
    <w:rsid w:val="00B865CB"/>
    <w:rsid w:val="00B90355"/>
    <w:rsid w:val="00B9748F"/>
    <w:rsid w:val="00BA7143"/>
    <w:rsid w:val="00BF6022"/>
    <w:rsid w:val="00C3679C"/>
    <w:rsid w:val="00C645B0"/>
    <w:rsid w:val="00C65FAB"/>
    <w:rsid w:val="00C7254E"/>
    <w:rsid w:val="00CA0401"/>
    <w:rsid w:val="00CA0D94"/>
    <w:rsid w:val="00CC0694"/>
    <w:rsid w:val="00CD301F"/>
    <w:rsid w:val="00D01114"/>
    <w:rsid w:val="00D122EB"/>
    <w:rsid w:val="00D3183A"/>
    <w:rsid w:val="00D86308"/>
    <w:rsid w:val="00DC36F0"/>
    <w:rsid w:val="00DD602A"/>
    <w:rsid w:val="00E330B3"/>
    <w:rsid w:val="00E37BBF"/>
    <w:rsid w:val="00E41702"/>
    <w:rsid w:val="00E51B27"/>
    <w:rsid w:val="00EC2DBF"/>
    <w:rsid w:val="00ED126A"/>
    <w:rsid w:val="00EE231E"/>
    <w:rsid w:val="00EE78A8"/>
    <w:rsid w:val="00EF2180"/>
    <w:rsid w:val="00F0661A"/>
    <w:rsid w:val="00F31E1F"/>
    <w:rsid w:val="00F41645"/>
    <w:rsid w:val="00F4566A"/>
    <w:rsid w:val="00F467B8"/>
    <w:rsid w:val="00F92B34"/>
    <w:rsid w:val="00FC0B16"/>
    <w:rsid w:val="00FC7513"/>
    <w:rsid w:val="00FF4B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4768DD75-C0E7-4701-9CB2-AF44070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194A32"/>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styleId="Kohatitetekst">
    <w:name w:val="Placeholder Text"/>
    <w:basedOn w:val="Liguvaikefont"/>
    <w:uiPriority w:val="99"/>
    <w:semiHidden/>
    <w:rsid w:val="004211BF"/>
    <w:rPr>
      <w:color w:val="808080"/>
    </w:rPr>
  </w:style>
  <w:style w:type="paragraph" w:styleId="Redaktsioon">
    <w:name w:val="Revision"/>
    <w:hidden/>
    <w:uiPriority w:val="99"/>
    <w:semiHidden/>
    <w:rsid w:val="00FC7513"/>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6582</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Merle Järve</cp:lastModifiedBy>
  <cp:revision>2</cp:revision>
  <cp:lastPrinted>2025-01-28T11:51:00Z</cp:lastPrinted>
  <dcterms:created xsi:type="dcterms:W3CDTF">2025-02-04T09:48:00Z</dcterms:created>
  <dcterms:modified xsi:type="dcterms:W3CDTF">2025-02-04T09:48:00Z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ga_secondsignerJobTitle">
    <vt:lpwstr>{teise allkirjastaja ametikoht}</vt:lpwstr>
  </property>
  <property fmtid="{D5CDD505-2E9C-101B-9397-08002B2CF9AE}" pid="7" name="delta_secondsignerName">
    <vt:lpwstr>{teine allkirjastaja}</vt:lpwstr>
  </property>
  <property fmtid="{D5CDD505-2E9C-101B-9397-08002B2CF9AE}" pid="8" name="delta_signerJobTitle">
    <vt:lpwstr>{ametikoht}</vt:lpwstr>
  </property>
  <property fmtid="{D5CDD505-2E9C-101B-9397-08002B2CF9AE}" pid="9" name="delta_secondsignerJobTitle">
    <vt:lpwstr>{teise allkirjastaja ametikoht}</vt:lpwstr>
  </property>
  <property fmtid="{D5CDD505-2E9C-101B-9397-08002B2CF9AE}" pid="10" name="MSIP_Label_defa4170-0d19-0005-0004-bc88714345d2_Enabled">
    <vt:lpwstr>true</vt:lpwstr>
  </property>
  <property fmtid="{D5CDD505-2E9C-101B-9397-08002B2CF9AE}" pid="11" name="MSIP_Label_defa4170-0d19-0005-0004-bc88714345d2_SetDate">
    <vt:lpwstr>2025-01-09T15:11:59Z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cb1bf621-b67c-459c-a237-4803f141b0f9</vt:lpwstr>
  </property>
  <property fmtid="{D5CDD505-2E9C-101B-9397-08002B2CF9AE}" pid="16" name="MSIP_Label_defa4170-0d19-0005-0004-bc88714345d2_ContentBits">
    <vt:lpwstr>0</vt:lpwstr>
  </property>
</Properties>
</file>