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2" w:type="dxa"/>
        <w:tblInd w:w="-10" w:type="dxa"/>
        <w:tblLayout w:type="fixed"/>
        <w:tblCellMar>
          <w:left w:w="10" w:type="dxa"/>
          <w:right w:w="10" w:type="dxa"/>
        </w:tblCellMar>
        <w:tblLook w:val="04A0" w:firstRow="1" w:lastRow="0" w:firstColumn="1" w:lastColumn="0" w:noHBand="0" w:noVBand="1"/>
      </w:tblPr>
      <w:tblGrid>
        <w:gridCol w:w="4688"/>
        <w:gridCol w:w="709"/>
        <w:gridCol w:w="3685"/>
      </w:tblGrid>
      <w:tr w:rsidR="00E71CA5" w:rsidRPr="000C2A33" w14:paraId="138D24F8" w14:textId="77777777" w:rsidTr="00D6445D">
        <w:trPr>
          <w:trHeight w:hRule="exact" w:val="1843"/>
        </w:trPr>
        <w:tc>
          <w:tcPr>
            <w:tcW w:w="5397" w:type="dxa"/>
            <w:gridSpan w:val="2"/>
            <w:tcMar>
              <w:top w:w="0" w:type="dxa"/>
              <w:left w:w="0" w:type="dxa"/>
              <w:bottom w:w="0" w:type="dxa"/>
              <w:right w:w="0" w:type="dxa"/>
            </w:tcMar>
          </w:tcPr>
          <w:p w14:paraId="482D05D6" w14:textId="77777777" w:rsidR="00E71CA5" w:rsidRPr="00D121A5" w:rsidRDefault="00E71CA5" w:rsidP="00D121A5">
            <w:pPr>
              <w:tabs>
                <w:tab w:val="left" w:pos="937"/>
              </w:tabs>
            </w:pPr>
          </w:p>
        </w:tc>
        <w:tc>
          <w:tcPr>
            <w:tcW w:w="3685" w:type="dxa"/>
            <w:tcMar>
              <w:top w:w="0" w:type="dxa"/>
              <w:left w:w="0" w:type="dxa"/>
              <w:bottom w:w="0" w:type="dxa"/>
              <w:right w:w="0" w:type="dxa"/>
            </w:tcMar>
          </w:tcPr>
          <w:p w14:paraId="1DEC7690" w14:textId="546A955B" w:rsidR="00E71CA5" w:rsidRPr="000C2A33" w:rsidRDefault="00E71CA5" w:rsidP="00871FE6">
            <w:pPr>
              <w:spacing w:line="240" w:lineRule="exact"/>
              <w:ind w:firstLine="567"/>
              <w:rPr>
                <w:rFonts w:ascii="Arial" w:hAnsi="Arial" w:cs="Arial"/>
                <w:sz w:val="14"/>
              </w:rPr>
            </w:pPr>
          </w:p>
        </w:tc>
      </w:tr>
      <w:tr w:rsidR="00E71CA5" w:rsidRPr="00800A1A" w14:paraId="5EF3D86D" w14:textId="77777777" w:rsidTr="00D6445D">
        <w:trPr>
          <w:trHeight w:val="1832"/>
        </w:trPr>
        <w:tc>
          <w:tcPr>
            <w:tcW w:w="5397" w:type="dxa"/>
            <w:gridSpan w:val="2"/>
            <w:tcMar>
              <w:top w:w="0" w:type="dxa"/>
              <w:left w:w="0" w:type="dxa"/>
              <w:bottom w:w="0" w:type="dxa"/>
              <w:right w:w="0" w:type="dxa"/>
            </w:tcMar>
          </w:tcPr>
          <w:p w14:paraId="299DA930" w14:textId="77777777" w:rsidR="00093FF8" w:rsidRDefault="00093FF8" w:rsidP="003A6B07">
            <w:r w:rsidRPr="00093FF8">
              <w:t>Majandus- ja Kommunikatsiooniministeerium</w:t>
            </w:r>
          </w:p>
          <w:p w14:paraId="0E3B1660" w14:textId="1DB5F138" w:rsidR="003A6B07" w:rsidRPr="00684955" w:rsidRDefault="00093FF8" w:rsidP="003A6B07">
            <w:r>
              <w:t>info@mkm.ee</w:t>
            </w:r>
            <w:r w:rsidRPr="00093FF8">
              <w:tab/>
            </w:r>
          </w:p>
          <w:p w14:paraId="261B2D8E" w14:textId="571D99AF" w:rsidR="00C0204F" w:rsidRPr="00684955" w:rsidRDefault="00C0204F" w:rsidP="000C2A33"/>
        </w:tc>
        <w:tc>
          <w:tcPr>
            <w:tcW w:w="3685" w:type="dxa"/>
            <w:tcMar>
              <w:top w:w="0" w:type="dxa"/>
              <w:left w:w="0" w:type="dxa"/>
              <w:bottom w:w="0" w:type="dxa"/>
              <w:right w:w="0" w:type="dxa"/>
            </w:tcMar>
          </w:tcPr>
          <w:p w14:paraId="7BAF690A" w14:textId="297A106E" w:rsidR="002C23D3" w:rsidRPr="00880BB8" w:rsidRDefault="002C23D3" w:rsidP="00871FE6">
            <w:pPr>
              <w:ind w:firstLine="567"/>
              <w:rPr>
                <w:rFonts w:ascii="Roboto" w:hAnsi="Roboto"/>
              </w:rPr>
            </w:pPr>
            <w:r w:rsidRPr="00880BB8">
              <w:rPr>
                <w:rFonts w:ascii="Roboto" w:hAnsi="Roboto"/>
              </w:rPr>
              <w:t>Teie:</w:t>
            </w:r>
            <w:r w:rsidR="00093FF8">
              <w:rPr>
                <w:rFonts w:ascii="Roboto" w:hAnsi="Roboto"/>
              </w:rPr>
              <w:t xml:space="preserve"> 15.05.2026 nr </w:t>
            </w:r>
            <w:r w:rsidR="00093FF8" w:rsidRPr="00093FF8">
              <w:rPr>
                <w:rFonts w:ascii="Roboto" w:hAnsi="Roboto"/>
              </w:rPr>
              <w:t>2-2/1378-1</w:t>
            </w:r>
          </w:p>
          <w:p w14:paraId="135D9747" w14:textId="77777777" w:rsidR="002C23D3" w:rsidRPr="00880BB8" w:rsidRDefault="002C23D3" w:rsidP="00871FE6">
            <w:pPr>
              <w:ind w:firstLine="567"/>
              <w:rPr>
                <w:rFonts w:ascii="Roboto" w:hAnsi="Roboto"/>
              </w:rPr>
            </w:pPr>
          </w:p>
          <w:p w14:paraId="08812EFA" w14:textId="3E1E4051" w:rsidR="00D6445D" w:rsidRPr="00800A1A" w:rsidRDefault="002C23D3" w:rsidP="00871FE6">
            <w:pPr>
              <w:ind w:firstLine="567"/>
            </w:pPr>
            <w:r w:rsidRPr="00880BB8">
              <w:rPr>
                <w:rFonts w:ascii="Roboto" w:hAnsi="Roboto"/>
              </w:rPr>
              <w:t>Meie:</w:t>
            </w:r>
            <w:r w:rsidR="00C77495" w:rsidRPr="00880BB8">
              <w:rPr>
                <w:rFonts w:ascii="Roboto" w:hAnsi="Roboto"/>
              </w:rPr>
              <w:t xml:space="preserve"> </w:t>
            </w:r>
            <w:r w:rsidR="00093FF8">
              <w:rPr>
                <w:rFonts w:ascii="Roboto" w:hAnsi="Roboto"/>
              </w:rPr>
              <w:t xml:space="preserve">06.05.2026 nr </w:t>
            </w:r>
            <w:r w:rsidR="00093FF8" w:rsidRPr="00093FF8">
              <w:rPr>
                <w:rFonts w:ascii="Roboto" w:hAnsi="Roboto"/>
              </w:rPr>
              <w:t>1.1-7/694</w:t>
            </w:r>
            <w:r w:rsidR="00093FF8">
              <w:rPr>
                <w:rFonts w:ascii="Roboto" w:hAnsi="Roboto"/>
              </w:rPr>
              <w:t>-1</w:t>
            </w:r>
          </w:p>
        </w:tc>
      </w:tr>
      <w:tr w:rsidR="00800A1A" w:rsidRPr="00496988" w14:paraId="5C34AB00" w14:textId="77777777" w:rsidTr="00D6445D">
        <w:trPr>
          <w:cantSplit/>
        </w:trPr>
        <w:tc>
          <w:tcPr>
            <w:tcW w:w="4688" w:type="dxa"/>
            <w:tcMar>
              <w:top w:w="0" w:type="dxa"/>
              <w:left w:w="0" w:type="dxa"/>
              <w:bottom w:w="0" w:type="dxa"/>
              <w:right w:w="0" w:type="dxa"/>
            </w:tcMar>
          </w:tcPr>
          <w:p w14:paraId="17442B41" w14:textId="77777777" w:rsidR="003A6B07" w:rsidRPr="00496988" w:rsidRDefault="003A6B07" w:rsidP="00684955">
            <w:pPr>
              <w:spacing w:after="60"/>
              <w:jc w:val="left"/>
              <w:rPr>
                <w:rFonts w:ascii="Roboto" w:hAnsi="Roboto"/>
                <w:b/>
              </w:rPr>
            </w:pPr>
          </w:p>
          <w:p w14:paraId="7721F2EB" w14:textId="77777777" w:rsidR="003A6B07" w:rsidRPr="00496988" w:rsidRDefault="003A6B07" w:rsidP="00684955">
            <w:pPr>
              <w:spacing w:after="60"/>
              <w:jc w:val="left"/>
              <w:rPr>
                <w:rFonts w:ascii="Roboto" w:hAnsi="Roboto"/>
                <w:b/>
              </w:rPr>
            </w:pPr>
          </w:p>
          <w:p w14:paraId="4BC2C2DC" w14:textId="4159376D" w:rsidR="00800A1A" w:rsidRPr="00496988" w:rsidRDefault="00093FF8" w:rsidP="00684955">
            <w:pPr>
              <w:spacing w:after="60"/>
              <w:jc w:val="left"/>
              <w:rPr>
                <w:rFonts w:ascii="Roboto" w:hAnsi="Roboto"/>
                <w:b/>
              </w:rPr>
            </w:pPr>
            <w:r w:rsidRPr="00496988">
              <w:rPr>
                <w:rFonts w:ascii="Roboto" w:hAnsi="Roboto"/>
                <w:b/>
              </w:rPr>
              <w:t>Arvamuse andmine t</w:t>
            </w:r>
            <w:r w:rsidRPr="00496988">
              <w:rPr>
                <w:rFonts w:ascii="Roboto" w:hAnsi="Roboto"/>
                <w:b/>
              </w:rPr>
              <w:t>öövaidluse lahendamise seaduse muutmise seaduse eelnõu</w:t>
            </w:r>
            <w:r w:rsidRPr="00496988">
              <w:rPr>
                <w:rFonts w:ascii="Roboto" w:hAnsi="Roboto"/>
                <w:b/>
              </w:rPr>
              <w:t>le</w:t>
            </w:r>
          </w:p>
        </w:tc>
        <w:tc>
          <w:tcPr>
            <w:tcW w:w="709" w:type="dxa"/>
          </w:tcPr>
          <w:p w14:paraId="09BA5608" w14:textId="77777777" w:rsidR="00800A1A" w:rsidRPr="00496988" w:rsidRDefault="00800A1A" w:rsidP="0013281A">
            <w:pPr>
              <w:ind w:right="136"/>
              <w:jc w:val="right"/>
              <w:rPr>
                <w:rFonts w:ascii="Roboto" w:hAnsi="Roboto"/>
              </w:rPr>
            </w:pPr>
          </w:p>
        </w:tc>
        <w:tc>
          <w:tcPr>
            <w:tcW w:w="3685" w:type="dxa"/>
          </w:tcPr>
          <w:p w14:paraId="4C8317CB" w14:textId="77777777" w:rsidR="00800A1A" w:rsidRPr="00496988" w:rsidRDefault="00800A1A" w:rsidP="00C0204F">
            <w:pPr>
              <w:ind w:right="136"/>
              <w:jc w:val="left"/>
              <w:rPr>
                <w:rFonts w:ascii="Roboto" w:hAnsi="Roboto"/>
              </w:rPr>
            </w:pPr>
          </w:p>
        </w:tc>
      </w:tr>
    </w:tbl>
    <w:p w14:paraId="6B90FA2F" w14:textId="77777777" w:rsidR="00E71CA5" w:rsidRPr="00496988" w:rsidRDefault="00E71CA5" w:rsidP="00C0204F">
      <w:pPr>
        <w:rPr>
          <w:rFonts w:ascii="Roboto" w:hAnsi="Roboto"/>
        </w:rPr>
      </w:pPr>
    </w:p>
    <w:p w14:paraId="3D899CD9" w14:textId="3A94CB3F" w:rsidR="00093FF8" w:rsidRPr="00923374" w:rsidRDefault="00093FF8" w:rsidP="00093FF8">
      <w:pPr>
        <w:rPr>
          <w:rFonts w:ascii="Roboto" w:hAnsi="Roboto"/>
          <w:szCs w:val="18"/>
        </w:rPr>
      </w:pPr>
      <w:r w:rsidRPr="00923374">
        <w:rPr>
          <w:rFonts w:ascii="Roboto" w:hAnsi="Roboto"/>
          <w:szCs w:val="18"/>
        </w:rPr>
        <w:t>Täname võimaluse eest avaldada arvamust töövaidluste lahendamise seaduse (</w:t>
      </w:r>
      <w:proofErr w:type="spellStart"/>
      <w:r w:rsidRPr="00923374">
        <w:rPr>
          <w:rFonts w:ascii="Roboto" w:hAnsi="Roboto"/>
          <w:szCs w:val="18"/>
        </w:rPr>
        <w:t>TvLS</w:t>
      </w:r>
      <w:proofErr w:type="spellEnd"/>
      <w:r w:rsidRPr="00923374">
        <w:rPr>
          <w:rFonts w:ascii="Roboto" w:hAnsi="Roboto"/>
          <w:szCs w:val="18"/>
        </w:rPr>
        <w:t>) muutmise</w:t>
      </w:r>
      <w:r w:rsidRPr="00923374">
        <w:rPr>
          <w:rFonts w:ascii="Roboto" w:hAnsi="Roboto"/>
          <w:szCs w:val="18"/>
        </w:rPr>
        <w:t xml:space="preserve"> seaduse eelnõule</w:t>
      </w:r>
      <w:r w:rsidRPr="00923374">
        <w:rPr>
          <w:rFonts w:ascii="Roboto" w:hAnsi="Roboto"/>
          <w:szCs w:val="18"/>
        </w:rPr>
        <w:t xml:space="preserve">. </w:t>
      </w:r>
    </w:p>
    <w:p w14:paraId="4B9B0C9E" w14:textId="77777777" w:rsidR="00093FF8" w:rsidRPr="00923374" w:rsidRDefault="00093FF8" w:rsidP="00093FF8">
      <w:pPr>
        <w:rPr>
          <w:rFonts w:ascii="Roboto" w:hAnsi="Roboto"/>
          <w:szCs w:val="18"/>
        </w:rPr>
      </w:pPr>
    </w:p>
    <w:p w14:paraId="5ECB56CA" w14:textId="6EDDBC2D" w:rsidR="00400DC2" w:rsidRPr="00923374" w:rsidRDefault="00093FF8" w:rsidP="00093FF8">
      <w:pPr>
        <w:rPr>
          <w:rFonts w:ascii="Roboto" w:hAnsi="Roboto"/>
          <w:szCs w:val="18"/>
        </w:rPr>
      </w:pPr>
      <w:proofErr w:type="spellStart"/>
      <w:r w:rsidRPr="00923374">
        <w:rPr>
          <w:rFonts w:ascii="Roboto" w:hAnsi="Roboto"/>
          <w:szCs w:val="18"/>
        </w:rPr>
        <w:t>TvLS</w:t>
      </w:r>
      <w:proofErr w:type="spellEnd"/>
      <w:r w:rsidRPr="00923374">
        <w:rPr>
          <w:rFonts w:ascii="Roboto" w:hAnsi="Roboto"/>
          <w:szCs w:val="18"/>
        </w:rPr>
        <w:t xml:space="preserve"> muutmise väljatöötamiskavatsusele arvamust andes</w:t>
      </w:r>
      <w:r w:rsidR="00785105">
        <w:rPr>
          <w:rFonts w:ascii="Roboto" w:hAnsi="Roboto"/>
          <w:szCs w:val="18"/>
        </w:rPr>
        <w:t xml:space="preserve"> (02.03.2026 nr 1.1-7/9-3) </w:t>
      </w:r>
      <w:r w:rsidRPr="00923374">
        <w:rPr>
          <w:rFonts w:ascii="Roboto" w:hAnsi="Roboto"/>
          <w:szCs w:val="18"/>
        </w:rPr>
        <w:t xml:space="preserve">ütles </w:t>
      </w:r>
      <w:r w:rsidRPr="00923374">
        <w:rPr>
          <w:rFonts w:ascii="Roboto" w:hAnsi="Roboto"/>
          <w:szCs w:val="18"/>
        </w:rPr>
        <w:t>TI</w:t>
      </w:r>
      <w:r w:rsidRPr="00923374">
        <w:rPr>
          <w:rFonts w:ascii="Roboto" w:hAnsi="Roboto"/>
          <w:szCs w:val="18"/>
        </w:rPr>
        <w:t>, et</w:t>
      </w:r>
      <w:r w:rsidRPr="00923374">
        <w:rPr>
          <w:rFonts w:ascii="Roboto" w:hAnsi="Roboto"/>
          <w:szCs w:val="18"/>
        </w:rPr>
        <w:t xml:space="preserve"> toetab </w:t>
      </w:r>
      <w:r w:rsidRPr="00923374">
        <w:rPr>
          <w:rFonts w:ascii="Roboto" w:hAnsi="Roboto"/>
          <w:szCs w:val="18"/>
        </w:rPr>
        <w:t xml:space="preserve">igati </w:t>
      </w:r>
      <w:r w:rsidRPr="00923374">
        <w:rPr>
          <w:rFonts w:ascii="Roboto" w:hAnsi="Roboto"/>
          <w:szCs w:val="18"/>
        </w:rPr>
        <w:t>mõtet</w:t>
      </w:r>
      <w:r w:rsidR="00785105">
        <w:rPr>
          <w:rFonts w:ascii="Roboto" w:hAnsi="Roboto"/>
          <w:szCs w:val="18"/>
        </w:rPr>
        <w:t xml:space="preserve"> a</w:t>
      </w:r>
      <w:r w:rsidRPr="00923374">
        <w:rPr>
          <w:rFonts w:ascii="Roboto" w:hAnsi="Roboto"/>
          <w:szCs w:val="18"/>
        </w:rPr>
        <w:t xml:space="preserve">lustavatele TVK juhatajatele </w:t>
      </w:r>
      <w:r w:rsidR="00785105">
        <w:rPr>
          <w:rFonts w:ascii="Roboto" w:hAnsi="Roboto"/>
          <w:szCs w:val="18"/>
        </w:rPr>
        <w:t>tagada</w:t>
      </w:r>
      <w:r w:rsidRPr="00923374">
        <w:rPr>
          <w:rFonts w:ascii="Roboto" w:hAnsi="Roboto"/>
          <w:szCs w:val="18"/>
        </w:rPr>
        <w:t xml:space="preserve"> sisseelamiseks mentor ja nende arengut toeta</w:t>
      </w:r>
      <w:r w:rsidR="00785105">
        <w:rPr>
          <w:rFonts w:ascii="Roboto" w:hAnsi="Roboto"/>
          <w:szCs w:val="18"/>
        </w:rPr>
        <w:t>da</w:t>
      </w:r>
      <w:r w:rsidRPr="00923374">
        <w:rPr>
          <w:rFonts w:ascii="Roboto" w:hAnsi="Roboto"/>
          <w:szCs w:val="18"/>
        </w:rPr>
        <w:t xml:space="preserve"> koolitusprogramm</w:t>
      </w:r>
      <w:r w:rsidR="00785105">
        <w:rPr>
          <w:rFonts w:ascii="Roboto" w:hAnsi="Roboto"/>
          <w:szCs w:val="18"/>
        </w:rPr>
        <w:t>iga</w:t>
      </w:r>
      <w:r w:rsidRPr="00923374">
        <w:rPr>
          <w:rFonts w:ascii="Roboto" w:hAnsi="Roboto"/>
          <w:szCs w:val="18"/>
        </w:rPr>
        <w:t xml:space="preserve"> ning lei</w:t>
      </w:r>
      <w:r w:rsidRPr="00923374">
        <w:rPr>
          <w:rFonts w:ascii="Roboto" w:hAnsi="Roboto"/>
          <w:szCs w:val="18"/>
        </w:rPr>
        <w:t>dis</w:t>
      </w:r>
      <w:r w:rsidRPr="00923374">
        <w:rPr>
          <w:rFonts w:ascii="Roboto" w:hAnsi="Roboto"/>
          <w:szCs w:val="18"/>
        </w:rPr>
        <w:t xml:space="preserve">, et kehtiva regulatsiooni ülevaatamine nendes küsimustes on kahtlemata vajalik. </w:t>
      </w:r>
      <w:r w:rsidR="00400DC2" w:rsidRPr="00923374">
        <w:rPr>
          <w:rFonts w:ascii="Roboto" w:hAnsi="Roboto"/>
          <w:szCs w:val="18"/>
        </w:rPr>
        <w:t xml:space="preserve">Lisaks märkis TI väljatöötamiskavatsusele antud arvamuses, </w:t>
      </w:r>
      <w:r w:rsidR="00EF3A7C" w:rsidRPr="00923374">
        <w:rPr>
          <w:rFonts w:ascii="Roboto" w:hAnsi="Roboto"/>
          <w:szCs w:val="18"/>
        </w:rPr>
        <w:t xml:space="preserve">et TVK juhatajad on ametnikud </w:t>
      </w:r>
      <w:r w:rsidR="00785105">
        <w:rPr>
          <w:rFonts w:ascii="Roboto" w:hAnsi="Roboto"/>
          <w:szCs w:val="18"/>
        </w:rPr>
        <w:t>a</w:t>
      </w:r>
      <w:r w:rsidR="00EF3A7C" w:rsidRPr="00923374">
        <w:rPr>
          <w:rFonts w:ascii="Roboto" w:hAnsi="Roboto"/>
          <w:szCs w:val="18"/>
        </w:rPr>
        <w:t xml:space="preserve">valiku teenistuse seaduse (ATS) mõttes </w:t>
      </w:r>
      <w:proofErr w:type="spellStart"/>
      <w:r w:rsidR="00EF3A7C" w:rsidRPr="00923374">
        <w:rPr>
          <w:rFonts w:ascii="Roboto" w:hAnsi="Roboto"/>
          <w:szCs w:val="18"/>
        </w:rPr>
        <w:t>TvLS</w:t>
      </w:r>
      <w:proofErr w:type="spellEnd"/>
      <w:r w:rsidR="00EF3A7C" w:rsidRPr="00923374">
        <w:rPr>
          <w:rFonts w:ascii="Roboto" w:hAnsi="Roboto"/>
          <w:szCs w:val="18"/>
        </w:rPr>
        <w:t xml:space="preserve"> sätestatud erisustega ja kehtiva õiguse kohaselt neile  kohaldub mh ka ATS § 31 ning eelnimetatud §-i lg 3 kohaselt otsustab ametniku koolitusvajaduse ametniku vahetu juht või kõrgemalseisev juht kuid </w:t>
      </w:r>
      <w:r w:rsidR="00EF3A7C" w:rsidRPr="00923374">
        <w:rPr>
          <w:rFonts w:ascii="Roboto" w:hAnsi="Roboto"/>
          <w:szCs w:val="18"/>
        </w:rPr>
        <w:t xml:space="preserve">kehtivast </w:t>
      </w:r>
      <w:proofErr w:type="spellStart"/>
      <w:r w:rsidR="00EF3A7C" w:rsidRPr="00923374">
        <w:rPr>
          <w:rFonts w:ascii="Roboto" w:hAnsi="Roboto"/>
          <w:szCs w:val="18"/>
        </w:rPr>
        <w:t>TvLS</w:t>
      </w:r>
      <w:proofErr w:type="spellEnd"/>
      <w:r w:rsidR="00EF3A7C" w:rsidRPr="00923374">
        <w:rPr>
          <w:rFonts w:ascii="Roboto" w:hAnsi="Roboto"/>
          <w:szCs w:val="18"/>
        </w:rPr>
        <w:t xml:space="preserve">-ist ei selgu üheselt </w:t>
      </w:r>
      <w:r w:rsidR="00785105">
        <w:rPr>
          <w:rFonts w:ascii="Roboto" w:hAnsi="Roboto"/>
          <w:szCs w:val="18"/>
        </w:rPr>
        <w:t>kes on tema vahetu juht või kõrgemalseisev juht, st kellele ametnik teenistusalaselt allub.</w:t>
      </w:r>
    </w:p>
    <w:p w14:paraId="167865A4" w14:textId="77777777" w:rsidR="00400DC2" w:rsidRPr="00923374" w:rsidRDefault="00400DC2" w:rsidP="00093FF8">
      <w:pPr>
        <w:rPr>
          <w:rFonts w:ascii="Roboto" w:hAnsi="Roboto"/>
          <w:szCs w:val="18"/>
        </w:rPr>
      </w:pPr>
    </w:p>
    <w:p w14:paraId="33DADF73" w14:textId="636BBDC1" w:rsidR="006E5B55" w:rsidRPr="00923374" w:rsidRDefault="00093FF8" w:rsidP="00093FF8">
      <w:pPr>
        <w:rPr>
          <w:rFonts w:ascii="Roboto" w:hAnsi="Roboto"/>
          <w:szCs w:val="18"/>
        </w:rPr>
      </w:pPr>
      <w:r w:rsidRPr="00923374">
        <w:rPr>
          <w:rFonts w:ascii="Roboto" w:hAnsi="Roboto"/>
          <w:szCs w:val="18"/>
        </w:rPr>
        <w:t xml:space="preserve">TI tunnustab, et olulistes küsimustes on eelnõu ettevalmistaja arvestanud TI ja TVK juhatajate poolt antud sisendiga ning on asunud </w:t>
      </w:r>
      <w:r w:rsidRPr="00923374">
        <w:rPr>
          <w:rFonts w:ascii="Roboto" w:hAnsi="Roboto"/>
          <w:szCs w:val="18"/>
        </w:rPr>
        <w:t>korral</w:t>
      </w:r>
      <w:r w:rsidRPr="00923374">
        <w:rPr>
          <w:rFonts w:ascii="Roboto" w:hAnsi="Roboto"/>
          <w:szCs w:val="18"/>
        </w:rPr>
        <w:t>dama</w:t>
      </w:r>
      <w:r w:rsidRPr="00923374">
        <w:rPr>
          <w:rFonts w:ascii="Roboto" w:hAnsi="Roboto"/>
          <w:szCs w:val="18"/>
        </w:rPr>
        <w:t xml:space="preserve"> seaduse tasandil selgemalt töövaidluskomisjonide (TVK) juhatajate värbami</w:t>
      </w:r>
      <w:r w:rsidRPr="00923374">
        <w:rPr>
          <w:rFonts w:ascii="Roboto" w:hAnsi="Roboto"/>
          <w:szCs w:val="18"/>
        </w:rPr>
        <w:t>s</w:t>
      </w:r>
      <w:r w:rsidRPr="00923374">
        <w:rPr>
          <w:rFonts w:ascii="Roboto" w:hAnsi="Roboto"/>
          <w:szCs w:val="18"/>
        </w:rPr>
        <w:t>e, töö kvaliteedi tagami</w:t>
      </w:r>
      <w:r w:rsidRPr="00923374">
        <w:rPr>
          <w:rFonts w:ascii="Roboto" w:hAnsi="Roboto"/>
          <w:szCs w:val="18"/>
        </w:rPr>
        <w:t>s</w:t>
      </w:r>
      <w:r w:rsidRPr="00923374">
        <w:rPr>
          <w:rFonts w:ascii="Roboto" w:hAnsi="Roboto"/>
          <w:szCs w:val="18"/>
        </w:rPr>
        <w:t>e ja hindami</w:t>
      </w:r>
      <w:r w:rsidRPr="00923374">
        <w:rPr>
          <w:rFonts w:ascii="Roboto" w:hAnsi="Roboto"/>
          <w:szCs w:val="18"/>
        </w:rPr>
        <w:t>s</w:t>
      </w:r>
      <w:r w:rsidRPr="00923374">
        <w:rPr>
          <w:rFonts w:ascii="Roboto" w:hAnsi="Roboto"/>
          <w:szCs w:val="18"/>
        </w:rPr>
        <w:t>e</w:t>
      </w:r>
      <w:r w:rsidRPr="00923374">
        <w:rPr>
          <w:rFonts w:ascii="Roboto" w:hAnsi="Roboto"/>
          <w:szCs w:val="18"/>
        </w:rPr>
        <w:t xml:space="preserve"> temaatikat.</w:t>
      </w:r>
      <w:r w:rsidR="00EF3A7C" w:rsidRPr="00923374">
        <w:rPr>
          <w:rFonts w:ascii="Roboto" w:hAnsi="Roboto"/>
          <w:szCs w:val="18"/>
        </w:rPr>
        <w:t xml:space="preserve"> Alljärgnevalt toome </w:t>
      </w:r>
      <w:r w:rsidR="00785105">
        <w:rPr>
          <w:rFonts w:ascii="Roboto" w:hAnsi="Roboto"/>
          <w:szCs w:val="18"/>
        </w:rPr>
        <w:t xml:space="preserve">aga </w:t>
      </w:r>
      <w:r w:rsidR="00EF3A7C" w:rsidRPr="00923374">
        <w:rPr>
          <w:rFonts w:ascii="Roboto" w:hAnsi="Roboto"/>
          <w:szCs w:val="18"/>
        </w:rPr>
        <w:t>välja ka mõned probleemkohad, mis vajaksid täiendavalt läbimõtlemist.</w:t>
      </w:r>
    </w:p>
    <w:p w14:paraId="792AB105" w14:textId="75D617A8" w:rsidR="003A6B07" w:rsidRPr="00923374" w:rsidRDefault="003A6B07" w:rsidP="00C0204F">
      <w:pPr>
        <w:rPr>
          <w:rFonts w:ascii="Roboto" w:hAnsi="Roboto"/>
          <w:szCs w:val="18"/>
        </w:rPr>
      </w:pPr>
    </w:p>
    <w:p w14:paraId="16315C09" w14:textId="6842E97E" w:rsidR="00EF3A7C" w:rsidRPr="00785105" w:rsidRDefault="00EF3A7C" w:rsidP="00785105">
      <w:pPr>
        <w:rPr>
          <w:rFonts w:ascii="Roboto" w:hAnsi="Roboto"/>
          <w:szCs w:val="18"/>
        </w:rPr>
      </w:pPr>
      <w:r w:rsidRPr="00785105">
        <w:rPr>
          <w:rFonts w:ascii="Roboto" w:hAnsi="Roboto"/>
          <w:szCs w:val="18"/>
        </w:rPr>
        <w:t>Arvamuse andmiseks saadetud eelnõu s</w:t>
      </w:r>
      <w:r w:rsidR="00174EF2" w:rsidRPr="00785105">
        <w:rPr>
          <w:rFonts w:ascii="Roboto" w:hAnsi="Roboto"/>
          <w:szCs w:val="18"/>
        </w:rPr>
        <w:t xml:space="preserve">eletuskirja 2 </w:t>
      </w:r>
      <w:proofErr w:type="spellStart"/>
      <w:r w:rsidR="00174EF2" w:rsidRPr="00785105">
        <w:rPr>
          <w:rFonts w:ascii="Roboto" w:hAnsi="Roboto"/>
          <w:szCs w:val="18"/>
        </w:rPr>
        <w:t>ptk</w:t>
      </w:r>
      <w:proofErr w:type="spellEnd"/>
      <w:r w:rsidR="00174EF2" w:rsidRPr="00785105">
        <w:rPr>
          <w:rFonts w:ascii="Roboto" w:hAnsi="Roboto"/>
          <w:szCs w:val="18"/>
        </w:rPr>
        <w:t xml:space="preserve"> (lk 3 1 lõik) öeldakse</w:t>
      </w:r>
      <w:r w:rsidR="00785105">
        <w:rPr>
          <w:rFonts w:ascii="Roboto" w:hAnsi="Roboto"/>
          <w:szCs w:val="18"/>
        </w:rPr>
        <w:t xml:space="preserve">: </w:t>
      </w:r>
      <w:r w:rsidR="00174EF2" w:rsidRPr="00785105">
        <w:rPr>
          <w:rFonts w:ascii="Roboto" w:hAnsi="Roboto"/>
          <w:szCs w:val="18"/>
        </w:rPr>
        <w:t>“Uue ametiga kohanemise teeb keeruliseks muuhulgas asjaolu, et TVK</w:t>
      </w:r>
      <w:r w:rsidRPr="00785105">
        <w:rPr>
          <w:rFonts w:ascii="Roboto" w:hAnsi="Roboto"/>
          <w:szCs w:val="18"/>
        </w:rPr>
        <w:t xml:space="preserve"> </w:t>
      </w:r>
      <w:r w:rsidR="00174EF2" w:rsidRPr="00785105">
        <w:rPr>
          <w:rFonts w:ascii="Roboto" w:hAnsi="Roboto"/>
          <w:szCs w:val="18"/>
        </w:rPr>
        <w:t>juhataja töö on olemuselt iseseisev (üksi menetluse ja istungite juhtimine, töövaidluse osas otsuse tegemine jne),</w:t>
      </w:r>
      <w:r w:rsidRPr="00785105">
        <w:rPr>
          <w:rFonts w:ascii="Roboto" w:hAnsi="Roboto"/>
          <w:szCs w:val="18"/>
        </w:rPr>
        <w:t xml:space="preserve"> </w:t>
      </w:r>
      <w:r w:rsidR="00174EF2" w:rsidRPr="00785105">
        <w:rPr>
          <w:rFonts w:ascii="Roboto" w:hAnsi="Roboto"/>
          <w:szCs w:val="18"/>
        </w:rPr>
        <w:t xml:space="preserve">kuivõrd TVK juhatajad on oma töös sõltumatud.“ </w:t>
      </w:r>
    </w:p>
    <w:p w14:paraId="0828F882" w14:textId="77777777" w:rsidR="00EF3A7C" w:rsidRPr="00923374" w:rsidRDefault="00EF3A7C" w:rsidP="00174EF2">
      <w:pPr>
        <w:rPr>
          <w:rFonts w:ascii="Roboto" w:hAnsi="Roboto"/>
          <w:szCs w:val="18"/>
        </w:rPr>
      </w:pPr>
    </w:p>
    <w:p w14:paraId="1D31923B" w14:textId="7232F77F" w:rsidR="009820FF" w:rsidRPr="00923374" w:rsidRDefault="00EF3A7C" w:rsidP="00174EF2">
      <w:pPr>
        <w:rPr>
          <w:rFonts w:ascii="Roboto" w:hAnsi="Roboto"/>
          <w:szCs w:val="18"/>
        </w:rPr>
      </w:pPr>
      <w:r w:rsidRPr="00923374">
        <w:rPr>
          <w:rFonts w:ascii="Roboto" w:hAnsi="Roboto"/>
          <w:szCs w:val="18"/>
        </w:rPr>
        <w:t xml:space="preserve">TI märgib, et eeltoodud lause </w:t>
      </w:r>
      <w:r w:rsidR="00785105">
        <w:rPr>
          <w:rFonts w:ascii="Roboto" w:hAnsi="Roboto"/>
          <w:szCs w:val="18"/>
        </w:rPr>
        <w:t>võib tekitada täiendava segaduse TVK juhataja sõltumatuse ja alluvuse osas</w:t>
      </w:r>
      <w:r w:rsidRPr="00923374">
        <w:rPr>
          <w:rFonts w:ascii="Roboto" w:hAnsi="Roboto"/>
          <w:szCs w:val="18"/>
        </w:rPr>
        <w:t xml:space="preserve"> </w:t>
      </w:r>
      <w:r w:rsidR="009820FF" w:rsidRPr="00923374">
        <w:rPr>
          <w:rFonts w:ascii="Roboto" w:hAnsi="Roboto"/>
          <w:szCs w:val="18"/>
        </w:rPr>
        <w:t>ja sellest johtuvalt palub TI lisada seletuskirja</w:t>
      </w:r>
      <w:r w:rsidR="00174EF2" w:rsidRPr="00923374">
        <w:rPr>
          <w:rFonts w:ascii="Roboto" w:hAnsi="Roboto"/>
          <w:szCs w:val="18"/>
        </w:rPr>
        <w:t xml:space="preserve">: </w:t>
      </w:r>
      <w:r w:rsidR="009820FF" w:rsidRPr="00923374">
        <w:rPr>
          <w:rFonts w:ascii="Roboto" w:hAnsi="Roboto"/>
          <w:szCs w:val="18"/>
        </w:rPr>
        <w:t>„</w:t>
      </w:r>
      <w:r w:rsidR="00174EF2" w:rsidRPr="00923374">
        <w:rPr>
          <w:rFonts w:ascii="Roboto" w:hAnsi="Roboto"/>
          <w:szCs w:val="18"/>
        </w:rPr>
        <w:t xml:space="preserve">Sõltumatus tähendab </w:t>
      </w:r>
      <w:r w:rsidR="003454F3" w:rsidRPr="00923374">
        <w:rPr>
          <w:rFonts w:ascii="Roboto" w:hAnsi="Roboto"/>
          <w:szCs w:val="18"/>
        </w:rPr>
        <w:t xml:space="preserve">antud juhul </w:t>
      </w:r>
      <w:r w:rsidRPr="00923374">
        <w:rPr>
          <w:rFonts w:ascii="Roboto" w:hAnsi="Roboto"/>
          <w:szCs w:val="18"/>
        </w:rPr>
        <w:t xml:space="preserve">eelkõige </w:t>
      </w:r>
      <w:r w:rsidR="00174EF2" w:rsidRPr="00923374">
        <w:rPr>
          <w:rFonts w:ascii="Roboto" w:hAnsi="Roboto"/>
          <w:szCs w:val="18"/>
        </w:rPr>
        <w:t xml:space="preserve">seda, et TVK kui kohtuväline töövaidluseid lahendav organ on </w:t>
      </w:r>
      <w:r w:rsidRPr="00923374">
        <w:rPr>
          <w:rFonts w:ascii="Roboto" w:hAnsi="Roboto"/>
          <w:szCs w:val="18"/>
        </w:rPr>
        <w:t>töövaidluse lahendamise</w:t>
      </w:r>
      <w:r w:rsidR="003454F3" w:rsidRPr="00923374">
        <w:rPr>
          <w:rFonts w:ascii="Roboto" w:hAnsi="Roboto"/>
          <w:szCs w:val="18"/>
        </w:rPr>
        <w:t xml:space="preserve"> menetluslikes küsimustes</w:t>
      </w:r>
      <w:r w:rsidRPr="00923374">
        <w:rPr>
          <w:rFonts w:ascii="Roboto" w:hAnsi="Roboto"/>
          <w:szCs w:val="18"/>
        </w:rPr>
        <w:t xml:space="preserve"> ja lahendite </w:t>
      </w:r>
      <w:r w:rsidR="00174EF2" w:rsidRPr="00923374">
        <w:rPr>
          <w:rFonts w:ascii="Roboto" w:hAnsi="Roboto"/>
          <w:szCs w:val="18"/>
        </w:rPr>
        <w:t xml:space="preserve">tegemisel sõltumatu ja võtab </w:t>
      </w:r>
      <w:r w:rsidRPr="00923374">
        <w:rPr>
          <w:rFonts w:ascii="Roboto" w:hAnsi="Roboto"/>
          <w:szCs w:val="18"/>
        </w:rPr>
        <w:t xml:space="preserve">töövaidlust lahendades </w:t>
      </w:r>
      <w:r w:rsidR="00174EF2" w:rsidRPr="00923374">
        <w:rPr>
          <w:rFonts w:ascii="Roboto" w:hAnsi="Roboto"/>
          <w:szCs w:val="18"/>
        </w:rPr>
        <w:t xml:space="preserve"> aluseks siseriiklikud õigusaktid, eelkõige töölepingu seaduse ja</w:t>
      </w:r>
      <w:r w:rsidRPr="00923374">
        <w:rPr>
          <w:rFonts w:ascii="Roboto" w:hAnsi="Roboto"/>
          <w:szCs w:val="18"/>
        </w:rPr>
        <w:t xml:space="preserve"> </w:t>
      </w:r>
      <w:r w:rsidR="00174EF2" w:rsidRPr="00923374">
        <w:rPr>
          <w:rFonts w:ascii="Roboto" w:hAnsi="Roboto"/>
          <w:szCs w:val="18"/>
        </w:rPr>
        <w:t xml:space="preserve">muud töösuhteid reguleerivad õigusaktid, Eestile siduvad </w:t>
      </w:r>
      <w:proofErr w:type="spellStart"/>
      <w:r w:rsidR="00174EF2" w:rsidRPr="00923374">
        <w:rPr>
          <w:rFonts w:ascii="Roboto" w:hAnsi="Roboto"/>
          <w:szCs w:val="18"/>
        </w:rPr>
        <w:t>välislepingud</w:t>
      </w:r>
      <w:proofErr w:type="spellEnd"/>
      <w:r w:rsidR="00174EF2" w:rsidRPr="00923374">
        <w:rPr>
          <w:rFonts w:ascii="Roboto" w:hAnsi="Roboto"/>
          <w:szCs w:val="18"/>
        </w:rPr>
        <w:t>, sealhulgas Euroopa Liidu õigusaktid</w:t>
      </w:r>
      <w:r w:rsidRPr="00923374">
        <w:rPr>
          <w:rFonts w:ascii="Roboto" w:hAnsi="Roboto"/>
          <w:szCs w:val="18"/>
        </w:rPr>
        <w:t xml:space="preserve"> </w:t>
      </w:r>
      <w:r w:rsidR="00174EF2" w:rsidRPr="00923374">
        <w:rPr>
          <w:rFonts w:ascii="Roboto" w:hAnsi="Roboto"/>
          <w:szCs w:val="18"/>
        </w:rPr>
        <w:t>ning poolte töösuhet reguleerivad eeskirjad ja muud poolte vahel kehtivad kirjalikud kokkulepped, pidades</w:t>
      </w:r>
      <w:r w:rsidRPr="00923374">
        <w:rPr>
          <w:rFonts w:ascii="Roboto" w:hAnsi="Roboto"/>
          <w:szCs w:val="18"/>
        </w:rPr>
        <w:t xml:space="preserve"> </w:t>
      </w:r>
      <w:r w:rsidR="00174EF2" w:rsidRPr="00923374">
        <w:rPr>
          <w:rFonts w:ascii="Roboto" w:hAnsi="Roboto"/>
          <w:szCs w:val="18"/>
        </w:rPr>
        <w:t>sealhulgas silmas ka töösuhtele kohaldatava riigi õigust</w:t>
      </w:r>
      <w:r w:rsidRPr="00923374">
        <w:rPr>
          <w:rFonts w:ascii="Roboto" w:hAnsi="Roboto"/>
          <w:szCs w:val="18"/>
        </w:rPr>
        <w:t>.</w:t>
      </w:r>
      <w:r w:rsidR="003454F3" w:rsidRPr="00923374">
        <w:rPr>
          <w:rFonts w:ascii="Roboto" w:hAnsi="Roboto"/>
          <w:szCs w:val="18"/>
        </w:rPr>
        <w:t xml:space="preserve"> </w:t>
      </w:r>
      <w:r w:rsidR="009820FF" w:rsidRPr="00923374">
        <w:rPr>
          <w:rFonts w:ascii="Roboto" w:hAnsi="Roboto"/>
          <w:szCs w:val="18"/>
        </w:rPr>
        <w:t>S</w:t>
      </w:r>
      <w:r w:rsidR="009820FF" w:rsidRPr="00923374">
        <w:rPr>
          <w:rFonts w:ascii="Roboto" w:hAnsi="Roboto"/>
          <w:szCs w:val="18"/>
        </w:rPr>
        <w:t>õltumatus</w:t>
      </w:r>
      <w:r w:rsidR="009820FF" w:rsidRPr="00923374">
        <w:rPr>
          <w:rFonts w:ascii="Roboto" w:hAnsi="Roboto"/>
          <w:szCs w:val="18"/>
        </w:rPr>
        <w:t xml:space="preserve"> ei ole TVK juhataja kui </w:t>
      </w:r>
      <w:r w:rsidR="009820FF" w:rsidRPr="00923374">
        <w:rPr>
          <w:rFonts w:ascii="Roboto" w:hAnsi="Roboto"/>
          <w:szCs w:val="18"/>
        </w:rPr>
        <w:t xml:space="preserve"> </w:t>
      </w:r>
      <w:r w:rsidR="009820FF" w:rsidRPr="00923374">
        <w:rPr>
          <w:rFonts w:ascii="Roboto" w:hAnsi="Roboto"/>
          <w:szCs w:val="18"/>
        </w:rPr>
        <w:t xml:space="preserve">isiku </w:t>
      </w:r>
      <w:r w:rsidR="009820FF" w:rsidRPr="00923374">
        <w:rPr>
          <w:rFonts w:ascii="Roboto" w:hAnsi="Roboto"/>
          <w:szCs w:val="18"/>
        </w:rPr>
        <w:t>privileeg, vaid see on eeldus</w:t>
      </w:r>
      <w:r w:rsidR="00785105">
        <w:rPr>
          <w:rFonts w:ascii="Roboto" w:hAnsi="Roboto"/>
          <w:szCs w:val="18"/>
        </w:rPr>
        <w:t xml:space="preserve"> on TVK-l kui töövaidlust lahendaval organil ja ka TVK juhatajal kui kollektiivse organi liikmel</w:t>
      </w:r>
      <w:r w:rsidR="009820FF" w:rsidRPr="00923374">
        <w:rPr>
          <w:rFonts w:ascii="Roboto" w:hAnsi="Roboto"/>
          <w:szCs w:val="18"/>
        </w:rPr>
        <w:t xml:space="preserve"> neil lasuvate </w:t>
      </w:r>
      <w:r w:rsidR="009820FF" w:rsidRPr="00923374">
        <w:rPr>
          <w:rFonts w:ascii="Roboto" w:hAnsi="Roboto"/>
          <w:szCs w:val="18"/>
        </w:rPr>
        <w:t>kohtuvälise töövaidluse</w:t>
      </w:r>
      <w:r w:rsidR="00785105">
        <w:rPr>
          <w:rFonts w:ascii="Roboto" w:hAnsi="Roboto"/>
          <w:szCs w:val="18"/>
        </w:rPr>
        <w:t xml:space="preserve"> lahendamise </w:t>
      </w:r>
      <w:r w:rsidR="009820FF" w:rsidRPr="00923374">
        <w:rPr>
          <w:rFonts w:ascii="Roboto" w:hAnsi="Roboto"/>
          <w:szCs w:val="18"/>
        </w:rPr>
        <w:t xml:space="preserve">funktsiooni kohaseks täitmiseks. </w:t>
      </w:r>
      <w:r w:rsidR="00785105">
        <w:rPr>
          <w:rFonts w:ascii="Roboto" w:hAnsi="Roboto"/>
          <w:szCs w:val="18"/>
        </w:rPr>
        <w:t>Tööinspektsioon</w:t>
      </w:r>
      <w:r w:rsidR="003454F3" w:rsidRPr="00923374">
        <w:rPr>
          <w:rFonts w:ascii="Roboto" w:hAnsi="Roboto"/>
          <w:szCs w:val="18"/>
        </w:rPr>
        <w:t xml:space="preserve"> koos Majandus- ja Kommunikatsiooniministeeriumiga </w:t>
      </w:r>
      <w:r w:rsidR="003454F3" w:rsidRPr="00923374">
        <w:rPr>
          <w:rFonts w:ascii="Roboto" w:hAnsi="Roboto"/>
          <w:szCs w:val="18"/>
        </w:rPr>
        <w:t>vastutab</w:t>
      </w:r>
      <w:r w:rsidR="003454F3" w:rsidRPr="00923374">
        <w:rPr>
          <w:rFonts w:ascii="Roboto" w:hAnsi="Roboto"/>
          <w:szCs w:val="18"/>
        </w:rPr>
        <w:t>,</w:t>
      </w:r>
      <w:r w:rsidR="003454F3" w:rsidRPr="00923374">
        <w:rPr>
          <w:rFonts w:ascii="Roboto" w:hAnsi="Roboto"/>
          <w:szCs w:val="18"/>
        </w:rPr>
        <w:t xml:space="preserve"> et isikuile oleks tagatud ligipääs </w:t>
      </w:r>
      <w:r w:rsidR="003454F3" w:rsidRPr="00923374">
        <w:rPr>
          <w:rFonts w:ascii="Roboto" w:hAnsi="Roboto"/>
          <w:szCs w:val="18"/>
        </w:rPr>
        <w:t xml:space="preserve">kohtuvälisele töövaidluse lahendamisele </w:t>
      </w:r>
      <w:r w:rsidR="003454F3" w:rsidRPr="00923374">
        <w:rPr>
          <w:rFonts w:ascii="Roboto" w:hAnsi="Roboto"/>
          <w:szCs w:val="18"/>
        </w:rPr>
        <w:t xml:space="preserve">ja õiglasele menetlusele. Et seda eesmärki täita, on </w:t>
      </w:r>
      <w:r w:rsidR="00785105">
        <w:rPr>
          <w:rFonts w:ascii="Roboto" w:hAnsi="Roboto"/>
          <w:szCs w:val="18"/>
        </w:rPr>
        <w:t xml:space="preserve">Majandusministeeriumil kohustus tagada vajalikul hulgal TVK juhatajate värbamine </w:t>
      </w:r>
      <w:r w:rsidR="00501D7B">
        <w:rPr>
          <w:rFonts w:ascii="Roboto" w:hAnsi="Roboto"/>
          <w:szCs w:val="18"/>
        </w:rPr>
        <w:t xml:space="preserve">ja nende tegevuse rahastamine ning </w:t>
      </w:r>
      <w:r w:rsidR="003454F3" w:rsidRPr="00923374">
        <w:rPr>
          <w:rFonts w:ascii="Roboto" w:hAnsi="Roboto"/>
          <w:szCs w:val="18"/>
        </w:rPr>
        <w:t xml:space="preserve">Tööinspektsiooni ülesanne </w:t>
      </w:r>
      <w:r w:rsidR="003454F3" w:rsidRPr="00923374">
        <w:rPr>
          <w:rFonts w:ascii="Roboto" w:hAnsi="Roboto"/>
          <w:szCs w:val="18"/>
        </w:rPr>
        <w:t xml:space="preserve">korraldada </w:t>
      </w:r>
      <w:r w:rsidR="003454F3" w:rsidRPr="00923374">
        <w:rPr>
          <w:rFonts w:ascii="Roboto" w:hAnsi="Roboto"/>
          <w:szCs w:val="18"/>
        </w:rPr>
        <w:t>TVK-de ja nende juhatajate</w:t>
      </w:r>
      <w:r w:rsidR="003454F3" w:rsidRPr="00923374">
        <w:rPr>
          <w:rFonts w:ascii="Roboto" w:hAnsi="Roboto"/>
          <w:szCs w:val="18"/>
        </w:rPr>
        <w:t xml:space="preserve"> tööjaotus</w:t>
      </w:r>
      <w:r w:rsidR="003454F3" w:rsidRPr="00923374">
        <w:rPr>
          <w:rFonts w:ascii="Roboto" w:hAnsi="Roboto"/>
          <w:szCs w:val="18"/>
        </w:rPr>
        <w:t xml:space="preserve"> (sealhulgas, et</w:t>
      </w:r>
      <w:r w:rsidR="003454F3" w:rsidRPr="00923374">
        <w:rPr>
          <w:rFonts w:ascii="Roboto" w:hAnsi="Roboto"/>
          <w:szCs w:val="18"/>
        </w:rPr>
        <w:t xml:space="preserve"> tööjaotusplaan tagaks ka tegelikult võimalikult ühtlase koormusega tööjaotuse</w:t>
      </w:r>
      <w:r w:rsidR="003454F3" w:rsidRPr="00923374">
        <w:rPr>
          <w:rFonts w:ascii="Roboto" w:hAnsi="Roboto"/>
          <w:szCs w:val="18"/>
        </w:rPr>
        <w:t xml:space="preserve">) </w:t>
      </w:r>
      <w:r w:rsidR="003454F3" w:rsidRPr="00923374">
        <w:rPr>
          <w:rFonts w:ascii="Roboto" w:hAnsi="Roboto"/>
          <w:szCs w:val="18"/>
        </w:rPr>
        <w:t>ja ka laiemalt töökorraldus</w:t>
      </w:r>
      <w:r w:rsidR="00501D7B">
        <w:rPr>
          <w:rFonts w:ascii="Roboto" w:hAnsi="Roboto"/>
          <w:szCs w:val="18"/>
        </w:rPr>
        <w:t>, ilma töövaidluse sisulisse lahendamisse sekkumiseta.</w:t>
      </w:r>
      <w:r w:rsidR="009820FF" w:rsidRPr="00923374">
        <w:rPr>
          <w:rFonts w:ascii="Roboto" w:hAnsi="Roboto"/>
          <w:szCs w:val="18"/>
        </w:rPr>
        <w:t xml:space="preserve"> </w:t>
      </w:r>
      <w:r w:rsidR="006F3E59" w:rsidRPr="00923374">
        <w:rPr>
          <w:rFonts w:ascii="Roboto" w:hAnsi="Roboto"/>
          <w:szCs w:val="18"/>
        </w:rPr>
        <w:t xml:space="preserve">Kehtiva õiguse kohaselt on </w:t>
      </w:r>
      <w:r w:rsidR="00174EF2" w:rsidRPr="00923374">
        <w:rPr>
          <w:rFonts w:ascii="Roboto" w:hAnsi="Roboto"/>
          <w:szCs w:val="18"/>
        </w:rPr>
        <w:t xml:space="preserve">TVK juhataja ametnik ATS mõttes </w:t>
      </w:r>
      <w:proofErr w:type="spellStart"/>
      <w:r w:rsidR="00174EF2" w:rsidRPr="00923374">
        <w:rPr>
          <w:rFonts w:ascii="Roboto" w:hAnsi="Roboto"/>
          <w:szCs w:val="18"/>
        </w:rPr>
        <w:t>TvLS</w:t>
      </w:r>
      <w:proofErr w:type="spellEnd"/>
      <w:r w:rsidR="00174EF2" w:rsidRPr="00923374">
        <w:rPr>
          <w:rFonts w:ascii="Roboto" w:hAnsi="Roboto"/>
          <w:szCs w:val="18"/>
        </w:rPr>
        <w:t xml:space="preserve"> §-</w:t>
      </w:r>
      <w:proofErr w:type="spellStart"/>
      <w:r w:rsidR="00174EF2" w:rsidRPr="00923374">
        <w:rPr>
          <w:rFonts w:ascii="Roboto" w:hAnsi="Roboto"/>
          <w:szCs w:val="18"/>
        </w:rPr>
        <w:t>is</w:t>
      </w:r>
      <w:proofErr w:type="spellEnd"/>
      <w:r w:rsidR="00174EF2" w:rsidRPr="00923374">
        <w:rPr>
          <w:rFonts w:ascii="Roboto" w:hAnsi="Roboto"/>
          <w:szCs w:val="18"/>
        </w:rPr>
        <w:t xml:space="preserve"> 7</w:t>
      </w:r>
      <w:r w:rsidR="006F3E59" w:rsidRPr="00923374">
        <w:rPr>
          <w:rFonts w:ascii="Roboto" w:hAnsi="Roboto"/>
          <w:szCs w:val="18"/>
        </w:rPr>
        <w:t xml:space="preserve"> </w:t>
      </w:r>
      <w:r w:rsidR="00174EF2" w:rsidRPr="00923374">
        <w:rPr>
          <w:rFonts w:ascii="Roboto" w:hAnsi="Roboto"/>
          <w:szCs w:val="18"/>
        </w:rPr>
        <w:t>nimetatud erisustega</w:t>
      </w:r>
      <w:r w:rsidR="009820FF" w:rsidRPr="00923374">
        <w:rPr>
          <w:rFonts w:ascii="Roboto" w:hAnsi="Roboto"/>
          <w:szCs w:val="18"/>
        </w:rPr>
        <w:t xml:space="preserve">, ning sellest tulenevalt </w:t>
      </w:r>
      <w:r w:rsidR="006F3E59" w:rsidRPr="00923374">
        <w:rPr>
          <w:rFonts w:ascii="Roboto" w:hAnsi="Roboto"/>
          <w:szCs w:val="18"/>
        </w:rPr>
        <w:t>kohaldub TVK juhatajatele</w:t>
      </w:r>
      <w:r w:rsidR="00501D7B">
        <w:rPr>
          <w:rFonts w:ascii="Roboto" w:hAnsi="Roboto"/>
          <w:szCs w:val="18"/>
        </w:rPr>
        <w:t xml:space="preserve"> kui ametnikele</w:t>
      </w:r>
      <w:r w:rsidR="006F3E59" w:rsidRPr="00923374">
        <w:rPr>
          <w:rFonts w:ascii="Roboto" w:hAnsi="Roboto"/>
          <w:szCs w:val="18"/>
        </w:rPr>
        <w:t xml:space="preserve"> </w:t>
      </w:r>
      <w:r w:rsidR="00501D7B">
        <w:rPr>
          <w:rFonts w:ascii="Roboto" w:hAnsi="Roboto"/>
          <w:szCs w:val="18"/>
        </w:rPr>
        <w:t xml:space="preserve"> lisaks </w:t>
      </w:r>
      <w:proofErr w:type="spellStart"/>
      <w:r w:rsidR="00501D7B">
        <w:rPr>
          <w:rFonts w:ascii="Roboto" w:hAnsi="Roboto"/>
          <w:szCs w:val="18"/>
        </w:rPr>
        <w:t>TvLS-ile</w:t>
      </w:r>
      <w:proofErr w:type="spellEnd"/>
      <w:r w:rsidR="00501D7B">
        <w:rPr>
          <w:rFonts w:ascii="Roboto" w:hAnsi="Roboto"/>
          <w:szCs w:val="18"/>
        </w:rPr>
        <w:t xml:space="preserve"> ka </w:t>
      </w:r>
      <w:proofErr w:type="spellStart"/>
      <w:r w:rsidR="006F3E59" w:rsidRPr="00923374">
        <w:rPr>
          <w:rFonts w:ascii="Roboto" w:hAnsi="Roboto"/>
          <w:szCs w:val="18"/>
        </w:rPr>
        <w:t>ATS</w:t>
      </w:r>
      <w:r w:rsidR="00501D7B">
        <w:rPr>
          <w:rFonts w:ascii="Roboto" w:hAnsi="Roboto"/>
          <w:szCs w:val="18"/>
        </w:rPr>
        <w:t>-is</w:t>
      </w:r>
      <w:proofErr w:type="spellEnd"/>
      <w:r w:rsidR="00501D7B">
        <w:rPr>
          <w:rFonts w:ascii="Roboto" w:hAnsi="Roboto"/>
          <w:szCs w:val="18"/>
        </w:rPr>
        <w:t xml:space="preserve"> sätestatu (</w:t>
      </w:r>
      <w:r w:rsidR="009820FF" w:rsidRPr="00923374">
        <w:rPr>
          <w:rFonts w:ascii="Roboto" w:hAnsi="Roboto"/>
          <w:szCs w:val="18"/>
        </w:rPr>
        <w:t xml:space="preserve">sealhulgas ATS </w:t>
      </w:r>
      <w:r w:rsidR="006F3E59" w:rsidRPr="00923374">
        <w:rPr>
          <w:rFonts w:ascii="Roboto" w:hAnsi="Roboto"/>
          <w:szCs w:val="18"/>
        </w:rPr>
        <w:t xml:space="preserve"> § 51</w:t>
      </w:r>
      <w:r w:rsidR="00501D7B">
        <w:rPr>
          <w:rFonts w:ascii="Roboto" w:hAnsi="Roboto"/>
          <w:szCs w:val="18"/>
        </w:rPr>
        <w:t>)</w:t>
      </w:r>
      <w:r w:rsidR="006F3E59" w:rsidRPr="00923374">
        <w:rPr>
          <w:rFonts w:ascii="Roboto" w:hAnsi="Roboto"/>
          <w:szCs w:val="18"/>
        </w:rPr>
        <w:t>.</w:t>
      </w:r>
      <w:r w:rsidR="009820FF" w:rsidRPr="00923374">
        <w:rPr>
          <w:rFonts w:ascii="Roboto" w:hAnsi="Roboto"/>
          <w:szCs w:val="18"/>
        </w:rPr>
        <w:t>“</w:t>
      </w:r>
      <w:r w:rsidR="006F3E59" w:rsidRPr="00923374">
        <w:rPr>
          <w:rFonts w:ascii="Roboto" w:hAnsi="Roboto"/>
          <w:szCs w:val="18"/>
        </w:rPr>
        <w:t xml:space="preserve"> </w:t>
      </w:r>
    </w:p>
    <w:p w14:paraId="190BEB1C" w14:textId="77777777" w:rsidR="009820FF" w:rsidRPr="00923374" w:rsidRDefault="009820FF" w:rsidP="00174EF2">
      <w:pPr>
        <w:rPr>
          <w:rFonts w:ascii="Roboto" w:hAnsi="Roboto"/>
          <w:szCs w:val="18"/>
        </w:rPr>
      </w:pPr>
    </w:p>
    <w:p w14:paraId="2A21185C" w14:textId="77777777" w:rsidR="000C7459" w:rsidRPr="00923374" w:rsidRDefault="006F3E59" w:rsidP="00174EF2">
      <w:pPr>
        <w:rPr>
          <w:rFonts w:ascii="Roboto" w:hAnsi="Roboto"/>
          <w:szCs w:val="18"/>
        </w:rPr>
      </w:pPr>
      <w:r w:rsidRPr="00923374">
        <w:rPr>
          <w:rFonts w:ascii="Roboto" w:hAnsi="Roboto"/>
          <w:szCs w:val="18"/>
        </w:rPr>
        <w:t xml:space="preserve">Ühtlasi juhime tähelepanu, et </w:t>
      </w:r>
      <w:r w:rsidR="009820FF" w:rsidRPr="00923374">
        <w:rPr>
          <w:rFonts w:ascii="Roboto" w:hAnsi="Roboto"/>
          <w:szCs w:val="18"/>
        </w:rPr>
        <w:t xml:space="preserve">(vaatamata TI poolt VTK-s tähelepanu juhtimisel), </w:t>
      </w:r>
      <w:r w:rsidR="00174EF2" w:rsidRPr="00923374">
        <w:rPr>
          <w:rFonts w:ascii="Roboto" w:hAnsi="Roboto"/>
          <w:szCs w:val="18"/>
        </w:rPr>
        <w:t>kavandatavatest muudatustest ei selgu üheselt mõistetavalt kes on TVK juhataja vahetu juht või kõrgemalseisev</w:t>
      </w:r>
      <w:r w:rsidRPr="00923374">
        <w:rPr>
          <w:rFonts w:ascii="Roboto" w:hAnsi="Roboto"/>
          <w:szCs w:val="18"/>
        </w:rPr>
        <w:t xml:space="preserve"> </w:t>
      </w:r>
      <w:r w:rsidR="00174EF2" w:rsidRPr="00923374">
        <w:rPr>
          <w:rFonts w:ascii="Roboto" w:hAnsi="Roboto"/>
          <w:szCs w:val="18"/>
        </w:rPr>
        <w:t xml:space="preserve">juht küll aga antakse </w:t>
      </w:r>
      <w:proofErr w:type="spellStart"/>
      <w:r w:rsidRPr="00923374">
        <w:rPr>
          <w:rFonts w:ascii="Roboto" w:hAnsi="Roboto"/>
          <w:szCs w:val="18"/>
        </w:rPr>
        <w:t>TI-le</w:t>
      </w:r>
      <w:proofErr w:type="spellEnd"/>
      <w:r w:rsidR="00174EF2" w:rsidRPr="00923374">
        <w:rPr>
          <w:rFonts w:ascii="Roboto" w:hAnsi="Roboto"/>
          <w:szCs w:val="18"/>
        </w:rPr>
        <w:t xml:space="preserve"> § 7</w:t>
      </w:r>
      <w:r w:rsidR="00174EF2" w:rsidRPr="00923374">
        <w:rPr>
          <w:rFonts w:ascii="Roboto" w:hAnsi="Roboto"/>
          <w:szCs w:val="18"/>
          <w:vertAlign w:val="superscript"/>
        </w:rPr>
        <w:t>2</w:t>
      </w:r>
      <w:r w:rsidR="00174EF2" w:rsidRPr="00923374">
        <w:rPr>
          <w:rFonts w:ascii="Roboto" w:hAnsi="Roboto"/>
          <w:szCs w:val="18"/>
        </w:rPr>
        <w:t xml:space="preserve"> muudatusega määrata alustavale TVK juhatajale teiste</w:t>
      </w:r>
      <w:r w:rsidR="000C7459" w:rsidRPr="00923374">
        <w:rPr>
          <w:rFonts w:ascii="Roboto" w:hAnsi="Roboto"/>
          <w:szCs w:val="18"/>
        </w:rPr>
        <w:t xml:space="preserve"> </w:t>
      </w:r>
      <w:r w:rsidR="00174EF2" w:rsidRPr="00923374">
        <w:rPr>
          <w:rFonts w:ascii="Roboto" w:hAnsi="Roboto"/>
          <w:szCs w:val="18"/>
        </w:rPr>
        <w:t>töövaidluskomisjoni juhatajate seast mentor ning mentorile pannakse aruandekohustus TI ees ning antakse</w:t>
      </w:r>
      <w:r w:rsidR="000C7459" w:rsidRPr="00923374">
        <w:rPr>
          <w:rFonts w:ascii="Roboto" w:hAnsi="Roboto"/>
          <w:szCs w:val="18"/>
        </w:rPr>
        <w:t xml:space="preserve"> </w:t>
      </w:r>
      <w:r w:rsidR="00174EF2" w:rsidRPr="00923374">
        <w:rPr>
          <w:rFonts w:ascii="Roboto" w:hAnsi="Roboto"/>
          <w:szCs w:val="18"/>
        </w:rPr>
        <w:t xml:space="preserve">omakorda </w:t>
      </w:r>
      <w:proofErr w:type="spellStart"/>
      <w:r w:rsidR="00174EF2" w:rsidRPr="00923374">
        <w:rPr>
          <w:rFonts w:ascii="Roboto" w:hAnsi="Roboto"/>
          <w:szCs w:val="18"/>
        </w:rPr>
        <w:t>TI-le</w:t>
      </w:r>
      <w:proofErr w:type="spellEnd"/>
      <w:r w:rsidR="00174EF2" w:rsidRPr="00923374">
        <w:rPr>
          <w:rFonts w:ascii="Roboto" w:hAnsi="Roboto"/>
          <w:szCs w:val="18"/>
        </w:rPr>
        <w:t xml:space="preserve"> volitus teha valdkonna eest vastutavale ministrile ettepaneku vabastada TVK juhataja ametist</w:t>
      </w:r>
      <w:r w:rsidR="000C7459" w:rsidRPr="00923374">
        <w:rPr>
          <w:rFonts w:ascii="Roboto" w:hAnsi="Roboto"/>
          <w:szCs w:val="18"/>
        </w:rPr>
        <w:t xml:space="preserve"> ATS </w:t>
      </w:r>
      <w:r w:rsidR="00174EF2" w:rsidRPr="00923374">
        <w:rPr>
          <w:rFonts w:ascii="Roboto" w:hAnsi="Roboto"/>
          <w:szCs w:val="18"/>
        </w:rPr>
        <w:t xml:space="preserve">§ 95 alusel ametikoha nõuetele vastamata jätmise tõttu. </w:t>
      </w:r>
    </w:p>
    <w:p w14:paraId="4FB30D27" w14:textId="77777777" w:rsidR="000C7459" w:rsidRPr="00923374" w:rsidRDefault="000C7459" w:rsidP="00174EF2">
      <w:pPr>
        <w:rPr>
          <w:rFonts w:ascii="Roboto" w:hAnsi="Roboto"/>
          <w:szCs w:val="18"/>
        </w:rPr>
      </w:pPr>
    </w:p>
    <w:p w14:paraId="33E4C7D2" w14:textId="7C2FE8B7" w:rsidR="00174EF2" w:rsidRPr="00923374" w:rsidRDefault="000C7459" w:rsidP="00174EF2">
      <w:pPr>
        <w:rPr>
          <w:rFonts w:ascii="Roboto" w:hAnsi="Roboto"/>
          <w:szCs w:val="18"/>
        </w:rPr>
      </w:pPr>
      <w:r w:rsidRPr="00923374">
        <w:rPr>
          <w:rFonts w:ascii="Roboto" w:hAnsi="Roboto"/>
          <w:szCs w:val="18"/>
        </w:rPr>
        <w:t>TI hinnangul võib eelnõu</w:t>
      </w:r>
      <w:r w:rsidR="00174EF2" w:rsidRPr="00923374">
        <w:rPr>
          <w:rFonts w:ascii="Roboto" w:hAnsi="Roboto"/>
          <w:szCs w:val="18"/>
        </w:rPr>
        <w:t xml:space="preserve"> §</w:t>
      </w:r>
      <w:r w:rsidRPr="00923374">
        <w:rPr>
          <w:rFonts w:ascii="Roboto" w:hAnsi="Roboto"/>
          <w:szCs w:val="18"/>
        </w:rPr>
        <w:t xml:space="preserve"> </w:t>
      </w:r>
      <w:r w:rsidR="00174EF2" w:rsidRPr="00923374">
        <w:rPr>
          <w:rFonts w:ascii="Roboto" w:hAnsi="Roboto"/>
          <w:szCs w:val="18"/>
        </w:rPr>
        <w:t>7</w:t>
      </w:r>
      <w:r w:rsidR="00174EF2" w:rsidRPr="00923374">
        <w:rPr>
          <w:rFonts w:ascii="Roboto" w:hAnsi="Roboto"/>
          <w:szCs w:val="18"/>
          <w:vertAlign w:val="superscript"/>
        </w:rPr>
        <w:t xml:space="preserve">2 </w:t>
      </w:r>
      <w:r w:rsidR="00174EF2" w:rsidRPr="00923374">
        <w:rPr>
          <w:rFonts w:ascii="Roboto" w:hAnsi="Roboto"/>
          <w:szCs w:val="18"/>
        </w:rPr>
        <w:t>lg 2 sõnastusest mulje, nagu piisaks ainult mentori kirjalikust hinnangust (ehk siis ühe TVK juhataja</w:t>
      </w:r>
      <w:r w:rsidRPr="00923374">
        <w:rPr>
          <w:rFonts w:ascii="Roboto" w:hAnsi="Roboto"/>
          <w:szCs w:val="18"/>
        </w:rPr>
        <w:t xml:space="preserve"> </w:t>
      </w:r>
      <w:r w:rsidR="00174EF2" w:rsidRPr="00923374">
        <w:rPr>
          <w:rFonts w:ascii="Roboto" w:hAnsi="Roboto"/>
          <w:szCs w:val="18"/>
        </w:rPr>
        <w:t xml:space="preserve">hinnangust), et </w:t>
      </w:r>
      <w:proofErr w:type="spellStart"/>
      <w:r w:rsidR="00174EF2" w:rsidRPr="00923374">
        <w:rPr>
          <w:rFonts w:ascii="Roboto" w:hAnsi="Roboto"/>
          <w:szCs w:val="18"/>
        </w:rPr>
        <w:t>TI-l</w:t>
      </w:r>
      <w:proofErr w:type="spellEnd"/>
      <w:r w:rsidR="00174EF2" w:rsidRPr="00923374">
        <w:rPr>
          <w:rFonts w:ascii="Roboto" w:hAnsi="Roboto"/>
          <w:szCs w:val="18"/>
        </w:rPr>
        <w:t xml:space="preserve"> tekiks võimalus teha ettepanek TVK juhataja mentorlusperioodi lõpus teenistusest </w:t>
      </w:r>
      <w:r w:rsidR="00174EF2" w:rsidRPr="00923374">
        <w:rPr>
          <w:rFonts w:ascii="Roboto" w:hAnsi="Roboto"/>
          <w:szCs w:val="18"/>
        </w:rPr>
        <w:lastRenderedPageBreak/>
        <w:t>vabastada.</w:t>
      </w:r>
      <w:r w:rsidRPr="00923374">
        <w:rPr>
          <w:rFonts w:ascii="Roboto" w:hAnsi="Roboto"/>
          <w:szCs w:val="18"/>
        </w:rPr>
        <w:t xml:space="preserve"> </w:t>
      </w:r>
      <w:r w:rsidR="00174EF2" w:rsidRPr="00923374">
        <w:rPr>
          <w:rFonts w:ascii="Roboto" w:hAnsi="Roboto"/>
          <w:szCs w:val="18"/>
        </w:rPr>
        <w:t>Ka seletuskirjast (lk 5 1. lõik) ei selgu, kas eelnõu koostaja on mõelnudki, et mentorlusperioodi lõpus piisab TVK</w:t>
      </w:r>
      <w:r w:rsidRPr="00923374">
        <w:rPr>
          <w:rFonts w:ascii="Roboto" w:hAnsi="Roboto"/>
          <w:szCs w:val="18"/>
        </w:rPr>
        <w:t xml:space="preserve"> </w:t>
      </w:r>
      <w:r w:rsidR="00174EF2" w:rsidRPr="00923374">
        <w:rPr>
          <w:rFonts w:ascii="Roboto" w:hAnsi="Roboto"/>
          <w:szCs w:val="18"/>
        </w:rPr>
        <w:t xml:space="preserve">juhataja ATS § 95 alusel vabastamiseks </w:t>
      </w:r>
      <w:r w:rsidR="00501D7B" w:rsidRPr="00501D7B">
        <w:rPr>
          <w:rFonts w:ascii="Roboto" w:hAnsi="Roboto"/>
          <w:szCs w:val="18"/>
        </w:rPr>
        <w:t>Majandus- ja Kommunikatsiooniministeeriumi</w:t>
      </w:r>
      <w:r w:rsidR="00501D7B">
        <w:rPr>
          <w:rFonts w:ascii="Roboto" w:hAnsi="Roboto"/>
          <w:szCs w:val="18"/>
        </w:rPr>
        <w:t>le (</w:t>
      </w:r>
      <w:r w:rsidR="00174EF2" w:rsidRPr="00923374">
        <w:rPr>
          <w:rFonts w:ascii="Roboto" w:hAnsi="Roboto"/>
          <w:szCs w:val="18"/>
        </w:rPr>
        <w:t>MKM</w:t>
      </w:r>
      <w:r w:rsidR="00501D7B">
        <w:rPr>
          <w:rFonts w:ascii="Roboto" w:hAnsi="Roboto"/>
          <w:szCs w:val="18"/>
        </w:rPr>
        <w:t xml:space="preserve">) </w:t>
      </w:r>
      <w:r w:rsidR="00174EF2" w:rsidRPr="00923374">
        <w:rPr>
          <w:rFonts w:ascii="Roboto" w:hAnsi="Roboto"/>
          <w:szCs w:val="18"/>
        </w:rPr>
        <w:t>mentori hinnangust ja TI ettepanekust või siiski rakendub lisaks</w:t>
      </w:r>
      <w:r w:rsidRPr="00923374">
        <w:rPr>
          <w:rFonts w:ascii="Roboto" w:hAnsi="Roboto"/>
          <w:szCs w:val="18"/>
        </w:rPr>
        <w:t xml:space="preserve"> </w:t>
      </w:r>
      <w:r w:rsidR="00174EF2" w:rsidRPr="00923374">
        <w:rPr>
          <w:rFonts w:ascii="Roboto" w:hAnsi="Roboto"/>
          <w:szCs w:val="18"/>
        </w:rPr>
        <w:t>ka eelnõu § 7</w:t>
      </w:r>
      <w:r w:rsidR="00174EF2" w:rsidRPr="00923374">
        <w:rPr>
          <w:rFonts w:ascii="Roboto" w:hAnsi="Roboto"/>
          <w:szCs w:val="18"/>
          <w:vertAlign w:val="superscript"/>
        </w:rPr>
        <w:t>4</w:t>
      </w:r>
      <w:r w:rsidRPr="00923374">
        <w:rPr>
          <w:rFonts w:ascii="Roboto" w:hAnsi="Roboto"/>
          <w:szCs w:val="18"/>
          <w:vertAlign w:val="superscript"/>
        </w:rPr>
        <w:t xml:space="preserve"> </w:t>
      </w:r>
      <w:r w:rsidRPr="00923374">
        <w:rPr>
          <w:rFonts w:ascii="Roboto" w:hAnsi="Roboto"/>
          <w:szCs w:val="18"/>
        </w:rPr>
        <w:t>sätestatu.</w:t>
      </w:r>
      <w:r w:rsidR="00501D7B">
        <w:rPr>
          <w:rFonts w:ascii="Roboto" w:hAnsi="Roboto"/>
          <w:szCs w:val="18"/>
        </w:rPr>
        <w:t xml:space="preserve"> </w:t>
      </w:r>
      <w:r w:rsidR="00174EF2" w:rsidRPr="00923374">
        <w:rPr>
          <w:rFonts w:ascii="Roboto" w:hAnsi="Roboto"/>
          <w:szCs w:val="18"/>
        </w:rPr>
        <w:t>Õigusselguse mõttes tuleks seda täpsustada</w:t>
      </w:r>
      <w:r w:rsidRPr="00923374">
        <w:rPr>
          <w:rFonts w:ascii="Roboto" w:hAnsi="Roboto"/>
          <w:szCs w:val="18"/>
        </w:rPr>
        <w:t xml:space="preserve"> ja TI</w:t>
      </w:r>
      <w:r w:rsidR="00174EF2" w:rsidRPr="00923374">
        <w:rPr>
          <w:rFonts w:ascii="Roboto" w:hAnsi="Roboto"/>
          <w:szCs w:val="18"/>
        </w:rPr>
        <w:t xml:space="preserve"> </w:t>
      </w:r>
      <w:r w:rsidRPr="00923374">
        <w:rPr>
          <w:rFonts w:ascii="Roboto" w:hAnsi="Roboto"/>
          <w:szCs w:val="18"/>
        </w:rPr>
        <w:t xml:space="preserve">teeb ettepaneku lisada eelnõu § </w:t>
      </w:r>
      <w:r w:rsidR="00174EF2" w:rsidRPr="00923374">
        <w:rPr>
          <w:rFonts w:ascii="Roboto" w:hAnsi="Roboto"/>
          <w:szCs w:val="18"/>
        </w:rPr>
        <w:t>7</w:t>
      </w:r>
      <w:r w:rsidR="00174EF2" w:rsidRPr="00923374">
        <w:rPr>
          <w:rFonts w:ascii="Roboto" w:hAnsi="Roboto"/>
          <w:szCs w:val="18"/>
          <w:vertAlign w:val="superscript"/>
        </w:rPr>
        <w:t>2</w:t>
      </w:r>
      <w:r w:rsidR="00174EF2" w:rsidRPr="00923374">
        <w:rPr>
          <w:rFonts w:ascii="Roboto" w:hAnsi="Roboto"/>
          <w:szCs w:val="18"/>
        </w:rPr>
        <w:t xml:space="preserve"> lg 2 ka viide § 7</w:t>
      </w:r>
      <w:r w:rsidR="00174EF2" w:rsidRPr="00923374">
        <w:rPr>
          <w:rFonts w:ascii="Roboto" w:hAnsi="Roboto"/>
          <w:szCs w:val="18"/>
          <w:vertAlign w:val="superscript"/>
        </w:rPr>
        <w:t>4</w:t>
      </w:r>
      <w:r w:rsidR="00174EF2" w:rsidRPr="00923374">
        <w:rPr>
          <w:rFonts w:ascii="Roboto" w:hAnsi="Roboto"/>
          <w:szCs w:val="18"/>
        </w:rPr>
        <w:t>-le.</w:t>
      </w:r>
    </w:p>
    <w:p w14:paraId="1E78179B" w14:textId="77777777" w:rsidR="000C7459" w:rsidRPr="00923374" w:rsidRDefault="000C7459" w:rsidP="00174EF2">
      <w:pPr>
        <w:rPr>
          <w:rFonts w:ascii="Roboto" w:hAnsi="Roboto"/>
          <w:szCs w:val="18"/>
        </w:rPr>
      </w:pPr>
    </w:p>
    <w:p w14:paraId="42AB7927" w14:textId="23F6BAF9" w:rsidR="00174EF2" w:rsidRPr="00923374" w:rsidRDefault="000C7459" w:rsidP="00174EF2">
      <w:pPr>
        <w:rPr>
          <w:rFonts w:ascii="Roboto" w:hAnsi="Roboto"/>
          <w:szCs w:val="18"/>
        </w:rPr>
      </w:pPr>
      <w:r w:rsidRPr="00923374">
        <w:rPr>
          <w:rFonts w:ascii="Roboto" w:hAnsi="Roboto"/>
          <w:szCs w:val="18"/>
        </w:rPr>
        <w:t xml:space="preserve">Kehtiv </w:t>
      </w:r>
      <w:proofErr w:type="spellStart"/>
      <w:r w:rsidR="00174EF2" w:rsidRPr="00923374">
        <w:rPr>
          <w:rFonts w:ascii="Roboto" w:hAnsi="Roboto"/>
          <w:szCs w:val="18"/>
        </w:rPr>
        <w:t>TvLS</w:t>
      </w:r>
      <w:proofErr w:type="spellEnd"/>
      <w:r w:rsidR="00174EF2" w:rsidRPr="00923374">
        <w:rPr>
          <w:rFonts w:ascii="Roboto" w:hAnsi="Roboto"/>
          <w:szCs w:val="18"/>
        </w:rPr>
        <w:t xml:space="preserve"> § 7 lg 7 nimetab </w:t>
      </w:r>
      <w:proofErr w:type="spellStart"/>
      <w:r w:rsidR="00174EF2" w:rsidRPr="00923374">
        <w:rPr>
          <w:rFonts w:ascii="Roboto" w:hAnsi="Roboto"/>
          <w:szCs w:val="18"/>
        </w:rPr>
        <w:t>ATS-i</w:t>
      </w:r>
      <w:proofErr w:type="spellEnd"/>
      <w:r w:rsidR="00174EF2" w:rsidRPr="00923374">
        <w:rPr>
          <w:rFonts w:ascii="Roboto" w:hAnsi="Roboto"/>
          <w:szCs w:val="18"/>
        </w:rPr>
        <w:t xml:space="preserve"> sätted, milliseid töövaidluskomisjoni juhatajale ei kohaldata ning eeltoodust tuleneb,</w:t>
      </w:r>
      <w:r w:rsidRPr="00923374">
        <w:rPr>
          <w:rFonts w:ascii="Roboto" w:hAnsi="Roboto"/>
          <w:szCs w:val="18"/>
        </w:rPr>
        <w:t xml:space="preserve"> </w:t>
      </w:r>
      <w:r w:rsidR="00174EF2" w:rsidRPr="00923374">
        <w:rPr>
          <w:rFonts w:ascii="Roboto" w:hAnsi="Roboto"/>
          <w:szCs w:val="18"/>
        </w:rPr>
        <w:t>et TVK juhatajatele kohaldub ATS § 31, mis näeb ette ametiasutuse kohustuse rakendada abinõusid ametniku</w:t>
      </w:r>
      <w:r w:rsidRPr="00923374">
        <w:rPr>
          <w:rFonts w:ascii="Roboto" w:hAnsi="Roboto"/>
          <w:szCs w:val="18"/>
        </w:rPr>
        <w:t xml:space="preserve"> </w:t>
      </w:r>
      <w:r w:rsidR="00174EF2" w:rsidRPr="00923374">
        <w:rPr>
          <w:rFonts w:ascii="Roboto" w:hAnsi="Roboto"/>
          <w:szCs w:val="18"/>
        </w:rPr>
        <w:t>ametialaste teadmiste ja oskuste arendamiseks kuid tähelepanu väärib see, et ATS § 31 eesmärk on sätestada</w:t>
      </w:r>
      <w:r w:rsidRPr="00923374">
        <w:rPr>
          <w:rFonts w:ascii="Roboto" w:hAnsi="Roboto"/>
          <w:szCs w:val="18"/>
        </w:rPr>
        <w:t xml:space="preserve"> </w:t>
      </w:r>
      <w:r w:rsidR="00174EF2" w:rsidRPr="00923374">
        <w:rPr>
          <w:rFonts w:ascii="Roboto" w:hAnsi="Roboto"/>
          <w:szCs w:val="18"/>
        </w:rPr>
        <w:t>põhimõtted, kuidas toimub koolitus ja koolituskulude hüvitamine. Samas ATS § 31 lg 3 kohaselt otsustab</w:t>
      </w:r>
    </w:p>
    <w:p w14:paraId="4753A4C2" w14:textId="09F8866F" w:rsidR="00174EF2" w:rsidRPr="00923374" w:rsidRDefault="00174EF2" w:rsidP="00174EF2">
      <w:pPr>
        <w:rPr>
          <w:rFonts w:ascii="Roboto" w:hAnsi="Roboto"/>
          <w:szCs w:val="18"/>
        </w:rPr>
      </w:pPr>
      <w:r w:rsidRPr="00923374">
        <w:rPr>
          <w:rFonts w:ascii="Roboto" w:hAnsi="Roboto"/>
          <w:szCs w:val="18"/>
        </w:rPr>
        <w:t xml:space="preserve">ametniku koolitusel osalemise vajaduse vahetu juht või kõrgemalseisev juht. </w:t>
      </w:r>
      <w:proofErr w:type="spellStart"/>
      <w:r w:rsidR="000C7459" w:rsidRPr="00923374">
        <w:rPr>
          <w:rFonts w:ascii="Roboto" w:hAnsi="Roboto"/>
          <w:szCs w:val="18"/>
        </w:rPr>
        <w:t>TI-l</w:t>
      </w:r>
      <w:proofErr w:type="spellEnd"/>
      <w:r w:rsidR="000C7459" w:rsidRPr="00923374">
        <w:rPr>
          <w:rFonts w:ascii="Roboto" w:hAnsi="Roboto"/>
          <w:szCs w:val="18"/>
        </w:rPr>
        <w:t xml:space="preserve"> ei ole vastuväiteid, et</w:t>
      </w:r>
      <w:r w:rsidRPr="00923374">
        <w:rPr>
          <w:rFonts w:ascii="Roboto" w:hAnsi="Roboto"/>
          <w:szCs w:val="18"/>
        </w:rPr>
        <w:t xml:space="preserve"> seaduse</w:t>
      </w:r>
    </w:p>
    <w:p w14:paraId="6EE48D47" w14:textId="77777777" w:rsidR="00174EF2" w:rsidRPr="00923374" w:rsidRDefault="00174EF2" w:rsidP="00174EF2">
      <w:pPr>
        <w:rPr>
          <w:rFonts w:ascii="Roboto" w:hAnsi="Roboto"/>
          <w:szCs w:val="18"/>
        </w:rPr>
      </w:pPr>
      <w:r w:rsidRPr="00923374">
        <w:rPr>
          <w:rFonts w:ascii="Roboto" w:hAnsi="Roboto"/>
          <w:szCs w:val="18"/>
        </w:rPr>
        <w:t xml:space="preserve">tasandil volitada </w:t>
      </w:r>
      <w:proofErr w:type="spellStart"/>
      <w:r w:rsidRPr="00923374">
        <w:rPr>
          <w:rFonts w:ascii="Roboto" w:hAnsi="Roboto"/>
          <w:szCs w:val="18"/>
        </w:rPr>
        <w:t>TI-d</w:t>
      </w:r>
      <w:proofErr w:type="spellEnd"/>
      <w:r w:rsidRPr="00923374">
        <w:rPr>
          <w:rFonts w:ascii="Roboto" w:hAnsi="Roboto"/>
          <w:szCs w:val="18"/>
        </w:rPr>
        <w:t xml:space="preserve"> läbi viima koostöövestlusi TVK juhatajatega kuid arvestades ATS § 31 lg 3 sätestatut, tuleks</w:t>
      </w:r>
    </w:p>
    <w:p w14:paraId="1A9FE8B4" w14:textId="77777777" w:rsidR="000C7459" w:rsidRPr="00923374" w:rsidRDefault="00174EF2" w:rsidP="00174EF2">
      <w:pPr>
        <w:rPr>
          <w:rFonts w:ascii="Roboto" w:hAnsi="Roboto"/>
          <w:szCs w:val="18"/>
        </w:rPr>
      </w:pPr>
      <w:r w:rsidRPr="00923374">
        <w:rPr>
          <w:rFonts w:ascii="Roboto" w:hAnsi="Roboto"/>
          <w:szCs w:val="18"/>
        </w:rPr>
        <w:t xml:space="preserve">selgelt välja öelda, et muudatusega kavandatav </w:t>
      </w:r>
      <w:proofErr w:type="spellStart"/>
      <w:r w:rsidRPr="00923374">
        <w:rPr>
          <w:rFonts w:ascii="Roboto" w:hAnsi="Roboto"/>
          <w:szCs w:val="18"/>
        </w:rPr>
        <w:t>TvLS</w:t>
      </w:r>
      <w:proofErr w:type="spellEnd"/>
      <w:r w:rsidRPr="00923374">
        <w:rPr>
          <w:rFonts w:ascii="Roboto" w:hAnsi="Roboto"/>
          <w:szCs w:val="18"/>
        </w:rPr>
        <w:t xml:space="preserve"> § 7</w:t>
      </w:r>
      <w:r w:rsidRPr="00923374">
        <w:rPr>
          <w:rFonts w:ascii="Roboto" w:hAnsi="Roboto"/>
          <w:szCs w:val="18"/>
          <w:vertAlign w:val="superscript"/>
        </w:rPr>
        <w:t>3</w:t>
      </w:r>
      <w:r w:rsidRPr="00923374">
        <w:rPr>
          <w:rFonts w:ascii="Roboto" w:hAnsi="Roboto"/>
          <w:szCs w:val="18"/>
        </w:rPr>
        <w:t xml:space="preserve"> on ATS § 31 lg 3 suhtes erinorm.</w:t>
      </w:r>
    </w:p>
    <w:p w14:paraId="2287EED6" w14:textId="77777777" w:rsidR="000C7459" w:rsidRPr="00923374" w:rsidRDefault="000C7459" w:rsidP="00174EF2">
      <w:pPr>
        <w:rPr>
          <w:rFonts w:ascii="Roboto" w:hAnsi="Roboto"/>
          <w:szCs w:val="18"/>
        </w:rPr>
      </w:pPr>
    </w:p>
    <w:p w14:paraId="5E29DB2A" w14:textId="473D18B5" w:rsidR="000C7459" w:rsidRPr="00923374" w:rsidRDefault="000C7459" w:rsidP="00174EF2">
      <w:pPr>
        <w:rPr>
          <w:rFonts w:ascii="Roboto" w:hAnsi="Roboto"/>
          <w:szCs w:val="18"/>
        </w:rPr>
      </w:pPr>
      <w:r w:rsidRPr="00923374">
        <w:rPr>
          <w:rFonts w:ascii="Roboto" w:hAnsi="Roboto"/>
          <w:szCs w:val="18"/>
        </w:rPr>
        <w:t xml:space="preserve">Samas juhime tähelepanu, et </w:t>
      </w:r>
      <w:r w:rsidR="00174EF2" w:rsidRPr="00923374">
        <w:rPr>
          <w:rFonts w:ascii="Roboto" w:hAnsi="Roboto"/>
          <w:szCs w:val="18"/>
        </w:rPr>
        <w:t xml:space="preserve"> </w:t>
      </w:r>
      <w:proofErr w:type="spellStart"/>
      <w:r w:rsidR="00174EF2" w:rsidRPr="00923374">
        <w:rPr>
          <w:rFonts w:ascii="Roboto" w:hAnsi="Roboto"/>
          <w:szCs w:val="18"/>
        </w:rPr>
        <w:t>TvLS</w:t>
      </w:r>
      <w:proofErr w:type="spellEnd"/>
      <w:r w:rsidR="00174EF2" w:rsidRPr="00923374">
        <w:rPr>
          <w:rFonts w:ascii="Roboto" w:hAnsi="Roboto"/>
          <w:szCs w:val="18"/>
        </w:rPr>
        <w:t xml:space="preserve"> § 7</w:t>
      </w:r>
      <w:r w:rsidR="00174EF2" w:rsidRPr="00923374">
        <w:rPr>
          <w:rFonts w:ascii="Roboto" w:hAnsi="Roboto"/>
          <w:szCs w:val="18"/>
          <w:vertAlign w:val="superscript"/>
        </w:rPr>
        <w:t>3</w:t>
      </w:r>
      <w:r w:rsidR="00174EF2" w:rsidRPr="00923374">
        <w:rPr>
          <w:rFonts w:ascii="Roboto" w:hAnsi="Roboto"/>
          <w:szCs w:val="18"/>
        </w:rPr>
        <w:t xml:space="preserve"> </w:t>
      </w:r>
      <w:proofErr w:type="spellStart"/>
      <w:r w:rsidR="00174EF2" w:rsidRPr="00923374">
        <w:rPr>
          <w:rFonts w:ascii="Roboto" w:hAnsi="Roboto"/>
          <w:szCs w:val="18"/>
        </w:rPr>
        <w:t>lg-s</w:t>
      </w:r>
      <w:proofErr w:type="spellEnd"/>
      <w:r w:rsidR="00174EF2" w:rsidRPr="00923374">
        <w:rPr>
          <w:rFonts w:ascii="Roboto" w:hAnsi="Roboto"/>
          <w:szCs w:val="18"/>
        </w:rPr>
        <w:t xml:space="preserve"> 2</w:t>
      </w:r>
      <w:r w:rsidRPr="00923374">
        <w:rPr>
          <w:rFonts w:ascii="Roboto" w:hAnsi="Roboto"/>
          <w:szCs w:val="18"/>
        </w:rPr>
        <w:t xml:space="preserve"> </w:t>
      </w:r>
      <w:r w:rsidR="00174EF2" w:rsidRPr="00923374">
        <w:rPr>
          <w:rFonts w:ascii="Roboto" w:hAnsi="Roboto"/>
          <w:szCs w:val="18"/>
        </w:rPr>
        <w:t xml:space="preserve">nimetatud koolituste läbiviimiseks ei ole käesoleval ajal TI eelarves </w:t>
      </w:r>
      <w:r w:rsidRPr="00923374">
        <w:rPr>
          <w:rFonts w:ascii="Roboto" w:hAnsi="Roboto"/>
          <w:szCs w:val="18"/>
        </w:rPr>
        <w:t xml:space="preserve">TVK juhatajate koolitamiseks </w:t>
      </w:r>
      <w:r w:rsidR="00174EF2" w:rsidRPr="00923374">
        <w:rPr>
          <w:rFonts w:ascii="Roboto" w:hAnsi="Roboto"/>
          <w:szCs w:val="18"/>
        </w:rPr>
        <w:t>ette nähtud vahendeid</w:t>
      </w:r>
      <w:r w:rsidRPr="00923374">
        <w:rPr>
          <w:rFonts w:ascii="Roboto" w:hAnsi="Roboto"/>
          <w:szCs w:val="18"/>
        </w:rPr>
        <w:t xml:space="preserve">. Kehtiv </w:t>
      </w:r>
      <w:proofErr w:type="spellStart"/>
      <w:r w:rsidRPr="00923374">
        <w:rPr>
          <w:rFonts w:ascii="Roboto" w:hAnsi="Roboto"/>
          <w:szCs w:val="18"/>
        </w:rPr>
        <w:t>TvLS</w:t>
      </w:r>
      <w:proofErr w:type="spellEnd"/>
      <w:r w:rsidRPr="00923374">
        <w:rPr>
          <w:rFonts w:ascii="Roboto" w:hAnsi="Roboto"/>
          <w:szCs w:val="18"/>
        </w:rPr>
        <w:t xml:space="preserve"> ei näe selgelt ette TI kohustust korraldada TVK juhatajatele erialaseid  koolitusi. Arvestades, et tegemist on käesoleval ajal nö „halli alaga“, st koolitamise kohustus on seaduse tasandil reguleerimata aga vajadus on siiski olemas, siis TI on TI teenistujatele koolituskuludeks ettenähtud vahendite arvelt püüdnud seda lünka jõudumööda täita, kuid edaspidi selline lähenemine ei ole jätkusuutlik, õiglane ega ka õige. Õigusalased TVK juhatajatele vajaliku </w:t>
      </w:r>
      <w:r w:rsidR="00174EF2" w:rsidRPr="00923374">
        <w:rPr>
          <w:rFonts w:ascii="Roboto" w:hAnsi="Roboto"/>
          <w:szCs w:val="18"/>
        </w:rPr>
        <w:t>koolitused on</w:t>
      </w:r>
      <w:r w:rsidRPr="00923374">
        <w:rPr>
          <w:rFonts w:ascii="Roboto" w:hAnsi="Roboto"/>
          <w:szCs w:val="18"/>
        </w:rPr>
        <w:t xml:space="preserve"> </w:t>
      </w:r>
      <w:r w:rsidR="00174EF2" w:rsidRPr="00923374">
        <w:rPr>
          <w:rFonts w:ascii="Roboto" w:hAnsi="Roboto"/>
          <w:szCs w:val="18"/>
        </w:rPr>
        <w:t>väga spetsiifilised, pea</w:t>
      </w:r>
      <w:r w:rsidRPr="00923374">
        <w:rPr>
          <w:rFonts w:ascii="Roboto" w:hAnsi="Roboto"/>
          <w:szCs w:val="18"/>
        </w:rPr>
        <w:t>vad</w:t>
      </w:r>
      <w:r w:rsidR="00174EF2" w:rsidRPr="00923374">
        <w:rPr>
          <w:rFonts w:ascii="Roboto" w:hAnsi="Roboto"/>
          <w:szCs w:val="18"/>
        </w:rPr>
        <w:t xml:space="preserve"> olema sama kõrgel tasemel kui töövaidlusi lahendatavatel kohtunikel ning seetõttu on</w:t>
      </w:r>
      <w:r w:rsidRPr="00923374">
        <w:rPr>
          <w:rFonts w:ascii="Roboto" w:hAnsi="Roboto"/>
          <w:szCs w:val="18"/>
        </w:rPr>
        <w:t xml:space="preserve"> </w:t>
      </w:r>
      <w:r w:rsidR="00174EF2" w:rsidRPr="00923374">
        <w:rPr>
          <w:rFonts w:ascii="Roboto" w:hAnsi="Roboto"/>
          <w:szCs w:val="18"/>
        </w:rPr>
        <w:t xml:space="preserve">need ka väga kallid. </w:t>
      </w:r>
    </w:p>
    <w:p w14:paraId="02ABC2CC" w14:textId="77777777" w:rsidR="00137794" w:rsidRPr="00923374" w:rsidRDefault="00137794" w:rsidP="00174EF2">
      <w:pPr>
        <w:rPr>
          <w:rFonts w:ascii="Roboto" w:hAnsi="Roboto"/>
          <w:szCs w:val="18"/>
        </w:rPr>
      </w:pPr>
    </w:p>
    <w:p w14:paraId="08A1ECE4" w14:textId="77777777" w:rsidR="00137794" w:rsidRPr="00923374" w:rsidRDefault="00137794" w:rsidP="00137794">
      <w:pPr>
        <w:rPr>
          <w:rFonts w:ascii="Roboto" w:hAnsi="Roboto"/>
          <w:szCs w:val="18"/>
        </w:rPr>
      </w:pPr>
      <w:r w:rsidRPr="00923374">
        <w:rPr>
          <w:rFonts w:ascii="Roboto" w:hAnsi="Roboto"/>
          <w:szCs w:val="18"/>
        </w:rPr>
        <w:t xml:space="preserve">Eelnõuga kavandatud TVK juhatajate </w:t>
      </w:r>
      <w:r w:rsidR="00174EF2" w:rsidRPr="00923374">
        <w:rPr>
          <w:rFonts w:ascii="Roboto" w:hAnsi="Roboto"/>
          <w:szCs w:val="18"/>
        </w:rPr>
        <w:t xml:space="preserve">koolituse läbiviimiseks on vajalik eraldada </w:t>
      </w:r>
      <w:proofErr w:type="spellStart"/>
      <w:r w:rsidR="00174EF2" w:rsidRPr="00923374">
        <w:rPr>
          <w:rFonts w:ascii="Roboto" w:hAnsi="Roboto"/>
          <w:szCs w:val="18"/>
        </w:rPr>
        <w:t>MKM-l</w:t>
      </w:r>
      <w:proofErr w:type="spellEnd"/>
      <w:r w:rsidR="00174EF2" w:rsidRPr="00923374">
        <w:rPr>
          <w:rFonts w:ascii="Roboto" w:hAnsi="Roboto"/>
          <w:szCs w:val="18"/>
        </w:rPr>
        <w:t xml:space="preserve"> täiendavad vahendid TI</w:t>
      </w:r>
      <w:r w:rsidRPr="00923374">
        <w:rPr>
          <w:rFonts w:ascii="Roboto" w:hAnsi="Roboto"/>
          <w:szCs w:val="18"/>
        </w:rPr>
        <w:t xml:space="preserve"> </w:t>
      </w:r>
      <w:r w:rsidR="00174EF2" w:rsidRPr="00923374">
        <w:rPr>
          <w:rFonts w:ascii="Roboto" w:hAnsi="Roboto"/>
          <w:szCs w:val="18"/>
        </w:rPr>
        <w:t xml:space="preserve">eelarvesse. </w:t>
      </w:r>
      <w:r w:rsidRPr="00923374">
        <w:rPr>
          <w:rFonts w:ascii="Roboto" w:hAnsi="Roboto"/>
          <w:szCs w:val="18"/>
        </w:rPr>
        <w:t>Arvestades</w:t>
      </w:r>
      <w:r w:rsidRPr="00923374">
        <w:rPr>
          <w:rFonts w:ascii="Roboto" w:hAnsi="Roboto"/>
          <w:szCs w:val="18"/>
        </w:rPr>
        <w:t xml:space="preserve"> </w:t>
      </w:r>
      <w:r w:rsidRPr="00923374">
        <w:rPr>
          <w:rFonts w:ascii="Roboto" w:hAnsi="Roboto"/>
          <w:szCs w:val="18"/>
        </w:rPr>
        <w:t>aastas keskmiselt kahe uue TVK juhataja väljaõpet</w:t>
      </w:r>
      <w:r w:rsidRPr="00923374">
        <w:rPr>
          <w:rFonts w:ascii="Roboto" w:hAnsi="Roboto"/>
          <w:szCs w:val="18"/>
        </w:rPr>
        <w:t xml:space="preserve"> (2025-2026 on toimunud 3 TVK juhataja värbamiskonkurssi ning arvestama peab ka asjaoluga, et TVK juhatajad võivad ka ajutiselt teenistusest pikemalt puududa  näiteks vanemapuhkuse kasutamise ajal ning tekib vajadus tähtajaliselt värvata TVK juhataja)</w:t>
      </w:r>
      <w:r w:rsidRPr="00923374">
        <w:rPr>
          <w:rFonts w:ascii="Roboto" w:hAnsi="Roboto"/>
          <w:szCs w:val="18"/>
        </w:rPr>
        <w:t>, võib mentoritele makstava tasu (kuni 12 kuud) kujuneda</w:t>
      </w:r>
      <w:r w:rsidRPr="00923374">
        <w:rPr>
          <w:rFonts w:ascii="Roboto" w:hAnsi="Roboto"/>
          <w:szCs w:val="18"/>
        </w:rPr>
        <w:t xml:space="preserve"> </w:t>
      </w:r>
      <w:r w:rsidRPr="00923374">
        <w:rPr>
          <w:rFonts w:ascii="Roboto" w:hAnsi="Roboto"/>
          <w:szCs w:val="18"/>
        </w:rPr>
        <w:t>aastas üle 6000 euro.</w:t>
      </w:r>
      <w:r w:rsidRPr="00923374">
        <w:rPr>
          <w:rFonts w:ascii="Roboto" w:hAnsi="Roboto"/>
          <w:szCs w:val="18"/>
        </w:rPr>
        <w:t xml:space="preserve"> Ühtlasi on oluline silmas pidada, et </w:t>
      </w:r>
      <w:r w:rsidRPr="00923374">
        <w:rPr>
          <w:rFonts w:ascii="Roboto" w:hAnsi="Roboto"/>
          <w:szCs w:val="18"/>
        </w:rPr>
        <w:t xml:space="preserve"> </w:t>
      </w:r>
      <w:r w:rsidRPr="00923374">
        <w:rPr>
          <w:rFonts w:ascii="Roboto" w:hAnsi="Roboto"/>
          <w:szCs w:val="18"/>
        </w:rPr>
        <w:t>m</w:t>
      </w:r>
      <w:r w:rsidRPr="00923374">
        <w:rPr>
          <w:rFonts w:ascii="Roboto" w:hAnsi="Roboto"/>
          <w:szCs w:val="18"/>
        </w:rPr>
        <w:t>entoritasu sidumine 5 % ametipalga</w:t>
      </w:r>
      <w:r w:rsidRPr="00923374">
        <w:rPr>
          <w:rFonts w:ascii="Roboto" w:hAnsi="Roboto"/>
          <w:szCs w:val="18"/>
        </w:rPr>
        <w:t>ga</w:t>
      </w:r>
      <w:r w:rsidRPr="00923374">
        <w:rPr>
          <w:rFonts w:ascii="Roboto" w:hAnsi="Roboto"/>
          <w:szCs w:val="18"/>
        </w:rPr>
        <w:t xml:space="preserve"> tähendab ka mentoritasu kasvu</w:t>
      </w:r>
      <w:r w:rsidRPr="00923374">
        <w:rPr>
          <w:rFonts w:ascii="Roboto" w:hAnsi="Roboto"/>
          <w:szCs w:val="18"/>
        </w:rPr>
        <w:t xml:space="preserve"> </w:t>
      </w:r>
      <w:r w:rsidRPr="00923374">
        <w:rPr>
          <w:rFonts w:ascii="Roboto" w:hAnsi="Roboto"/>
          <w:szCs w:val="18"/>
        </w:rPr>
        <w:t xml:space="preserve">proportsionaalselt ametipalga iga-aastase kasvuga. </w:t>
      </w:r>
    </w:p>
    <w:p w14:paraId="6CDB67D7" w14:textId="77777777" w:rsidR="00137794" w:rsidRPr="00923374" w:rsidRDefault="00137794" w:rsidP="00137794">
      <w:pPr>
        <w:rPr>
          <w:rFonts w:ascii="Roboto" w:hAnsi="Roboto"/>
          <w:szCs w:val="18"/>
        </w:rPr>
      </w:pPr>
      <w:r w:rsidRPr="00923374">
        <w:rPr>
          <w:rFonts w:ascii="Roboto" w:hAnsi="Roboto"/>
          <w:szCs w:val="18"/>
        </w:rPr>
        <w:t xml:space="preserve">Eelnõus </w:t>
      </w:r>
      <w:r w:rsidRPr="00923374">
        <w:rPr>
          <w:rFonts w:ascii="Roboto" w:hAnsi="Roboto"/>
          <w:szCs w:val="18"/>
        </w:rPr>
        <w:t>on ette nähtud, et TVK juhatajatele tuleb</w:t>
      </w:r>
      <w:r w:rsidRPr="00923374">
        <w:rPr>
          <w:rFonts w:ascii="Roboto" w:hAnsi="Roboto"/>
          <w:szCs w:val="18"/>
        </w:rPr>
        <w:t xml:space="preserve"> </w:t>
      </w:r>
      <w:r w:rsidRPr="00923374">
        <w:rPr>
          <w:rFonts w:ascii="Roboto" w:hAnsi="Roboto"/>
          <w:szCs w:val="18"/>
        </w:rPr>
        <w:t>koostada koolituskava, millega määratakse kohustuslike koolituste maht aastas. Arvestades vajalike koolituste</w:t>
      </w:r>
      <w:r w:rsidRPr="00923374">
        <w:rPr>
          <w:rFonts w:ascii="Roboto" w:hAnsi="Roboto"/>
          <w:szCs w:val="18"/>
        </w:rPr>
        <w:t xml:space="preserve"> </w:t>
      </w:r>
      <w:r w:rsidRPr="00923374">
        <w:rPr>
          <w:rFonts w:ascii="Roboto" w:hAnsi="Roboto"/>
          <w:szCs w:val="18"/>
        </w:rPr>
        <w:t>maksumuseks ca 3000 eurot aastas ühele TVK juhatajale, võib koolitustele kuluda kokku kuni 24 000 eurot</w:t>
      </w:r>
      <w:r w:rsidRPr="00923374">
        <w:rPr>
          <w:rFonts w:ascii="Roboto" w:hAnsi="Roboto"/>
          <w:szCs w:val="18"/>
        </w:rPr>
        <w:t xml:space="preserve"> </w:t>
      </w:r>
      <w:r w:rsidRPr="00923374">
        <w:rPr>
          <w:rFonts w:ascii="Roboto" w:hAnsi="Roboto"/>
          <w:szCs w:val="18"/>
        </w:rPr>
        <w:t>aastas. Seega võib</w:t>
      </w:r>
      <w:r w:rsidRPr="00923374">
        <w:rPr>
          <w:rFonts w:ascii="Roboto" w:hAnsi="Roboto"/>
          <w:szCs w:val="18"/>
        </w:rPr>
        <w:t xml:space="preserve"> lisanduv TVK juhatajate koolitus</w:t>
      </w:r>
      <w:r w:rsidRPr="00923374">
        <w:rPr>
          <w:rFonts w:ascii="Roboto" w:hAnsi="Roboto"/>
          <w:szCs w:val="18"/>
        </w:rPr>
        <w:t xml:space="preserve">kohustuste täitmine tuua </w:t>
      </w:r>
      <w:proofErr w:type="spellStart"/>
      <w:r w:rsidRPr="00923374">
        <w:rPr>
          <w:rFonts w:ascii="Roboto" w:hAnsi="Roboto"/>
          <w:szCs w:val="18"/>
        </w:rPr>
        <w:t>TI-le</w:t>
      </w:r>
      <w:proofErr w:type="spellEnd"/>
      <w:r w:rsidRPr="00923374">
        <w:rPr>
          <w:rFonts w:ascii="Roboto" w:hAnsi="Roboto"/>
          <w:szCs w:val="18"/>
        </w:rPr>
        <w:t xml:space="preserve"> täiendavaid kulusid ca 30</w:t>
      </w:r>
      <w:r w:rsidRPr="00923374">
        <w:rPr>
          <w:rFonts w:ascii="Roboto" w:hAnsi="Roboto"/>
          <w:szCs w:val="18"/>
        </w:rPr>
        <w:t> </w:t>
      </w:r>
      <w:r w:rsidRPr="00923374">
        <w:rPr>
          <w:rFonts w:ascii="Roboto" w:hAnsi="Roboto"/>
          <w:szCs w:val="18"/>
        </w:rPr>
        <w:t>000</w:t>
      </w:r>
      <w:r w:rsidRPr="00923374">
        <w:rPr>
          <w:rFonts w:ascii="Roboto" w:hAnsi="Roboto"/>
          <w:szCs w:val="18"/>
        </w:rPr>
        <w:t xml:space="preserve"> </w:t>
      </w:r>
      <w:r w:rsidRPr="00923374">
        <w:rPr>
          <w:rFonts w:ascii="Roboto" w:hAnsi="Roboto"/>
          <w:szCs w:val="18"/>
        </w:rPr>
        <w:t>eurot/aastas.</w:t>
      </w:r>
      <w:r w:rsidRPr="00923374">
        <w:rPr>
          <w:rFonts w:ascii="Roboto" w:hAnsi="Roboto"/>
          <w:szCs w:val="18"/>
        </w:rPr>
        <w:t xml:space="preserve"> Sellist raha TI eelarves praegu ette nähtud pole. K</w:t>
      </w:r>
      <w:r w:rsidRPr="00923374">
        <w:rPr>
          <w:rFonts w:ascii="Roboto" w:hAnsi="Roboto"/>
          <w:szCs w:val="18"/>
        </w:rPr>
        <w:t xml:space="preserve">oolituste rahastamiseks ei saa seaduse seletuskirjas viidata </w:t>
      </w:r>
      <w:proofErr w:type="spellStart"/>
      <w:r w:rsidRPr="00923374">
        <w:rPr>
          <w:rFonts w:ascii="Roboto" w:hAnsi="Roboto"/>
          <w:szCs w:val="18"/>
        </w:rPr>
        <w:t>välisvahenditele</w:t>
      </w:r>
      <w:proofErr w:type="spellEnd"/>
      <w:r w:rsidRPr="00923374">
        <w:rPr>
          <w:rFonts w:ascii="Roboto" w:hAnsi="Roboto"/>
          <w:szCs w:val="18"/>
        </w:rPr>
        <w:t>, sest kui</w:t>
      </w:r>
      <w:r w:rsidRPr="00923374">
        <w:rPr>
          <w:rFonts w:ascii="Roboto" w:hAnsi="Roboto"/>
          <w:szCs w:val="18"/>
        </w:rPr>
        <w:t xml:space="preserve"> </w:t>
      </w:r>
      <w:r w:rsidRPr="00923374">
        <w:rPr>
          <w:rFonts w:ascii="Roboto" w:hAnsi="Roboto"/>
          <w:szCs w:val="18"/>
        </w:rPr>
        <w:t xml:space="preserve">seadusandja näeb ette mingi püsiva kohustuse, siis ei saa jääda lootma </w:t>
      </w:r>
      <w:proofErr w:type="spellStart"/>
      <w:r w:rsidRPr="00923374">
        <w:rPr>
          <w:rFonts w:ascii="Roboto" w:hAnsi="Roboto"/>
          <w:szCs w:val="18"/>
        </w:rPr>
        <w:t>välisrahastuse</w:t>
      </w:r>
      <w:proofErr w:type="spellEnd"/>
      <w:r w:rsidRPr="00923374">
        <w:rPr>
          <w:rFonts w:ascii="Roboto" w:hAnsi="Roboto"/>
          <w:szCs w:val="18"/>
        </w:rPr>
        <w:t xml:space="preserve"> programmidele, mis on</w:t>
      </w:r>
      <w:r w:rsidRPr="00923374">
        <w:rPr>
          <w:rFonts w:ascii="Roboto" w:hAnsi="Roboto"/>
          <w:szCs w:val="18"/>
        </w:rPr>
        <w:t xml:space="preserve"> </w:t>
      </w:r>
      <w:r w:rsidRPr="00923374">
        <w:rPr>
          <w:rFonts w:ascii="Roboto" w:hAnsi="Roboto"/>
          <w:szCs w:val="18"/>
        </w:rPr>
        <w:t>oma loomult juhuslikku laadi ning kindlale sihtgrupile ja suunitlusega.</w:t>
      </w:r>
      <w:r w:rsidRPr="00923374">
        <w:rPr>
          <w:rFonts w:ascii="Roboto" w:hAnsi="Roboto"/>
          <w:szCs w:val="18"/>
        </w:rPr>
        <w:t xml:space="preserve"> </w:t>
      </w:r>
    </w:p>
    <w:p w14:paraId="7ADD599F" w14:textId="77777777" w:rsidR="00137794" w:rsidRPr="00923374" w:rsidRDefault="00137794" w:rsidP="00137794">
      <w:pPr>
        <w:rPr>
          <w:rFonts w:ascii="Roboto" w:hAnsi="Roboto"/>
          <w:szCs w:val="18"/>
        </w:rPr>
      </w:pPr>
    </w:p>
    <w:p w14:paraId="0A804ADE" w14:textId="17AB0557" w:rsidR="00137794" w:rsidRPr="00923374" w:rsidRDefault="00137794" w:rsidP="00137794">
      <w:pPr>
        <w:rPr>
          <w:rFonts w:ascii="Roboto" w:hAnsi="Roboto"/>
          <w:szCs w:val="18"/>
        </w:rPr>
      </w:pPr>
      <w:r w:rsidRPr="00923374">
        <w:rPr>
          <w:rFonts w:ascii="Roboto" w:hAnsi="Roboto"/>
          <w:szCs w:val="18"/>
        </w:rPr>
        <w:t>TI ei nõustu s</w:t>
      </w:r>
      <w:r w:rsidRPr="00923374">
        <w:rPr>
          <w:rFonts w:ascii="Roboto" w:hAnsi="Roboto"/>
          <w:szCs w:val="18"/>
        </w:rPr>
        <w:t xml:space="preserve">eletuskirja p 7 on </w:t>
      </w:r>
      <w:r w:rsidRPr="00923374">
        <w:rPr>
          <w:rFonts w:ascii="Roboto" w:hAnsi="Roboto"/>
          <w:szCs w:val="18"/>
        </w:rPr>
        <w:t>märgituga, et „s</w:t>
      </w:r>
      <w:r w:rsidRPr="00923374">
        <w:rPr>
          <w:rFonts w:ascii="Roboto" w:hAnsi="Roboto"/>
          <w:szCs w:val="18"/>
        </w:rPr>
        <w:t>eaduse rakendamisega kaasnevad kulud Tööinspektsioonile seoses TVK</w:t>
      </w:r>
      <w:r w:rsidRPr="00923374">
        <w:rPr>
          <w:rFonts w:ascii="Roboto" w:hAnsi="Roboto"/>
          <w:szCs w:val="18"/>
        </w:rPr>
        <w:t xml:space="preserve"> </w:t>
      </w:r>
      <w:r w:rsidRPr="00923374">
        <w:rPr>
          <w:rFonts w:ascii="Roboto" w:hAnsi="Roboto"/>
          <w:szCs w:val="18"/>
        </w:rPr>
        <w:t>juhatajate koolituste võimaldamisega ning alustava TVK juhataja mentorile makstava lisatasuga. Kulud</w:t>
      </w:r>
      <w:r w:rsidRPr="00923374">
        <w:rPr>
          <w:rFonts w:ascii="Roboto" w:hAnsi="Roboto"/>
          <w:szCs w:val="18"/>
        </w:rPr>
        <w:t xml:space="preserve"> </w:t>
      </w:r>
      <w:r w:rsidRPr="00923374">
        <w:rPr>
          <w:rFonts w:ascii="Roboto" w:hAnsi="Roboto"/>
          <w:szCs w:val="18"/>
        </w:rPr>
        <w:t>kaetakse Tööinspektsiooni eelarvest ja Euroopa Sotsiaalfondi vahenditest.“</w:t>
      </w:r>
      <w:r w:rsidRPr="00923374">
        <w:rPr>
          <w:rFonts w:ascii="Roboto" w:hAnsi="Roboto"/>
          <w:szCs w:val="18"/>
        </w:rPr>
        <w:t xml:space="preserve"> </w:t>
      </w:r>
      <w:r w:rsidRPr="00923374">
        <w:rPr>
          <w:rFonts w:ascii="Roboto" w:hAnsi="Roboto"/>
          <w:szCs w:val="18"/>
        </w:rPr>
        <w:t>Euroopa Sotsiaalfondi ei saa lugeda püsivaks allikaks, millest oleks võimalik katta käesolevas seaduses</w:t>
      </w:r>
      <w:r w:rsidRPr="00923374">
        <w:rPr>
          <w:rFonts w:ascii="Roboto" w:hAnsi="Roboto"/>
          <w:szCs w:val="18"/>
        </w:rPr>
        <w:t xml:space="preserve"> </w:t>
      </w:r>
      <w:r w:rsidRPr="00923374">
        <w:rPr>
          <w:rFonts w:ascii="Roboto" w:hAnsi="Roboto"/>
          <w:szCs w:val="18"/>
        </w:rPr>
        <w:t>esitatud tasusid ja kulutusi.</w:t>
      </w:r>
    </w:p>
    <w:p w14:paraId="6E2EF2E8" w14:textId="54FFA805" w:rsidR="00137794" w:rsidRPr="00923374" w:rsidRDefault="00137794" w:rsidP="00137794">
      <w:pPr>
        <w:rPr>
          <w:rFonts w:ascii="Roboto" w:hAnsi="Roboto"/>
          <w:szCs w:val="18"/>
        </w:rPr>
      </w:pPr>
      <w:r w:rsidRPr="00923374">
        <w:rPr>
          <w:rFonts w:ascii="Roboto" w:hAnsi="Roboto"/>
          <w:szCs w:val="18"/>
        </w:rPr>
        <w:t>TI hinnangul oleks</w:t>
      </w:r>
      <w:r w:rsidRPr="00923374">
        <w:rPr>
          <w:rFonts w:ascii="Roboto" w:hAnsi="Roboto"/>
          <w:szCs w:val="18"/>
        </w:rPr>
        <w:t xml:space="preserve"> </w:t>
      </w:r>
      <w:r w:rsidRPr="00923374">
        <w:rPr>
          <w:rFonts w:ascii="Roboto" w:hAnsi="Roboto"/>
          <w:szCs w:val="18"/>
        </w:rPr>
        <w:t xml:space="preserve">sobivam </w:t>
      </w:r>
      <w:r w:rsidRPr="00923374">
        <w:rPr>
          <w:rFonts w:ascii="Roboto" w:hAnsi="Roboto"/>
          <w:szCs w:val="18"/>
        </w:rPr>
        <w:t>sõnastu</w:t>
      </w:r>
      <w:r w:rsidRPr="00923374">
        <w:rPr>
          <w:rFonts w:ascii="Roboto" w:hAnsi="Roboto"/>
          <w:szCs w:val="18"/>
        </w:rPr>
        <w:t>s</w:t>
      </w:r>
      <w:r w:rsidRPr="00923374">
        <w:rPr>
          <w:rFonts w:ascii="Roboto" w:hAnsi="Roboto"/>
          <w:szCs w:val="18"/>
        </w:rPr>
        <w:t>: „Kulud kaetakse Tööinspektsiooni eelarvest, mis eeldab täiendavate vahendite</w:t>
      </w:r>
      <w:r w:rsidRPr="00923374">
        <w:rPr>
          <w:rFonts w:ascii="Roboto" w:hAnsi="Roboto"/>
          <w:szCs w:val="18"/>
        </w:rPr>
        <w:t xml:space="preserve"> </w:t>
      </w:r>
      <w:r w:rsidRPr="00923374">
        <w:rPr>
          <w:rFonts w:ascii="Roboto" w:hAnsi="Roboto"/>
          <w:szCs w:val="18"/>
        </w:rPr>
        <w:t>eraldamist“.</w:t>
      </w:r>
    </w:p>
    <w:p w14:paraId="4B12087D" w14:textId="77777777" w:rsidR="00137794" w:rsidRPr="00923374" w:rsidRDefault="00137794" w:rsidP="00174EF2">
      <w:pPr>
        <w:rPr>
          <w:rFonts w:ascii="Roboto" w:hAnsi="Roboto"/>
          <w:szCs w:val="18"/>
        </w:rPr>
      </w:pPr>
    </w:p>
    <w:p w14:paraId="291181C8" w14:textId="5796B600" w:rsidR="00400DC2" w:rsidRPr="00923374" w:rsidRDefault="00137794" w:rsidP="00400DC2">
      <w:pPr>
        <w:rPr>
          <w:rFonts w:ascii="Roboto" w:hAnsi="Roboto"/>
          <w:szCs w:val="18"/>
        </w:rPr>
      </w:pPr>
      <w:r w:rsidRPr="00923374">
        <w:rPr>
          <w:rFonts w:ascii="Roboto" w:hAnsi="Roboto"/>
          <w:szCs w:val="18"/>
        </w:rPr>
        <w:t xml:space="preserve">Ametis olevad </w:t>
      </w:r>
      <w:r w:rsidR="00400DC2" w:rsidRPr="00923374">
        <w:rPr>
          <w:rFonts w:ascii="Roboto" w:hAnsi="Roboto"/>
          <w:szCs w:val="18"/>
        </w:rPr>
        <w:t>TVK juhataja</w:t>
      </w:r>
      <w:r w:rsidR="00923374" w:rsidRPr="00923374">
        <w:rPr>
          <w:rFonts w:ascii="Roboto" w:hAnsi="Roboto"/>
          <w:szCs w:val="18"/>
        </w:rPr>
        <w:t>d soovivad kindlasti esile tuua, et nende</w:t>
      </w:r>
      <w:r w:rsidR="00400DC2" w:rsidRPr="00923374">
        <w:rPr>
          <w:rFonts w:ascii="Roboto" w:hAnsi="Roboto"/>
          <w:szCs w:val="18"/>
        </w:rPr>
        <w:t xml:space="preserve"> hinnangul ei ole </w:t>
      </w:r>
      <w:r w:rsidR="00923374" w:rsidRPr="00923374">
        <w:rPr>
          <w:rFonts w:ascii="Roboto" w:hAnsi="Roboto"/>
          <w:szCs w:val="18"/>
        </w:rPr>
        <w:t xml:space="preserve">eelnõuga kavandatud ametis olevatele </w:t>
      </w:r>
      <w:r w:rsidR="00400DC2" w:rsidRPr="00923374">
        <w:rPr>
          <w:rFonts w:ascii="Roboto" w:hAnsi="Roboto"/>
          <w:szCs w:val="18"/>
        </w:rPr>
        <w:t xml:space="preserve">uue testi </w:t>
      </w:r>
      <w:r w:rsidR="00923374" w:rsidRPr="00923374">
        <w:rPr>
          <w:rFonts w:ascii="Roboto" w:hAnsi="Roboto"/>
          <w:szCs w:val="18"/>
        </w:rPr>
        <w:t xml:space="preserve">tegemise nõude </w:t>
      </w:r>
      <w:r w:rsidR="00400DC2" w:rsidRPr="00923374">
        <w:rPr>
          <w:rFonts w:ascii="Roboto" w:hAnsi="Roboto"/>
          <w:szCs w:val="18"/>
        </w:rPr>
        <w:t>kehtestamine põhjendatud, arvestades eelnevalt usaldusväärset atesteerimissüsteemi.</w:t>
      </w:r>
    </w:p>
    <w:p w14:paraId="1FACA2FC" w14:textId="77777777" w:rsidR="00400DC2" w:rsidRPr="00923374" w:rsidRDefault="00400DC2" w:rsidP="00400DC2">
      <w:pPr>
        <w:rPr>
          <w:rFonts w:ascii="Roboto" w:hAnsi="Roboto"/>
          <w:szCs w:val="18"/>
        </w:rPr>
      </w:pPr>
    </w:p>
    <w:p w14:paraId="3CF56268" w14:textId="473A2AC5" w:rsidR="00400DC2" w:rsidRPr="00923374" w:rsidRDefault="00923374" w:rsidP="00400DC2">
      <w:pPr>
        <w:rPr>
          <w:rFonts w:ascii="Roboto" w:hAnsi="Roboto"/>
          <w:szCs w:val="18"/>
        </w:rPr>
      </w:pPr>
      <w:r w:rsidRPr="00923374">
        <w:rPr>
          <w:rFonts w:ascii="Roboto" w:hAnsi="Roboto"/>
          <w:szCs w:val="18"/>
        </w:rPr>
        <w:t xml:space="preserve">TVK juhatajad rõhutavad, et senine </w:t>
      </w:r>
      <w:r w:rsidR="00400DC2" w:rsidRPr="00923374">
        <w:rPr>
          <w:rFonts w:ascii="Roboto" w:hAnsi="Roboto"/>
          <w:szCs w:val="18"/>
        </w:rPr>
        <w:t>atesteerimisprotsess on olnud põhjalik ja mitmekihiline hõlmates nii praktilise töövaidluskaasuse lahendamist piiratud aja jooksul kui ka sellele järgnevat vestlust, mille käigus hinnatakse juhataja õigusteadmisi ja ametisse sobivust. Lisaks antakse tagasisidet juhataja varasemate lahendite ning võimalike kaebuste kohta. Seega ei ole tegemist pelgalt formaalse kontrolliga, vaid sisulise ja tervikliku hindamisega, mis katab nii teoreetilised teadmised kui ka praktilise töö kvaliteedi. 2026. aastaks on enamik ametis olevatest juhatajatest läbinud atesteerimise korduvalt positiivsele tulemusele.</w:t>
      </w:r>
    </w:p>
    <w:p w14:paraId="2CCD06D9" w14:textId="77777777" w:rsidR="00400DC2" w:rsidRPr="00923374" w:rsidRDefault="00400DC2" w:rsidP="00400DC2">
      <w:pPr>
        <w:rPr>
          <w:rFonts w:ascii="Roboto" w:hAnsi="Roboto"/>
          <w:szCs w:val="18"/>
        </w:rPr>
      </w:pPr>
    </w:p>
    <w:p w14:paraId="508C8F38" w14:textId="44516A5B" w:rsidR="00400DC2" w:rsidRPr="00923374" w:rsidRDefault="00400DC2" w:rsidP="00400DC2">
      <w:pPr>
        <w:rPr>
          <w:rFonts w:ascii="Roboto" w:hAnsi="Roboto"/>
          <w:szCs w:val="18"/>
        </w:rPr>
      </w:pPr>
      <w:r w:rsidRPr="00923374">
        <w:rPr>
          <w:rFonts w:ascii="Roboto" w:hAnsi="Roboto"/>
          <w:szCs w:val="18"/>
        </w:rPr>
        <w:t>Oluline on ka see, et atesteerimist viis läbi laiapõhjaline ja sõltumatu komisjon, kuhu kuulusid eri institutsioonide – kohtute, Justiitsministeeriumi, Majandus- ja Kommunikatsiooni ministeeriumi, T</w:t>
      </w:r>
      <w:r w:rsidR="00923374" w:rsidRPr="00923374">
        <w:rPr>
          <w:rFonts w:ascii="Roboto" w:hAnsi="Roboto"/>
          <w:szCs w:val="18"/>
        </w:rPr>
        <w:t>I</w:t>
      </w:r>
      <w:r w:rsidRPr="00923374">
        <w:rPr>
          <w:rFonts w:ascii="Roboto" w:hAnsi="Roboto"/>
          <w:szCs w:val="18"/>
        </w:rPr>
        <w:t xml:space="preserve"> ning Tartu Ülikooli esindajad. Selline mitmekesine koosseis tagas objektiivse ja tasakaalustatud hindamise.</w:t>
      </w:r>
    </w:p>
    <w:p w14:paraId="3B5F2FC2" w14:textId="77777777" w:rsidR="00400DC2" w:rsidRPr="00923374" w:rsidRDefault="00400DC2" w:rsidP="00400DC2">
      <w:pPr>
        <w:rPr>
          <w:rFonts w:ascii="Roboto" w:hAnsi="Roboto"/>
          <w:szCs w:val="18"/>
        </w:rPr>
      </w:pPr>
    </w:p>
    <w:p w14:paraId="4DB80C34" w14:textId="73152E85" w:rsidR="00400DC2" w:rsidRPr="00923374" w:rsidRDefault="00400DC2" w:rsidP="00400DC2">
      <w:pPr>
        <w:rPr>
          <w:rFonts w:ascii="Roboto" w:hAnsi="Roboto"/>
          <w:szCs w:val="18"/>
        </w:rPr>
      </w:pPr>
      <w:r w:rsidRPr="00923374">
        <w:rPr>
          <w:rFonts w:ascii="Roboto" w:hAnsi="Roboto"/>
          <w:szCs w:val="18"/>
        </w:rPr>
        <w:t>Lisa</w:t>
      </w:r>
      <w:r w:rsidR="00923374" w:rsidRPr="00923374">
        <w:rPr>
          <w:rFonts w:ascii="Roboto" w:hAnsi="Roboto"/>
          <w:szCs w:val="18"/>
        </w:rPr>
        <w:t xml:space="preserve">ks juhivad TVK juhatad tähelepanu sellele, </w:t>
      </w:r>
      <w:r w:rsidRPr="00923374">
        <w:rPr>
          <w:rFonts w:ascii="Roboto" w:hAnsi="Roboto"/>
          <w:szCs w:val="18"/>
        </w:rPr>
        <w:t>et ametis olevate töövaidluskomisjoni juhatajate teadmiste kohustuslik tihe atesteerimine ega testimine ei ole põhjendatud ega kooskõlas teiste võrreldavate õiguslike ametite regulatsiooniga- ametis olevaid prokuröre, kohtunikke, teisi riigiametnikke jne ei atesteerita regulaarselt ega kontrollita nende teadmisi testil.</w:t>
      </w:r>
    </w:p>
    <w:p w14:paraId="28B901DB" w14:textId="77777777" w:rsidR="00400DC2" w:rsidRPr="00923374" w:rsidRDefault="00400DC2" w:rsidP="00400DC2">
      <w:pPr>
        <w:rPr>
          <w:rFonts w:ascii="Roboto" w:hAnsi="Roboto"/>
          <w:szCs w:val="18"/>
        </w:rPr>
      </w:pPr>
    </w:p>
    <w:p w14:paraId="5C88F5AA" w14:textId="77777777" w:rsidR="00400DC2" w:rsidRPr="00923374" w:rsidRDefault="00400DC2" w:rsidP="00400DC2">
      <w:pPr>
        <w:rPr>
          <w:rFonts w:ascii="Roboto" w:hAnsi="Roboto"/>
          <w:szCs w:val="18"/>
        </w:rPr>
      </w:pPr>
      <w:r w:rsidRPr="00923374">
        <w:rPr>
          <w:rFonts w:ascii="Roboto" w:hAnsi="Roboto"/>
          <w:szCs w:val="18"/>
        </w:rPr>
        <w:t>Atesteeritud juhatajate professionaalset taset kinnitavad ka välised hinnangud. TVK juhatajate tööd on tunnustanud kohtud (äsja ilmunud aastaraamat), Justiitsministeeriumi analüüsid (V-P Liini juhitud mahukas analüüs) ning õiguskantsler. Eeltoodu viitab, et kehtiv hindamissüsteem on taganud kvaliteetse töövaidluste lahendamise.</w:t>
      </w:r>
    </w:p>
    <w:p w14:paraId="0D456310" w14:textId="77777777" w:rsidR="00400DC2" w:rsidRPr="00923374" w:rsidRDefault="00400DC2" w:rsidP="00400DC2">
      <w:pPr>
        <w:rPr>
          <w:rFonts w:ascii="Roboto" w:hAnsi="Roboto"/>
          <w:szCs w:val="18"/>
        </w:rPr>
      </w:pPr>
    </w:p>
    <w:p w14:paraId="39F60A4B" w14:textId="77777777" w:rsidR="00400DC2" w:rsidRPr="00923374" w:rsidRDefault="00400DC2" w:rsidP="00400DC2">
      <w:pPr>
        <w:rPr>
          <w:rFonts w:ascii="Roboto" w:hAnsi="Roboto"/>
          <w:szCs w:val="18"/>
        </w:rPr>
      </w:pPr>
      <w:r w:rsidRPr="00923374">
        <w:rPr>
          <w:rFonts w:ascii="Roboto" w:hAnsi="Roboto"/>
          <w:szCs w:val="18"/>
        </w:rPr>
        <w:lastRenderedPageBreak/>
        <w:t>Lisaks hinnatakse uute juhatajate kutsesobivust enne ametisse nimetamist sisuliselt samadel alustel nagu juba ametis olevate juhatajate puhul. See tähendab, et tagati teadmiste kontroll nii enne ametisse asumist kui ka kogu ametiaja vältel.</w:t>
      </w:r>
    </w:p>
    <w:p w14:paraId="2EF5C2E7" w14:textId="77777777" w:rsidR="00400DC2" w:rsidRPr="00923374" w:rsidRDefault="00400DC2" w:rsidP="00400DC2">
      <w:pPr>
        <w:rPr>
          <w:rFonts w:ascii="Roboto" w:hAnsi="Roboto"/>
          <w:szCs w:val="18"/>
        </w:rPr>
      </w:pPr>
    </w:p>
    <w:p w14:paraId="2542E1B9" w14:textId="1704D4CD" w:rsidR="00400DC2" w:rsidRPr="00923374" w:rsidRDefault="00923374" w:rsidP="00400DC2">
      <w:pPr>
        <w:rPr>
          <w:rFonts w:ascii="Roboto" w:hAnsi="Roboto"/>
          <w:szCs w:val="18"/>
        </w:rPr>
      </w:pPr>
      <w:r w:rsidRPr="00923374">
        <w:rPr>
          <w:rFonts w:ascii="Roboto" w:hAnsi="Roboto"/>
          <w:szCs w:val="18"/>
        </w:rPr>
        <w:t>TVK juhatajad soovivad rõhutada</w:t>
      </w:r>
      <w:r w:rsidR="00400DC2" w:rsidRPr="00923374">
        <w:rPr>
          <w:rFonts w:ascii="Roboto" w:hAnsi="Roboto"/>
          <w:szCs w:val="18"/>
        </w:rPr>
        <w:t>, et enne testi rakendamist tuleb täpsustada selle valdkonnad ning määrata kindlaks küsimuste koostajad, hindajad ja protseduurireeglid. Testi tulemusi peaks hindama laiapõhjaline komisjon. Juhatajaid tuleb testi mahust ja ootustest põhjalikult teavitada ning vastavalt testi põhjalikkusele ka vajadusel koolitada. Kuna küsimused võivad olla mitmeti mõistetavad, peaks testiga kaasnema vestlus, kus juhatajatel on võimalik oma vastuseid põhjendada</w:t>
      </w:r>
    </w:p>
    <w:p w14:paraId="11DA4CD4" w14:textId="77777777" w:rsidR="00400DC2" w:rsidRPr="00923374" w:rsidRDefault="00400DC2" w:rsidP="00400DC2">
      <w:pPr>
        <w:rPr>
          <w:rFonts w:ascii="Roboto" w:hAnsi="Roboto"/>
          <w:szCs w:val="18"/>
        </w:rPr>
      </w:pPr>
    </w:p>
    <w:p w14:paraId="7EC21397" w14:textId="77777777" w:rsidR="00400DC2" w:rsidRPr="00923374" w:rsidRDefault="00400DC2" w:rsidP="00400DC2">
      <w:pPr>
        <w:rPr>
          <w:rFonts w:ascii="Roboto" w:hAnsi="Roboto"/>
          <w:szCs w:val="18"/>
        </w:rPr>
      </w:pPr>
      <w:r w:rsidRPr="00923374">
        <w:rPr>
          <w:rFonts w:ascii="Roboto" w:hAnsi="Roboto"/>
          <w:szCs w:val="18"/>
        </w:rPr>
        <w:t xml:space="preserve">Ametisolevate juhatajate hinnangul on </w:t>
      </w:r>
      <w:proofErr w:type="spellStart"/>
      <w:r w:rsidRPr="00923374">
        <w:rPr>
          <w:rFonts w:ascii="Roboto" w:hAnsi="Roboto"/>
          <w:szCs w:val="18"/>
        </w:rPr>
        <w:t>TvLS</w:t>
      </w:r>
      <w:proofErr w:type="spellEnd"/>
      <w:r w:rsidRPr="00923374">
        <w:rPr>
          <w:rFonts w:ascii="Roboto" w:hAnsi="Roboto"/>
          <w:szCs w:val="18"/>
        </w:rPr>
        <w:t>-i muudatustes piisavalt ammendavalt reguleeritud põhjalik uue juhataja ametisse nimetamise ametist tagasikutsumise võimalused. Ametisolevate juhatajate testimise asemel tuleks keskenduda läbimõeldud ning piisavate koolituste tagamisele ja korraldamisele.</w:t>
      </w:r>
    </w:p>
    <w:p w14:paraId="767678FF" w14:textId="77777777" w:rsidR="00400DC2" w:rsidRPr="00923374" w:rsidRDefault="00400DC2" w:rsidP="00400DC2">
      <w:pPr>
        <w:rPr>
          <w:rFonts w:ascii="Roboto" w:hAnsi="Roboto"/>
          <w:szCs w:val="18"/>
        </w:rPr>
      </w:pPr>
    </w:p>
    <w:p w14:paraId="232AA059" w14:textId="173A37B3" w:rsidR="00400DC2" w:rsidRPr="00923374" w:rsidRDefault="00923374" w:rsidP="00400DC2">
      <w:pPr>
        <w:rPr>
          <w:rFonts w:ascii="Roboto" w:hAnsi="Roboto"/>
          <w:szCs w:val="18"/>
        </w:rPr>
      </w:pPr>
      <w:r w:rsidRPr="00923374">
        <w:rPr>
          <w:rFonts w:ascii="Roboto" w:hAnsi="Roboto"/>
          <w:szCs w:val="18"/>
        </w:rPr>
        <w:t xml:space="preserve">TI jagab TVK juhatajate arvamust, et eelnõust ja selle seletuskirjast, ei selgu </w:t>
      </w:r>
      <w:r w:rsidR="00400DC2" w:rsidRPr="00923374">
        <w:rPr>
          <w:rFonts w:ascii="Roboto" w:hAnsi="Roboto"/>
          <w:szCs w:val="18"/>
        </w:rPr>
        <w:t xml:space="preserve">millist </w:t>
      </w:r>
      <w:r w:rsidRPr="00923374">
        <w:rPr>
          <w:rFonts w:ascii="Roboto" w:hAnsi="Roboto"/>
          <w:szCs w:val="18"/>
        </w:rPr>
        <w:t xml:space="preserve">esile kerkinud </w:t>
      </w:r>
      <w:r w:rsidR="00400DC2" w:rsidRPr="00923374">
        <w:rPr>
          <w:rFonts w:ascii="Roboto" w:hAnsi="Roboto"/>
          <w:szCs w:val="18"/>
        </w:rPr>
        <w:t xml:space="preserve">probleemi peaks lahendama seaduseelnõus ette nähtud täiendav test. </w:t>
      </w:r>
      <w:r w:rsidRPr="00923374">
        <w:rPr>
          <w:rFonts w:ascii="Roboto" w:hAnsi="Roboto"/>
          <w:szCs w:val="18"/>
        </w:rPr>
        <w:t>Oleme ühisel arvamusel, et t</w:t>
      </w:r>
      <w:r w:rsidR="00400DC2" w:rsidRPr="00923374">
        <w:rPr>
          <w:rFonts w:ascii="Roboto" w:hAnsi="Roboto"/>
          <w:szCs w:val="18"/>
        </w:rPr>
        <w:t xml:space="preserve">äiendava testi kehtestamine looks pigem atesteerimist dubleeriva ja põhjendamata koormuse ning </w:t>
      </w:r>
      <w:r w:rsidRPr="00923374">
        <w:rPr>
          <w:rFonts w:ascii="Roboto" w:hAnsi="Roboto"/>
          <w:szCs w:val="18"/>
        </w:rPr>
        <w:t xml:space="preserve">välistada ei saa, et ka </w:t>
      </w:r>
      <w:r w:rsidR="00400DC2" w:rsidRPr="00923374">
        <w:rPr>
          <w:rFonts w:ascii="Roboto" w:hAnsi="Roboto"/>
          <w:szCs w:val="18"/>
        </w:rPr>
        <w:t>demotiveeri</w:t>
      </w:r>
      <w:r w:rsidRPr="00923374">
        <w:rPr>
          <w:rFonts w:ascii="Roboto" w:hAnsi="Roboto"/>
          <w:szCs w:val="18"/>
        </w:rPr>
        <w:t>ks</w:t>
      </w:r>
      <w:r w:rsidR="00400DC2" w:rsidRPr="00923374">
        <w:rPr>
          <w:rFonts w:ascii="Roboto" w:hAnsi="Roboto"/>
          <w:szCs w:val="18"/>
        </w:rPr>
        <w:t xml:space="preserve"> </w:t>
      </w:r>
      <w:r w:rsidRPr="00923374">
        <w:rPr>
          <w:rFonts w:ascii="Roboto" w:hAnsi="Roboto"/>
          <w:szCs w:val="18"/>
        </w:rPr>
        <w:t xml:space="preserve">praegu </w:t>
      </w:r>
      <w:r w:rsidR="00400DC2" w:rsidRPr="00923374">
        <w:rPr>
          <w:rFonts w:ascii="Roboto" w:hAnsi="Roboto"/>
          <w:szCs w:val="18"/>
        </w:rPr>
        <w:t xml:space="preserve"> ametis olevaid juhatajaid seades </w:t>
      </w:r>
      <w:r w:rsidRPr="00923374">
        <w:rPr>
          <w:rFonts w:ascii="Roboto" w:hAnsi="Roboto"/>
          <w:szCs w:val="18"/>
        </w:rPr>
        <w:t xml:space="preserve">põhjendamatult </w:t>
      </w:r>
      <w:r w:rsidR="00400DC2" w:rsidRPr="00923374">
        <w:rPr>
          <w:rFonts w:ascii="Roboto" w:hAnsi="Roboto"/>
          <w:szCs w:val="18"/>
        </w:rPr>
        <w:t>kahtluse alla nende professionaalsuse ning erialased teadmised.</w:t>
      </w:r>
    </w:p>
    <w:p w14:paraId="12B9CEBF" w14:textId="77777777" w:rsidR="003A6B07" w:rsidRPr="00923374" w:rsidRDefault="003A6B07" w:rsidP="00C0204F">
      <w:pPr>
        <w:rPr>
          <w:rFonts w:ascii="Roboto" w:hAnsi="Roboto"/>
          <w:szCs w:val="18"/>
        </w:rPr>
      </w:pPr>
    </w:p>
    <w:p w14:paraId="173FBD12" w14:textId="77777777" w:rsidR="00923374" w:rsidRPr="00923374" w:rsidRDefault="00923374" w:rsidP="00C0204F">
      <w:pPr>
        <w:rPr>
          <w:rFonts w:ascii="Roboto" w:hAnsi="Roboto"/>
          <w:szCs w:val="18"/>
        </w:rPr>
      </w:pPr>
    </w:p>
    <w:p w14:paraId="0EEA3543" w14:textId="77777777" w:rsidR="00923374" w:rsidRPr="00923374" w:rsidRDefault="00923374" w:rsidP="00C0204F">
      <w:pPr>
        <w:rPr>
          <w:rFonts w:ascii="Roboto" w:hAnsi="Roboto"/>
          <w:szCs w:val="18"/>
        </w:rPr>
      </w:pPr>
    </w:p>
    <w:p w14:paraId="4CFCE12D" w14:textId="034526B2" w:rsidR="00C0204F" w:rsidRPr="00923374" w:rsidRDefault="00C0204F" w:rsidP="00C0204F">
      <w:pPr>
        <w:rPr>
          <w:rFonts w:ascii="Roboto" w:hAnsi="Roboto"/>
          <w:szCs w:val="18"/>
        </w:rPr>
      </w:pPr>
      <w:r w:rsidRPr="00923374">
        <w:rPr>
          <w:rFonts w:ascii="Roboto" w:hAnsi="Roboto"/>
          <w:szCs w:val="18"/>
        </w:rPr>
        <w:t>Lugupidamisega</w:t>
      </w:r>
    </w:p>
    <w:p w14:paraId="1C5766CC" w14:textId="77777777" w:rsidR="00C0204F" w:rsidRPr="00923374" w:rsidRDefault="00C0204F" w:rsidP="00C0204F">
      <w:pPr>
        <w:rPr>
          <w:rFonts w:ascii="Roboto" w:hAnsi="Roboto"/>
          <w:szCs w:val="18"/>
        </w:rPr>
      </w:pPr>
    </w:p>
    <w:p w14:paraId="600F65B7" w14:textId="77777777" w:rsidR="00C0204F" w:rsidRPr="00923374" w:rsidRDefault="00C0204F" w:rsidP="00C0204F">
      <w:pPr>
        <w:rPr>
          <w:rFonts w:ascii="Roboto" w:hAnsi="Roboto"/>
          <w:szCs w:val="18"/>
        </w:rPr>
      </w:pPr>
    </w:p>
    <w:p w14:paraId="49BE13DE" w14:textId="77777777" w:rsidR="00C0204F" w:rsidRPr="00923374" w:rsidRDefault="00C0204F" w:rsidP="00C0204F">
      <w:pPr>
        <w:rPr>
          <w:rFonts w:ascii="Roboto" w:hAnsi="Roboto"/>
          <w:szCs w:val="18"/>
        </w:rPr>
      </w:pPr>
    </w:p>
    <w:p w14:paraId="1C0D0531" w14:textId="77777777" w:rsidR="001F3656" w:rsidRPr="00923374" w:rsidRDefault="00C0204F" w:rsidP="00C0204F">
      <w:pPr>
        <w:rPr>
          <w:rFonts w:ascii="Roboto" w:hAnsi="Roboto"/>
          <w:szCs w:val="18"/>
        </w:rPr>
      </w:pPr>
      <w:r w:rsidRPr="00923374">
        <w:rPr>
          <w:rFonts w:ascii="Roboto" w:hAnsi="Roboto"/>
          <w:szCs w:val="18"/>
        </w:rPr>
        <w:t>(allkirjastatud digitaalselt)</w:t>
      </w:r>
    </w:p>
    <w:p w14:paraId="3A8CDE9A" w14:textId="612A6B22" w:rsidR="00C0204F" w:rsidRPr="00923374" w:rsidRDefault="003A6B07" w:rsidP="00C0204F">
      <w:pPr>
        <w:rPr>
          <w:rFonts w:ascii="Roboto" w:hAnsi="Roboto"/>
          <w:szCs w:val="18"/>
        </w:rPr>
      </w:pPr>
      <w:r w:rsidRPr="00923374">
        <w:rPr>
          <w:rFonts w:ascii="Roboto" w:hAnsi="Roboto"/>
          <w:szCs w:val="18"/>
        </w:rPr>
        <w:t>Kaire Saarep</w:t>
      </w:r>
    </w:p>
    <w:p w14:paraId="49447D75" w14:textId="322E4407" w:rsidR="00C0204F" w:rsidRPr="00923374" w:rsidRDefault="003A6B07" w:rsidP="00C0204F">
      <w:pPr>
        <w:rPr>
          <w:rFonts w:ascii="Roboto" w:hAnsi="Roboto"/>
          <w:szCs w:val="18"/>
        </w:rPr>
      </w:pPr>
      <w:r w:rsidRPr="00923374">
        <w:rPr>
          <w:rFonts w:ascii="Roboto" w:hAnsi="Roboto"/>
          <w:szCs w:val="18"/>
        </w:rPr>
        <w:t>peadirektor</w:t>
      </w:r>
    </w:p>
    <w:p w14:paraId="638DBE3B" w14:textId="77777777" w:rsidR="00C0204F" w:rsidRPr="00923374" w:rsidRDefault="00C0204F" w:rsidP="00C0204F">
      <w:pPr>
        <w:rPr>
          <w:rFonts w:ascii="Roboto" w:hAnsi="Roboto"/>
          <w:szCs w:val="18"/>
        </w:rPr>
      </w:pPr>
    </w:p>
    <w:p w14:paraId="4FC7B746" w14:textId="77777777" w:rsidR="00C0204F" w:rsidRPr="00923374" w:rsidRDefault="00C0204F" w:rsidP="00C0204F">
      <w:pPr>
        <w:rPr>
          <w:rFonts w:ascii="Roboto" w:hAnsi="Roboto"/>
          <w:szCs w:val="18"/>
        </w:rPr>
      </w:pPr>
    </w:p>
    <w:p w14:paraId="3B6C08CF" w14:textId="77777777" w:rsidR="00C0204F" w:rsidRPr="00923374" w:rsidRDefault="00C0204F" w:rsidP="00C0204F">
      <w:pPr>
        <w:rPr>
          <w:rFonts w:ascii="Roboto" w:hAnsi="Roboto"/>
          <w:szCs w:val="18"/>
        </w:rPr>
      </w:pPr>
    </w:p>
    <w:p w14:paraId="5FE0D025" w14:textId="77777777" w:rsidR="00C0204F" w:rsidRPr="00880BB8" w:rsidRDefault="00C0204F" w:rsidP="00C0204F">
      <w:pPr>
        <w:rPr>
          <w:rFonts w:ascii="Roboto" w:hAnsi="Roboto"/>
        </w:rPr>
      </w:pPr>
    </w:p>
    <w:p w14:paraId="4E9E1772" w14:textId="77777777" w:rsidR="00C0204F" w:rsidRPr="00880BB8" w:rsidRDefault="00C0204F" w:rsidP="00C0204F">
      <w:pPr>
        <w:rPr>
          <w:rFonts w:ascii="Roboto" w:hAnsi="Roboto"/>
        </w:rPr>
      </w:pPr>
    </w:p>
    <w:p w14:paraId="387926BE" w14:textId="77777777" w:rsidR="00DD7AB5" w:rsidRDefault="00DD7AB5" w:rsidP="00C0204F"/>
    <w:p w14:paraId="1AD01600" w14:textId="77777777" w:rsidR="00DD7AB5" w:rsidRDefault="00DD7AB5" w:rsidP="00C0204F"/>
    <w:p w14:paraId="3BE8C2B6" w14:textId="77777777" w:rsidR="00DD7AB5" w:rsidRDefault="00DD7AB5" w:rsidP="00C0204F"/>
    <w:p w14:paraId="6B82893F" w14:textId="77777777" w:rsidR="00DD7AB5" w:rsidRDefault="00DD7AB5" w:rsidP="00C0204F"/>
    <w:p w14:paraId="09D81A85" w14:textId="77777777" w:rsidR="00A94892" w:rsidRDefault="00A94892" w:rsidP="00C0204F"/>
    <w:p w14:paraId="427E11B2" w14:textId="77777777" w:rsidR="00A94892" w:rsidRDefault="00A94892" w:rsidP="00C0204F"/>
    <w:p w14:paraId="7979A809" w14:textId="77777777" w:rsidR="0092199B" w:rsidRDefault="0092199B" w:rsidP="00C0204F"/>
    <w:p w14:paraId="4B306152" w14:textId="77777777" w:rsidR="0092199B" w:rsidRDefault="0092199B" w:rsidP="00C0204F"/>
    <w:p w14:paraId="1A1270F7" w14:textId="77777777" w:rsidR="00DD7AB5" w:rsidRDefault="00DD7AB5" w:rsidP="00C0204F"/>
    <w:p w14:paraId="508475F7" w14:textId="77777777" w:rsidR="00DD7AB5" w:rsidRDefault="00DD7AB5" w:rsidP="00C0204F"/>
    <w:p w14:paraId="04AE7474" w14:textId="77777777" w:rsidR="00DD7AB5" w:rsidRDefault="00DD7AB5" w:rsidP="00C0204F"/>
    <w:p w14:paraId="6FCD5F94" w14:textId="77777777" w:rsidR="00DD7AB5" w:rsidRDefault="00DD7AB5" w:rsidP="00C0204F"/>
    <w:p w14:paraId="34D89FA9" w14:textId="77777777" w:rsidR="00D6445D" w:rsidRDefault="0092199B" w:rsidP="0092199B">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83" cy="561983"/>
                    </a:xfrm>
                    <a:prstGeom prst="rect">
                      <a:avLst/>
                    </a:prstGeom>
                  </pic:spPr>
                </pic:pic>
              </a:graphicData>
            </a:graphic>
          </wp:inline>
        </w:drawing>
      </w:r>
    </w:p>
    <w:sectPr w:rsidR="00D6445D" w:rsidSect="009E7375">
      <w:footerReference w:type="default" r:id="rId13"/>
      <w:headerReference w:type="first" r:id="rId14"/>
      <w:footerReference w:type="first" r:id="rId15"/>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11EE" w14:textId="77777777" w:rsidR="00C91205" w:rsidRDefault="00C91205">
      <w:r>
        <w:separator/>
      </w:r>
    </w:p>
  </w:endnote>
  <w:endnote w:type="continuationSeparator" w:id="0">
    <w:p w14:paraId="21601ED1" w14:textId="77777777" w:rsidR="00C91205" w:rsidRDefault="00C9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Condensed">
    <w:altName w:val="Verdana"/>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332B" w14:textId="77777777" w:rsidR="00C0204F" w:rsidRPr="004B1B04" w:rsidRDefault="003D1970" w:rsidP="00C0204F">
    <w:pPr>
      <w:pStyle w:val="Normaallaadve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perlink"/>
          <w:rFonts w:ascii="Roboto" w:hAnsi="Roboto"/>
          <w:sz w:val="14"/>
          <w:szCs w:val="14"/>
        </w:rPr>
        <w:t>iseteenindus.ti.ee</w:t>
      </w:r>
    </w:hyperlink>
  </w:p>
  <w:p w14:paraId="763EE8C9" w14:textId="77777777" w:rsidR="00C0204F" w:rsidRPr="004B1B04" w:rsidRDefault="00C0204F" w:rsidP="00C0204F">
    <w:pPr>
      <w:pStyle w:val="Normaallaadve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BD00" w14:textId="77777777" w:rsidR="00C91205" w:rsidRDefault="00C91205">
      <w:r>
        <w:rPr>
          <w:color w:val="000000"/>
        </w:rPr>
        <w:separator/>
      </w:r>
    </w:p>
  </w:footnote>
  <w:footnote w:type="continuationSeparator" w:id="0">
    <w:p w14:paraId="02C3CC85" w14:textId="77777777" w:rsidR="00C91205" w:rsidRDefault="00C9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2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AA7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86A1E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110174"/>
    <w:multiLevelType w:val="hybridMultilevel"/>
    <w:tmpl w:val="7614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4CA664E"/>
    <w:multiLevelType w:val="hybridMultilevel"/>
    <w:tmpl w:val="048226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CE52C76"/>
    <w:multiLevelType w:val="multilevel"/>
    <w:tmpl w:val="203262EA"/>
    <w:lvl w:ilvl="0">
      <w:start w:val="1"/>
      <w:numFmt w:val="decimal"/>
      <w:lvlText w:val="%1."/>
      <w:lvlJc w:val="left"/>
      <w:pPr>
        <w:ind w:left="340" w:hanging="340"/>
      </w:pPr>
      <w:rPr>
        <w:rFonts w:hint="default"/>
        <w:b/>
      </w:rPr>
    </w:lvl>
    <w:lvl w:ilvl="1">
      <w:start w:val="1"/>
      <w:numFmt w:val="decimal"/>
      <w:lvlText w:val="%1.%2."/>
      <w:lvlJc w:val="left"/>
      <w:pPr>
        <w:ind w:left="510" w:hanging="510"/>
      </w:pPr>
      <w:rPr>
        <w:rFonts w:hint="default"/>
        <w:b w:val="0"/>
        <w:i w:val="0"/>
      </w:rPr>
    </w:lvl>
    <w:lvl w:ilvl="2">
      <w:start w:val="1"/>
      <w:numFmt w:val="decimal"/>
      <w:lvlText w:val="%1.%2.%3."/>
      <w:lvlJc w:val="left"/>
      <w:pPr>
        <w:ind w:left="1617" w:hanging="340"/>
      </w:pPr>
      <w:rPr>
        <w:rFonts w:hint="default"/>
        <w:color w:val="auto"/>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0" w15:restartNumberingAfterBreak="0">
    <w:nsid w:val="4DF0398F"/>
    <w:multiLevelType w:val="hybridMultilevel"/>
    <w:tmpl w:val="5B2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D91E03"/>
    <w:multiLevelType w:val="hybridMultilevel"/>
    <w:tmpl w:val="A81853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9023B8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5104206">
    <w:abstractNumId w:val="12"/>
  </w:num>
  <w:num w:numId="2" w16cid:durableId="2074497207">
    <w:abstractNumId w:val="13"/>
  </w:num>
  <w:num w:numId="3" w16cid:durableId="832836431">
    <w:abstractNumId w:val="5"/>
  </w:num>
  <w:num w:numId="4" w16cid:durableId="759571754">
    <w:abstractNumId w:val="2"/>
  </w:num>
  <w:num w:numId="5" w16cid:durableId="1775443549">
    <w:abstractNumId w:val="8"/>
  </w:num>
  <w:num w:numId="6" w16cid:durableId="1453475330">
    <w:abstractNumId w:val="4"/>
  </w:num>
  <w:num w:numId="7" w16cid:durableId="1040087746">
    <w:abstractNumId w:val="14"/>
  </w:num>
  <w:num w:numId="8" w16cid:durableId="884681594">
    <w:abstractNumId w:val="6"/>
  </w:num>
  <w:num w:numId="9" w16cid:durableId="1163007631">
    <w:abstractNumId w:val="10"/>
  </w:num>
  <w:num w:numId="10" w16cid:durableId="1616014441">
    <w:abstractNumId w:val="11"/>
  </w:num>
  <w:num w:numId="11" w16cid:durableId="1837182412">
    <w:abstractNumId w:val="3"/>
  </w:num>
  <w:num w:numId="12" w16cid:durableId="552697664">
    <w:abstractNumId w:val="1"/>
  </w:num>
  <w:num w:numId="13" w16cid:durableId="264073143">
    <w:abstractNumId w:val="9"/>
  </w:num>
  <w:num w:numId="14" w16cid:durableId="1035621230">
    <w:abstractNumId w:val="0"/>
  </w:num>
  <w:num w:numId="15" w16cid:durableId="1063678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454"/>
  <w:autoHyphenation/>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358A9"/>
    <w:rsid w:val="00066B81"/>
    <w:rsid w:val="00093FF8"/>
    <w:rsid w:val="000C2A33"/>
    <w:rsid w:val="000C7459"/>
    <w:rsid w:val="000D5AF7"/>
    <w:rsid w:val="0013281A"/>
    <w:rsid w:val="00134438"/>
    <w:rsid w:val="00137794"/>
    <w:rsid w:val="00174EF2"/>
    <w:rsid w:val="001B1E1B"/>
    <w:rsid w:val="001B3FB4"/>
    <w:rsid w:val="001E2CFD"/>
    <w:rsid w:val="001E5A7D"/>
    <w:rsid w:val="001F3656"/>
    <w:rsid w:val="00216288"/>
    <w:rsid w:val="00227F25"/>
    <w:rsid w:val="002539AA"/>
    <w:rsid w:val="002C23D3"/>
    <w:rsid w:val="002E1D82"/>
    <w:rsid w:val="003454F3"/>
    <w:rsid w:val="00351DE8"/>
    <w:rsid w:val="003644F4"/>
    <w:rsid w:val="003A6B07"/>
    <w:rsid w:val="003C336B"/>
    <w:rsid w:val="003D1970"/>
    <w:rsid w:val="00400DC2"/>
    <w:rsid w:val="004612F1"/>
    <w:rsid w:val="00496988"/>
    <w:rsid w:val="004B1B04"/>
    <w:rsid w:val="004B3C30"/>
    <w:rsid w:val="00501D7B"/>
    <w:rsid w:val="00502DCA"/>
    <w:rsid w:val="005047DD"/>
    <w:rsid w:val="005363FB"/>
    <w:rsid w:val="0054731F"/>
    <w:rsid w:val="005D25DB"/>
    <w:rsid w:val="005E3066"/>
    <w:rsid w:val="00602000"/>
    <w:rsid w:val="00647555"/>
    <w:rsid w:val="00674F95"/>
    <w:rsid w:val="00675927"/>
    <w:rsid w:val="00684955"/>
    <w:rsid w:val="006A4FBE"/>
    <w:rsid w:val="006E5B55"/>
    <w:rsid w:val="006F16A8"/>
    <w:rsid w:val="006F3E59"/>
    <w:rsid w:val="007404E2"/>
    <w:rsid w:val="00785105"/>
    <w:rsid w:val="007D72B8"/>
    <w:rsid w:val="00800A1A"/>
    <w:rsid w:val="00827FA8"/>
    <w:rsid w:val="00830551"/>
    <w:rsid w:val="0083136B"/>
    <w:rsid w:val="00871FE6"/>
    <w:rsid w:val="00880BB8"/>
    <w:rsid w:val="008F2554"/>
    <w:rsid w:val="00900916"/>
    <w:rsid w:val="0092199B"/>
    <w:rsid w:val="00923374"/>
    <w:rsid w:val="00954DF7"/>
    <w:rsid w:val="009820FF"/>
    <w:rsid w:val="009A709C"/>
    <w:rsid w:val="009E7375"/>
    <w:rsid w:val="00A94892"/>
    <w:rsid w:val="00AB6DBD"/>
    <w:rsid w:val="00AC64C7"/>
    <w:rsid w:val="00B43AED"/>
    <w:rsid w:val="00BB6E66"/>
    <w:rsid w:val="00BC15C9"/>
    <w:rsid w:val="00C0204F"/>
    <w:rsid w:val="00C77495"/>
    <w:rsid w:val="00C91205"/>
    <w:rsid w:val="00CA24AD"/>
    <w:rsid w:val="00CC0121"/>
    <w:rsid w:val="00CD2A7C"/>
    <w:rsid w:val="00CF1285"/>
    <w:rsid w:val="00D121A5"/>
    <w:rsid w:val="00D56D8E"/>
    <w:rsid w:val="00D6445D"/>
    <w:rsid w:val="00D81A84"/>
    <w:rsid w:val="00DD6B10"/>
    <w:rsid w:val="00DD7AB5"/>
    <w:rsid w:val="00E25685"/>
    <w:rsid w:val="00E263A1"/>
    <w:rsid w:val="00E27E03"/>
    <w:rsid w:val="00E51A84"/>
    <w:rsid w:val="00E71CA5"/>
    <w:rsid w:val="00E9195A"/>
    <w:rsid w:val="00EA7EC1"/>
    <w:rsid w:val="00ED307A"/>
    <w:rsid w:val="00ED38A6"/>
    <w:rsid w:val="00EF3A7C"/>
    <w:rsid w:val="00F14BCB"/>
    <w:rsid w:val="00F931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Pis">
    <w:name w:val="header"/>
    <w:basedOn w:val="Standard"/>
    <w:pPr>
      <w:suppressLineNumbers/>
      <w:tabs>
        <w:tab w:val="center" w:pos="4479"/>
        <w:tab w:val="right" w:pos="8958"/>
      </w:tabs>
    </w:pPr>
  </w:style>
  <w:style w:type="paragraph" w:styleId="Jalus">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Jutumullitekst">
    <w:name w:val="Balloon Text"/>
    <w:basedOn w:val="Normaallaad"/>
    <w:link w:val="JutumullitekstMrk"/>
    <w:uiPriority w:val="99"/>
    <w:semiHidden/>
    <w:unhideWhenUsed/>
    <w:rsid w:val="006E5B55"/>
    <w:rPr>
      <w:sz w:val="16"/>
      <w:szCs w:val="14"/>
    </w:rPr>
  </w:style>
  <w:style w:type="character" w:customStyle="1" w:styleId="JutumullitekstMrk">
    <w:name w:val="Jutumullitekst Märk"/>
    <w:link w:val="Jutumullitekst"/>
    <w:uiPriority w:val="99"/>
    <w:semiHidden/>
    <w:rsid w:val="006E5B55"/>
    <w:rPr>
      <w:rFonts w:ascii="Tahoma" w:hAnsi="Tahoma"/>
      <w:sz w:val="16"/>
      <w:szCs w:val="14"/>
    </w:rPr>
  </w:style>
  <w:style w:type="paragraph" w:styleId="Loendilik">
    <w:name w:val="List Paragraph"/>
    <w:basedOn w:val="Normaallaad"/>
    <w:uiPriority w:val="34"/>
    <w:qFormat/>
    <w:rsid w:val="006A4FBE"/>
    <w:pPr>
      <w:ind w:left="720"/>
      <w:contextualSpacing/>
    </w:pPr>
  </w:style>
  <w:style w:type="character" w:styleId="Hperlink">
    <w:name w:val="Hyperlink"/>
    <w:uiPriority w:val="99"/>
    <w:unhideWhenUsed/>
    <w:rsid w:val="00502DCA"/>
    <w:rPr>
      <w:color w:val="0000FF"/>
      <w:u w:val="single"/>
    </w:rPr>
  </w:style>
  <w:style w:type="paragraph" w:styleId="Normaallaadveeb">
    <w:name w:val="Normal (Web)"/>
    <w:basedOn w:val="Normaallaad"/>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allaa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Klastatudhperlink">
    <w:name w:val="FollowedHyperlink"/>
    <w:basedOn w:val="Liguvaikefont"/>
    <w:uiPriority w:val="99"/>
    <w:semiHidden/>
    <w:unhideWhenUsed/>
    <w:rsid w:val="00ED307A"/>
    <w:rPr>
      <w:color w:val="954F72" w:themeColor="followedHyperlink"/>
      <w:u w:val="single"/>
    </w:rPr>
  </w:style>
  <w:style w:type="character" w:styleId="Lahendamatamainimine">
    <w:name w:val="Unresolved Mention"/>
    <w:basedOn w:val="Liguvaikefont"/>
    <w:uiPriority w:val="99"/>
    <w:semiHidden/>
    <w:unhideWhenUsed/>
    <w:rsid w:val="003A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8</TotalTime>
  <Pages>3</Pages>
  <Words>1712</Words>
  <Characters>9936</Characters>
  <Application>Microsoft Office Word</Application>
  <DocSecurity>0</DocSecurity>
  <Lines>82</Lines>
  <Paragraphs>23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11625</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Ene Kivineem - TI</cp:lastModifiedBy>
  <cp:revision>2</cp:revision>
  <cp:lastPrinted>2024-08-30T10:34:00Z</cp:lastPrinted>
  <dcterms:created xsi:type="dcterms:W3CDTF">2026-05-06T09:27:00Z</dcterms:created>
  <dcterms:modified xsi:type="dcterms:W3CDTF">2026-05-06T09:27:00Z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2026-03-03T11:10:24Z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f84d8e95-c90b-47cc-a7e5-4ab401d631b0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