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3A981865" w14:textId="77777777" w:rsidTr="00094BF0">
        <w:trPr>
          <w:trHeight w:hRule="exact" w:val="2353"/>
        </w:trPr>
        <w:tc>
          <w:tcPr>
            <w:tcW w:w="5062" w:type="dxa"/>
          </w:tcPr>
          <w:p w14:paraId="3A98185B"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3A981887" wp14:editId="3A981888">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3A98185C" w14:textId="77777777" w:rsidR="00EA42AE" w:rsidRPr="00B066FE" w:rsidRDefault="00EA42AE" w:rsidP="00B066FE">
            <w:pPr>
              <w:rPr>
                <w:sz w:val="20"/>
                <w:szCs w:val="20"/>
              </w:rPr>
            </w:pPr>
          </w:p>
          <w:p w14:paraId="3A98185D" w14:textId="77777777" w:rsidR="00D35360" w:rsidRPr="00B066FE" w:rsidRDefault="00D35360" w:rsidP="00B066FE">
            <w:pPr>
              <w:rPr>
                <w:sz w:val="20"/>
                <w:szCs w:val="20"/>
              </w:rPr>
            </w:pPr>
          </w:p>
          <w:p w14:paraId="3A98185E" w14:textId="77777777" w:rsidR="00D35360" w:rsidRPr="00B066FE" w:rsidRDefault="00D35360" w:rsidP="00B066FE">
            <w:pPr>
              <w:rPr>
                <w:sz w:val="20"/>
                <w:szCs w:val="20"/>
              </w:rPr>
            </w:pPr>
          </w:p>
          <w:p w14:paraId="3A98185F" w14:textId="77777777" w:rsidR="00D35360" w:rsidRPr="00B066FE" w:rsidRDefault="00D35360" w:rsidP="00B066FE">
            <w:pPr>
              <w:rPr>
                <w:sz w:val="20"/>
                <w:szCs w:val="20"/>
              </w:rPr>
            </w:pPr>
          </w:p>
          <w:p w14:paraId="3A981860" w14:textId="77777777" w:rsidR="00D35360" w:rsidRPr="00B066FE" w:rsidRDefault="00D35360" w:rsidP="00B066FE">
            <w:pPr>
              <w:rPr>
                <w:sz w:val="20"/>
                <w:szCs w:val="20"/>
              </w:rPr>
            </w:pPr>
          </w:p>
          <w:p w14:paraId="3A981861" w14:textId="77777777" w:rsidR="00D35360" w:rsidRPr="00B066FE" w:rsidRDefault="00D35360" w:rsidP="00B066FE">
            <w:pPr>
              <w:rPr>
                <w:sz w:val="20"/>
                <w:szCs w:val="20"/>
              </w:rPr>
            </w:pPr>
          </w:p>
          <w:p w14:paraId="3A981862" w14:textId="77777777" w:rsidR="00D35360" w:rsidRPr="00B066FE" w:rsidRDefault="00D35360" w:rsidP="00B066FE">
            <w:pPr>
              <w:rPr>
                <w:sz w:val="20"/>
                <w:szCs w:val="20"/>
              </w:rPr>
            </w:pPr>
          </w:p>
          <w:p w14:paraId="3A981863" w14:textId="77777777" w:rsidR="00D35360" w:rsidRPr="00B066FE" w:rsidRDefault="00D35360" w:rsidP="00B066FE">
            <w:pPr>
              <w:rPr>
                <w:sz w:val="20"/>
                <w:szCs w:val="20"/>
              </w:rPr>
            </w:pPr>
          </w:p>
          <w:p w14:paraId="3A981864" w14:textId="77777777" w:rsidR="00D35360" w:rsidRPr="00B066FE" w:rsidRDefault="00D35360" w:rsidP="00B066FE">
            <w:pPr>
              <w:rPr>
                <w:sz w:val="20"/>
                <w:szCs w:val="20"/>
              </w:rPr>
            </w:pPr>
          </w:p>
        </w:tc>
      </w:tr>
      <w:tr w:rsidR="00EA42AE" w14:paraId="3A98186F" w14:textId="77777777" w:rsidTr="00094BF0">
        <w:trPr>
          <w:trHeight w:hRule="exact" w:val="1531"/>
        </w:trPr>
        <w:tc>
          <w:tcPr>
            <w:tcW w:w="5062" w:type="dxa"/>
          </w:tcPr>
          <w:p w14:paraId="3A981866" w14:textId="77777777" w:rsidR="00EA42AE" w:rsidRDefault="00C16907" w:rsidP="00B066FE">
            <w:r>
              <w:t>MINISTRI MÄÄRUS</w:t>
            </w:r>
          </w:p>
        </w:tc>
        <w:tc>
          <w:tcPr>
            <w:tcW w:w="4010" w:type="dxa"/>
          </w:tcPr>
          <w:p w14:paraId="3A981867" w14:textId="77777777" w:rsidR="00EA42AE" w:rsidRDefault="00EA42AE" w:rsidP="00B066FE"/>
          <w:p w14:paraId="3A981868" w14:textId="77777777" w:rsidR="0009319A" w:rsidRDefault="0009319A" w:rsidP="00B066FE"/>
          <w:p w14:paraId="3A981869"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3A98186C" w14:textId="77777777" w:rsidTr="000C6B61">
              <w:trPr>
                <w:trHeight w:val="281"/>
              </w:trPr>
              <w:tc>
                <w:tcPr>
                  <w:tcW w:w="1276" w:type="dxa"/>
                </w:tcPr>
                <w:p w14:paraId="3A98186A" w14:textId="38E3DDAF" w:rsidR="00C16907" w:rsidRPr="00425DCB" w:rsidRDefault="00FE755F" w:rsidP="00C16907">
                  <w:pPr>
                    <w:ind w:left="-108" w:right="-108"/>
                    <w:rPr>
                      <w:rFonts w:eastAsia="Times New Roman" w:cs="Arial"/>
                    </w:rPr>
                  </w:pPr>
                  <w:r>
                    <w:rPr>
                      <w:rFonts w:eastAsia="Times New Roman" w:cs="Arial"/>
                    </w:rPr>
                    <w:fldChar w:fldCharType="begin"/>
                  </w:r>
                  <w:r w:rsidR="00353BEF">
                    <w:rPr>
                      <w:rFonts w:eastAsia="Times New Roman" w:cs="Arial"/>
                    </w:rPr>
                    <w:instrText xml:space="preserve"> delta_regDateTime  \* MERGEFORMAT</w:instrText>
                  </w:r>
                  <w:r>
                    <w:rPr>
                      <w:rFonts w:eastAsia="Times New Roman" w:cs="Arial"/>
                    </w:rPr>
                    <w:fldChar w:fldCharType="separate"/>
                  </w:r>
                  <w:r w:rsidR="00353BEF">
                    <w:rPr>
                      <w:rFonts w:eastAsia="Times New Roman" w:cs="Arial"/>
                    </w:rPr>
                    <w:t>10.12.2025</w:t>
                  </w:r>
                  <w:r>
                    <w:rPr>
                      <w:rFonts w:eastAsia="Times New Roman" w:cs="Arial"/>
                    </w:rPr>
                    <w:fldChar w:fldCharType="end"/>
                  </w:r>
                </w:p>
              </w:tc>
              <w:tc>
                <w:tcPr>
                  <w:tcW w:w="2689" w:type="dxa"/>
                </w:tcPr>
                <w:p w14:paraId="3A98186B" w14:textId="0C8B67AF"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353BEF">
                    <w:rPr>
                      <w:rFonts w:eastAsia="Times New Roman" w:cs="Arial"/>
                    </w:rPr>
                    <w:instrText xml:space="preserve"> delta_regNumber  \* MERGEFORMAT</w:instrText>
                  </w:r>
                  <w:r w:rsidR="00FE755F">
                    <w:rPr>
                      <w:rFonts w:eastAsia="Times New Roman" w:cs="Arial"/>
                    </w:rPr>
                    <w:fldChar w:fldCharType="separate"/>
                  </w:r>
                  <w:r w:rsidR="00353BEF">
                    <w:rPr>
                      <w:rFonts w:eastAsia="Times New Roman" w:cs="Arial"/>
                    </w:rPr>
                    <w:t>69</w:t>
                  </w:r>
                  <w:r w:rsidR="00FE755F">
                    <w:rPr>
                      <w:rFonts w:eastAsia="Times New Roman" w:cs="Arial"/>
                    </w:rPr>
                    <w:fldChar w:fldCharType="end"/>
                  </w:r>
                </w:p>
              </w:tc>
            </w:tr>
          </w:tbl>
          <w:p w14:paraId="3A98186D" w14:textId="77777777" w:rsidR="0009319A" w:rsidRDefault="0009319A" w:rsidP="00B066FE"/>
          <w:p w14:paraId="3A98186E" w14:textId="77777777" w:rsidR="0009319A" w:rsidRDefault="0009319A" w:rsidP="00B066FE"/>
        </w:tc>
      </w:tr>
      <w:tr w:rsidR="00EA42AE" w:rsidRPr="002534CF" w14:paraId="3A981874" w14:textId="77777777" w:rsidTr="00094BF0">
        <w:trPr>
          <w:trHeight w:val="624"/>
        </w:trPr>
        <w:tc>
          <w:tcPr>
            <w:tcW w:w="5062" w:type="dxa"/>
          </w:tcPr>
          <w:p w14:paraId="3A981870" w14:textId="5E21ADE9" w:rsidR="00C21D9A" w:rsidRPr="00A54032" w:rsidRDefault="001A6FC5" w:rsidP="00B066FE">
            <w:pPr>
              <w:rPr>
                <w:b/>
                <w:bCs/>
              </w:rPr>
            </w:pPr>
            <w:r w:rsidRPr="00A54032">
              <w:rPr>
                <w:b/>
                <w:bCs/>
              </w:rPr>
              <w:fldChar w:fldCharType="begin"/>
            </w:r>
            <w:r w:rsidR="00353BEF">
              <w:rPr>
                <w:b/>
                <w:bCs/>
              </w:rPr>
              <w:instrText xml:space="preserve"> delta_docName  \* MERGEFORMAT</w:instrText>
            </w:r>
            <w:r w:rsidRPr="00A54032">
              <w:rPr>
                <w:b/>
                <w:bCs/>
              </w:rPr>
              <w:fldChar w:fldCharType="separate"/>
            </w:r>
            <w:r w:rsidR="00353BEF">
              <w:rPr>
                <w:b/>
                <w:bCs/>
              </w:rPr>
              <w:t>Tervise- ja tööministri 12. detsembri 2022. a määruse nr 86 „Tervisekassa meditsiiniseadmete loetelu“ muutmine</w:t>
            </w:r>
            <w:r w:rsidRPr="00A54032">
              <w:rPr>
                <w:b/>
                <w:bCs/>
              </w:rPr>
              <w:fldChar w:fldCharType="end"/>
            </w:r>
          </w:p>
          <w:p w14:paraId="3A981871" w14:textId="77777777" w:rsidR="00FE4683" w:rsidRPr="002534CF" w:rsidRDefault="00FE4683" w:rsidP="00B066FE">
            <w:pPr>
              <w:rPr>
                <w:rFonts w:cs="Arial"/>
              </w:rPr>
            </w:pPr>
          </w:p>
          <w:p w14:paraId="3A981872" w14:textId="77777777" w:rsidR="00FE4683" w:rsidRPr="002534CF" w:rsidRDefault="00FE4683" w:rsidP="00B066FE">
            <w:pPr>
              <w:rPr>
                <w:rFonts w:cs="Arial"/>
              </w:rPr>
            </w:pPr>
          </w:p>
        </w:tc>
        <w:tc>
          <w:tcPr>
            <w:tcW w:w="4010" w:type="dxa"/>
          </w:tcPr>
          <w:p w14:paraId="3A981873" w14:textId="77777777" w:rsidR="00EA42AE" w:rsidRPr="002534CF" w:rsidRDefault="00EA42AE" w:rsidP="00B066FE"/>
        </w:tc>
      </w:tr>
    </w:tbl>
    <w:p w14:paraId="3A981875" w14:textId="1CEC3728" w:rsidR="00094BF0" w:rsidRDefault="00A54032" w:rsidP="00A54032">
      <w:pPr>
        <w:jc w:val="both"/>
        <w:rPr>
          <w:rFonts w:cs="Arial"/>
        </w:rPr>
      </w:pPr>
      <w:r w:rsidRPr="007843D7">
        <w:rPr>
          <w:rFonts w:cs="Arial"/>
        </w:rPr>
        <w:t>Määrus kehtestatakse ravikindlustuse seaduse § 48 lõike 4 alusel.</w:t>
      </w:r>
    </w:p>
    <w:p w14:paraId="3A981876" w14:textId="77777777" w:rsidR="007352AA" w:rsidRDefault="007352AA" w:rsidP="00094BF0">
      <w:pPr>
        <w:rPr>
          <w:rFonts w:cs="Arial"/>
        </w:rPr>
      </w:pPr>
    </w:p>
    <w:p w14:paraId="0D491FAA" w14:textId="77777777" w:rsidR="00A54032" w:rsidRPr="007843D7" w:rsidRDefault="00A54032" w:rsidP="00A54032">
      <w:pPr>
        <w:jc w:val="both"/>
        <w:rPr>
          <w:rFonts w:cs="Arial"/>
          <w:b/>
          <w:bCs/>
          <w:color w:val="000000"/>
        </w:rPr>
      </w:pPr>
      <w:r w:rsidRPr="007843D7">
        <w:rPr>
          <w:rFonts w:cs="Arial"/>
          <w:b/>
          <w:bCs/>
          <w:color w:val="000000"/>
          <w:bdr w:val="none" w:sz="0" w:space="0" w:color="auto" w:frame="1"/>
        </w:rPr>
        <w:t xml:space="preserve">§ 1. </w:t>
      </w:r>
      <w:r w:rsidRPr="007843D7">
        <w:rPr>
          <w:rFonts w:cs="Arial"/>
          <w:b/>
          <w:bCs/>
          <w:color w:val="000000"/>
        </w:rPr>
        <w:t>Määruse muutmine</w:t>
      </w:r>
    </w:p>
    <w:p w14:paraId="4950660B" w14:textId="77777777" w:rsidR="00A54032" w:rsidRPr="007843D7" w:rsidRDefault="00A54032" w:rsidP="00A54032">
      <w:pPr>
        <w:jc w:val="both"/>
        <w:rPr>
          <w:rFonts w:cs="Arial"/>
          <w:bCs/>
          <w:color w:val="000000"/>
        </w:rPr>
      </w:pPr>
    </w:p>
    <w:p w14:paraId="2C67910F" w14:textId="77777777" w:rsidR="00A54032" w:rsidRPr="007843D7" w:rsidRDefault="00A54032" w:rsidP="00A54032">
      <w:pPr>
        <w:jc w:val="both"/>
        <w:rPr>
          <w:rFonts w:cs="Arial"/>
        </w:rPr>
      </w:pPr>
      <w:r w:rsidRPr="007843D7">
        <w:rPr>
          <w:rFonts w:cs="Arial"/>
        </w:rPr>
        <w:t>Tervise- ja tööministri 12. detsembri 2022. a määruses nr 86 „Tervisekassa meditsiiniseadmete loetelu</w:t>
      </w:r>
      <w:r>
        <w:rPr>
          <w:rFonts w:cs="Arial"/>
        </w:rPr>
        <w:t>“</w:t>
      </w:r>
      <w:r w:rsidRPr="007843D7">
        <w:rPr>
          <w:rFonts w:cs="Arial"/>
        </w:rPr>
        <w:t xml:space="preserve"> tehakse järgmised muudatused</w:t>
      </w:r>
      <w:r>
        <w:rPr>
          <w:rFonts w:cs="Arial"/>
        </w:rPr>
        <w:t>:</w:t>
      </w:r>
    </w:p>
    <w:p w14:paraId="1C34B6DB" w14:textId="77777777" w:rsidR="00A54032" w:rsidRPr="007843D7" w:rsidRDefault="00A54032" w:rsidP="00A54032">
      <w:pPr>
        <w:jc w:val="both"/>
        <w:rPr>
          <w:rFonts w:cs="Arial"/>
          <w:b/>
          <w:bCs/>
        </w:rPr>
      </w:pPr>
    </w:p>
    <w:p w14:paraId="2D57B132" w14:textId="77777777" w:rsidR="00A54032" w:rsidRDefault="00A54032" w:rsidP="00A54032">
      <w:pPr>
        <w:jc w:val="both"/>
        <w:rPr>
          <w:rFonts w:cs="Arial"/>
        </w:rPr>
      </w:pPr>
      <w:r w:rsidRPr="024C97DC">
        <w:rPr>
          <w:rFonts w:cs="Arial"/>
          <w:b/>
          <w:bCs/>
        </w:rPr>
        <w:t>1)</w:t>
      </w:r>
      <w:r>
        <w:t xml:space="preserve"> </w:t>
      </w:r>
      <w:r w:rsidRPr="024C97DC">
        <w:rPr>
          <w:rFonts w:cs="Arial"/>
        </w:rPr>
        <w:t>paragrahvi 5 täiendatakse punktiga 8 järgmises sõnastuses:</w:t>
      </w:r>
    </w:p>
    <w:p w14:paraId="1835A980" w14:textId="77777777" w:rsidR="00A54032" w:rsidRDefault="00A54032" w:rsidP="00A54032">
      <w:pPr>
        <w:jc w:val="both"/>
        <w:rPr>
          <w:rFonts w:cs="Arial"/>
        </w:rPr>
      </w:pPr>
    </w:p>
    <w:p w14:paraId="5DB46146" w14:textId="0DEC7572" w:rsidR="00A54032" w:rsidRPr="004A0EBC" w:rsidRDefault="00A54032" w:rsidP="00A54032">
      <w:pPr>
        <w:jc w:val="both"/>
        <w:rPr>
          <w:rFonts w:cs="Arial"/>
          <w:color w:val="000000" w:themeColor="text1"/>
        </w:rPr>
      </w:pPr>
      <w:r w:rsidRPr="66A2E91F">
        <w:rPr>
          <w:rFonts w:cs="Arial"/>
        </w:rPr>
        <w:t>„</w:t>
      </w:r>
      <w:r w:rsidRPr="66A2E91F">
        <w:rPr>
          <w:rFonts w:cs="Arial"/>
          <w:color w:val="000000"/>
          <w:shd w:val="clear" w:color="auto" w:fill="FFFFFF"/>
        </w:rPr>
        <w:t>8)</w:t>
      </w:r>
      <w:r w:rsidR="00DE7F95">
        <w:rPr>
          <w:rFonts w:cs="Arial"/>
          <w:color w:val="000000"/>
          <w:shd w:val="clear" w:color="auto" w:fill="FFFFFF"/>
        </w:rPr>
        <w:t xml:space="preserve"> </w:t>
      </w:r>
      <w:r w:rsidRPr="66A2E91F">
        <w:rPr>
          <w:rFonts w:cs="Arial"/>
          <w:color w:val="000000"/>
          <w:shd w:val="clear" w:color="auto" w:fill="FFFFFF"/>
        </w:rPr>
        <w:t xml:space="preserve">osteoporoosiga patsiendile, kellele Tervisekassa hüvitab soodusravimite loetelu kaudu </w:t>
      </w:r>
      <w:proofErr w:type="spellStart"/>
      <w:r w:rsidRPr="66A2E91F">
        <w:rPr>
          <w:rFonts w:cs="Arial"/>
          <w:color w:val="000000"/>
          <w:shd w:val="clear" w:color="auto" w:fill="FFFFFF"/>
        </w:rPr>
        <w:t>teriparatiidi</w:t>
      </w:r>
      <w:proofErr w:type="spellEnd"/>
      <w:r w:rsidRPr="66A2E91F">
        <w:rPr>
          <w:rFonts w:cs="Arial"/>
          <w:color w:val="000000"/>
          <w:shd w:val="clear" w:color="auto" w:fill="FFFFFF"/>
        </w:rPr>
        <w:t xml:space="preserve"> süsteravi, kuni </w:t>
      </w:r>
      <w:r>
        <w:rPr>
          <w:rFonts w:cs="Arial"/>
          <w:color w:val="000000"/>
          <w:shd w:val="clear" w:color="auto" w:fill="FFFFFF"/>
        </w:rPr>
        <w:t>200</w:t>
      </w:r>
      <w:r w:rsidRPr="66A2E91F">
        <w:rPr>
          <w:rFonts w:cs="Arial"/>
          <w:color w:val="000000"/>
          <w:shd w:val="clear" w:color="auto" w:fill="FFFFFF"/>
        </w:rPr>
        <w:t xml:space="preserve"> nõela eest kalendripoolaastas kahe kalendriaasta jooksul.</w:t>
      </w:r>
      <w:r>
        <w:rPr>
          <w:rFonts w:cs="Arial"/>
          <w:color w:val="000000"/>
          <w:shd w:val="clear" w:color="auto" w:fill="FFFFFF"/>
        </w:rPr>
        <w:t>“</w:t>
      </w:r>
      <w:r w:rsidRPr="66A2E91F">
        <w:rPr>
          <w:rFonts w:cs="Arial"/>
          <w:color w:val="000000"/>
          <w:shd w:val="clear" w:color="auto" w:fill="FFFFFF"/>
        </w:rPr>
        <w:t>;</w:t>
      </w:r>
      <w:bookmarkStart w:id="0" w:name="_Hlk195538771"/>
      <w:bookmarkEnd w:id="0"/>
    </w:p>
    <w:p w14:paraId="6C04A919" w14:textId="77777777" w:rsidR="00A54032" w:rsidRDefault="00A54032" w:rsidP="00A54032">
      <w:pPr>
        <w:jc w:val="both"/>
        <w:rPr>
          <w:rFonts w:cs="Arial"/>
        </w:rPr>
      </w:pPr>
    </w:p>
    <w:p w14:paraId="09D808CA" w14:textId="77777777" w:rsidR="00A54032" w:rsidRDefault="00A54032" w:rsidP="00A54032">
      <w:pPr>
        <w:jc w:val="both"/>
        <w:rPr>
          <w:rFonts w:cs="Arial"/>
        </w:rPr>
      </w:pPr>
      <w:r w:rsidRPr="59F9ED87">
        <w:rPr>
          <w:rFonts w:cs="Arial"/>
          <w:b/>
          <w:bCs/>
        </w:rPr>
        <w:t xml:space="preserve">2) </w:t>
      </w:r>
      <w:r w:rsidRPr="59F9ED87">
        <w:rPr>
          <w:rFonts w:cs="Arial"/>
        </w:rPr>
        <w:t>paragrahvi 9 punktis 1 asendatakse arv „550“ arvuga „730“;</w:t>
      </w:r>
    </w:p>
    <w:p w14:paraId="3FD5E5A8" w14:textId="77777777" w:rsidR="00A54032" w:rsidRDefault="00A54032" w:rsidP="00A54032">
      <w:pPr>
        <w:jc w:val="both"/>
        <w:rPr>
          <w:rFonts w:cs="Arial"/>
        </w:rPr>
      </w:pPr>
    </w:p>
    <w:p w14:paraId="0BD82152" w14:textId="77777777" w:rsidR="00A54032" w:rsidRDefault="00A54032" w:rsidP="00A54032">
      <w:pPr>
        <w:jc w:val="both"/>
        <w:rPr>
          <w:rFonts w:cs="Arial"/>
        </w:rPr>
      </w:pPr>
      <w:r w:rsidRPr="59F9ED87">
        <w:rPr>
          <w:rFonts w:cs="Arial"/>
          <w:b/>
          <w:bCs/>
        </w:rPr>
        <w:t>3)</w:t>
      </w:r>
      <w:r w:rsidRPr="59F9ED87">
        <w:rPr>
          <w:rFonts w:cs="Arial"/>
        </w:rPr>
        <w:t xml:space="preserve"> paragrahvi 9 punktis 2 asendatakse arv „920“ arvuga „1080“;</w:t>
      </w:r>
    </w:p>
    <w:p w14:paraId="7D82FE9B" w14:textId="77777777" w:rsidR="00A54032" w:rsidRDefault="00A54032" w:rsidP="00A54032">
      <w:pPr>
        <w:jc w:val="both"/>
        <w:rPr>
          <w:rFonts w:cs="Arial"/>
        </w:rPr>
      </w:pPr>
    </w:p>
    <w:p w14:paraId="256E8CE0" w14:textId="77777777" w:rsidR="00A54032" w:rsidRDefault="00A54032" w:rsidP="00A54032">
      <w:pPr>
        <w:jc w:val="both"/>
        <w:rPr>
          <w:rFonts w:cs="Arial"/>
        </w:rPr>
      </w:pPr>
      <w:r w:rsidRPr="2654CDD4">
        <w:rPr>
          <w:rFonts w:cs="Arial"/>
          <w:b/>
          <w:bCs/>
        </w:rPr>
        <w:t>4)</w:t>
      </w:r>
      <w:r w:rsidRPr="2654CDD4">
        <w:rPr>
          <w:rFonts w:cs="Arial"/>
        </w:rPr>
        <w:t xml:space="preserve"> paragrahvis 10 asendatakse arv „22“ arvuga „28“;</w:t>
      </w:r>
    </w:p>
    <w:p w14:paraId="1D1F3DED" w14:textId="77777777" w:rsidR="00A54032" w:rsidRDefault="00A54032" w:rsidP="00A54032">
      <w:pPr>
        <w:jc w:val="both"/>
        <w:rPr>
          <w:rFonts w:cs="Arial"/>
        </w:rPr>
      </w:pPr>
    </w:p>
    <w:p w14:paraId="52976AB0" w14:textId="77777777" w:rsidR="00A54032" w:rsidRDefault="00A54032" w:rsidP="00A54032">
      <w:pPr>
        <w:jc w:val="both"/>
        <w:rPr>
          <w:rFonts w:cs="Arial"/>
        </w:rPr>
      </w:pPr>
      <w:r w:rsidRPr="59F9ED87">
        <w:rPr>
          <w:rFonts w:cs="Arial"/>
          <w:b/>
          <w:bCs/>
        </w:rPr>
        <w:t>5)</w:t>
      </w:r>
      <w:r w:rsidRPr="59F9ED87">
        <w:rPr>
          <w:rFonts w:cs="Arial"/>
        </w:rPr>
        <w:t xml:space="preserve"> paragrahvis 11 asendatakse sõna „üheksa“ arvuga „13“;</w:t>
      </w:r>
    </w:p>
    <w:p w14:paraId="15E4C79E" w14:textId="77777777" w:rsidR="00A54032" w:rsidRPr="007843D7" w:rsidRDefault="00A54032" w:rsidP="00A54032">
      <w:pPr>
        <w:jc w:val="both"/>
        <w:rPr>
          <w:rFonts w:cs="Arial"/>
        </w:rPr>
      </w:pPr>
    </w:p>
    <w:p w14:paraId="04CABE89" w14:textId="77777777" w:rsidR="00A54032" w:rsidRDefault="00A54032" w:rsidP="00A54032">
      <w:pPr>
        <w:jc w:val="both"/>
        <w:rPr>
          <w:rFonts w:cs="Arial"/>
        </w:rPr>
      </w:pPr>
      <w:r w:rsidRPr="2654CDD4">
        <w:rPr>
          <w:rFonts w:cs="Arial"/>
          <w:b/>
          <w:bCs/>
        </w:rPr>
        <w:t>6)</w:t>
      </w:r>
      <w:r w:rsidRPr="2654CDD4">
        <w:rPr>
          <w:rFonts w:cs="Arial"/>
        </w:rPr>
        <w:t xml:space="preserve"> paragrahvis 13 asendatakse arv „360“ arvuga „540“;</w:t>
      </w:r>
    </w:p>
    <w:p w14:paraId="70FC41D8" w14:textId="77777777" w:rsidR="00A54032" w:rsidRDefault="00A54032" w:rsidP="00A54032">
      <w:pPr>
        <w:jc w:val="both"/>
        <w:rPr>
          <w:rFonts w:cs="Arial"/>
        </w:rPr>
      </w:pPr>
    </w:p>
    <w:p w14:paraId="1876DE87" w14:textId="77777777" w:rsidR="00A54032" w:rsidRPr="00DD1CCA" w:rsidRDefault="00A54032" w:rsidP="00A54032">
      <w:pPr>
        <w:jc w:val="both"/>
        <w:rPr>
          <w:rFonts w:cs="Arial"/>
        </w:rPr>
      </w:pPr>
      <w:r w:rsidRPr="1D603520">
        <w:rPr>
          <w:rFonts w:cs="Arial"/>
          <w:b/>
          <w:bCs/>
        </w:rPr>
        <w:t>7)</w:t>
      </w:r>
      <w:r w:rsidRPr="1D603520">
        <w:rPr>
          <w:rFonts w:cs="Arial"/>
        </w:rPr>
        <w:t xml:space="preserve"> paragrahvi 44 täiendatakse punktiga 5 järgmises sõnastuses:</w:t>
      </w:r>
    </w:p>
    <w:p w14:paraId="2343999E" w14:textId="77777777" w:rsidR="00A54032" w:rsidRPr="00DD1CCA" w:rsidRDefault="00A54032" w:rsidP="00A54032">
      <w:pPr>
        <w:jc w:val="both"/>
        <w:rPr>
          <w:rFonts w:cs="Arial"/>
        </w:rPr>
      </w:pPr>
    </w:p>
    <w:p w14:paraId="7368FB31" w14:textId="77777777" w:rsidR="00A54032" w:rsidRPr="007843D7" w:rsidRDefault="00A54032" w:rsidP="00A54032">
      <w:pPr>
        <w:jc w:val="both"/>
        <w:rPr>
          <w:rFonts w:cs="Arial"/>
        </w:rPr>
      </w:pPr>
      <w:r w:rsidRPr="7EE5651B">
        <w:rPr>
          <w:rFonts w:cs="Arial"/>
        </w:rPr>
        <w:t xml:space="preserve">„5) vähemalt 26-aastasele I tüübi diabeedi haigele, kes on </w:t>
      </w:r>
      <w:proofErr w:type="spellStart"/>
      <w:r w:rsidRPr="7EE5651B">
        <w:rPr>
          <w:rFonts w:cs="Arial"/>
        </w:rPr>
        <w:t>parenteraalsel</w:t>
      </w:r>
      <w:proofErr w:type="spellEnd"/>
      <w:r w:rsidRPr="7EE5651B">
        <w:rPr>
          <w:rFonts w:cs="Arial"/>
        </w:rPr>
        <w:t xml:space="preserve"> või </w:t>
      </w:r>
      <w:proofErr w:type="spellStart"/>
      <w:r w:rsidRPr="7EE5651B">
        <w:rPr>
          <w:rFonts w:cs="Arial"/>
        </w:rPr>
        <w:t>enteraalsel</w:t>
      </w:r>
      <w:proofErr w:type="spellEnd"/>
      <w:r w:rsidRPr="7EE5651B">
        <w:rPr>
          <w:rFonts w:cs="Arial"/>
        </w:rPr>
        <w:t xml:space="preserve"> toitmisel ja ei ole eelneva kuue kuu jooksul pideva glükoosimonitooringuga ravieesmärke saavutanud, kuid kes on pumbaraviks motiveeritud, ühe insuliinipumba eest viie kalendriaasta jooksul või nelja kalendriaasta jooksul, kui insuliinipump ei ole kasutajast mitteolenevatel põhjustel töökorras pärast neljandat kasutusaastat. Pumbaravi lõpetatakse, kui kahe kuuekuulise glükoosinäitude (HbA1c ja TIR) hindamise vältel ei ole diabeedi kompensatsioonis olulist positiivset efekti saavutatud. Insuliinipumba väljakirjutamise õigus on endokrinoloogil tingimusel, et eelmise Tervisekassa soodustusega insuliinipumba ostust on möödunud vähemalt neli aastat.“;</w:t>
      </w:r>
    </w:p>
    <w:p w14:paraId="1D797ADE" w14:textId="77777777" w:rsidR="00A54032" w:rsidRDefault="00A54032" w:rsidP="00A54032">
      <w:pPr>
        <w:jc w:val="both"/>
        <w:rPr>
          <w:rFonts w:cs="Arial"/>
        </w:rPr>
      </w:pPr>
    </w:p>
    <w:p w14:paraId="586B580F" w14:textId="77777777" w:rsidR="00A54032" w:rsidRDefault="00A54032" w:rsidP="00A54032">
      <w:pPr>
        <w:jc w:val="both"/>
        <w:rPr>
          <w:rFonts w:cs="Arial"/>
        </w:rPr>
      </w:pPr>
      <w:r w:rsidRPr="1BD69A5E">
        <w:rPr>
          <w:rFonts w:cs="Arial"/>
          <w:b/>
          <w:bCs/>
        </w:rPr>
        <w:t xml:space="preserve">8) </w:t>
      </w:r>
      <w:r w:rsidRPr="1BD69A5E">
        <w:rPr>
          <w:rFonts w:cs="Arial"/>
        </w:rPr>
        <w:t>paragrahvid 45</w:t>
      </w:r>
      <w:r>
        <w:rPr>
          <w:rFonts w:cs="Arial"/>
        </w:rPr>
        <w:t>–48</w:t>
      </w:r>
      <w:r w:rsidRPr="1BD69A5E">
        <w:rPr>
          <w:rFonts w:cs="Arial"/>
        </w:rPr>
        <w:t xml:space="preserve"> sõnastatakse järgmiselt:</w:t>
      </w:r>
    </w:p>
    <w:p w14:paraId="291E273E" w14:textId="77777777" w:rsidR="00A54032" w:rsidRDefault="00A54032" w:rsidP="00A54032">
      <w:pPr>
        <w:jc w:val="both"/>
        <w:rPr>
          <w:rFonts w:cs="Arial"/>
        </w:rPr>
      </w:pPr>
    </w:p>
    <w:p w14:paraId="04D44FAB" w14:textId="77777777" w:rsidR="00A54032" w:rsidRDefault="00A54032" w:rsidP="00A54032">
      <w:pPr>
        <w:jc w:val="both"/>
        <w:rPr>
          <w:rFonts w:cs="Arial"/>
          <w:b/>
          <w:bCs/>
        </w:rPr>
      </w:pPr>
      <w:r w:rsidRPr="7EE5651B">
        <w:rPr>
          <w:rFonts w:cs="Arial"/>
        </w:rPr>
        <w:t>„</w:t>
      </w:r>
      <w:r w:rsidRPr="405E7F66">
        <w:rPr>
          <w:rFonts w:cs="Arial"/>
          <w:b/>
          <w:bCs/>
        </w:rPr>
        <w:t>§ 45. Insuliinipumba infusioonivahendid</w:t>
      </w:r>
    </w:p>
    <w:p w14:paraId="6000F3F0" w14:textId="77777777" w:rsidR="00A54032" w:rsidRDefault="00A54032" w:rsidP="00A54032">
      <w:pPr>
        <w:jc w:val="both"/>
        <w:rPr>
          <w:rFonts w:cs="Arial"/>
          <w:b/>
          <w:bCs/>
        </w:rPr>
      </w:pPr>
    </w:p>
    <w:p w14:paraId="1F9B2D75" w14:textId="77777777" w:rsidR="00A54032" w:rsidRDefault="00A54032" w:rsidP="00A54032">
      <w:pPr>
        <w:jc w:val="both"/>
      </w:pPr>
      <w:r w:rsidRPr="405E7F66">
        <w:rPr>
          <w:rFonts w:cs="Arial"/>
        </w:rPr>
        <w:t xml:space="preserve">Tervisekassa võtab kindlustatud isikule vajalike insuliinipumba infusioonivahendite eest tasu maksmise kohustuse üle järgmistel juhtudel </w:t>
      </w:r>
      <w:r>
        <w:rPr>
          <w:rFonts w:cs="Arial"/>
        </w:rPr>
        <w:t>järgmises</w:t>
      </w:r>
      <w:r w:rsidRPr="405E7F66">
        <w:rPr>
          <w:rFonts w:cs="Arial"/>
        </w:rPr>
        <w:t xml:space="preserve"> ulatuses:</w:t>
      </w:r>
    </w:p>
    <w:p w14:paraId="1F2BB13B" w14:textId="77777777" w:rsidR="00A54032" w:rsidRDefault="00A54032" w:rsidP="00A54032">
      <w:pPr>
        <w:jc w:val="both"/>
      </w:pPr>
      <w:r w:rsidRPr="405E7F66">
        <w:rPr>
          <w:rFonts w:cs="Arial"/>
        </w:rPr>
        <w:t xml:space="preserve">1) insuliinipumba ravi saavalt alla 19-aastaselt kindlustatud isikult kuni 60 </w:t>
      </w:r>
      <w:proofErr w:type="spellStart"/>
      <w:r w:rsidRPr="405E7F66">
        <w:rPr>
          <w:rFonts w:cs="Arial"/>
        </w:rPr>
        <w:t>Medtronic</w:t>
      </w:r>
      <w:proofErr w:type="spellEnd"/>
      <w:r w:rsidRPr="405E7F66">
        <w:rPr>
          <w:rFonts w:cs="Arial"/>
        </w:rPr>
        <w:t xml:space="preserve"> </w:t>
      </w:r>
      <w:proofErr w:type="spellStart"/>
      <w:r w:rsidRPr="405E7F66">
        <w:rPr>
          <w:rFonts w:cs="Arial"/>
        </w:rPr>
        <w:t>Extended</w:t>
      </w:r>
      <w:proofErr w:type="spellEnd"/>
      <w:r w:rsidRPr="405E7F66">
        <w:rPr>
          <w:rFonts w:cs="Arial"/>
        </w:rPr>
        <w:t xml:space="preserve">, 120 </w:t>
      </w:r>
      <w:proofErr w:type="spellStart"/>
      <w:r w:rsidRPr="405E7F66">
        <w:rPr>
          <w:rFonts w:cs="Arial"/>
        </w:rPr>
        <w:t>Quick-Set</w:t>
      </w:r>
      <w:proofErr w:type="spellEnd"/>
      <w:r w:rsidRPr="405E7F66">
        <w:rPr>
          <w:rFonts w:cs="Arial"/>
        </w:rPr>
        <w:t xml:space="preserve">, 120 </w:t>
      </w:r>
      <w:proofErr w:type="spellStart"/>
      <w:r w:rsidRPr="405E7F66">
        <w:rPr>
          <w:rFonts w:cs="Arial"/>
        </w:rPr>
        <w:t>Silhouette</w:t>
      </w:r>
      <w:proofErr w:type="spellEnd"/>
      <w:r w:rsidRPr="405E7F66">
        <w:rPr>
          <w:rFonts w:cs="Arial"/>
        </w:rPr>
        <w:t xml:space="preserve">, 120 </w:t>
      </w:r>
      <w:proofErr w:type="spellStart"/>
      <w:r w:rsidRPr="405E7F66">
        <w:rPr>
          <w:rFonts w:cs="Arial"/>
        </w:rPr>
        <w:t>Mio</w:t>
      </w:r>
      <w:proofErr w:type="spellEnd"/>
      <w:r w:rsidRPr="405E7F66">
        <w:rPr>
          <w:rFonts w:cs="Arial"/>
        </w:rPr>
        <w:t xml:space="preserve"> või kuni 180 </w:t>
      </w:r>
      <w:proofErr w:type="spellStart"/>
      <w:r w:rsidRPr="405E7F66">
        <w:rPr>
          <w:rFonts w:cs="Arial"/>
        </w:rPr>
        <w:t>Sure-T</w:t>
      </w:r>
      <w:proofErr w:type="spellEnd"/>
      <w:r w:rsidRPr="405E7F66">
        <w:rPr>
          <w:rFonts w:cs="Arial"/>
        </w:rPr>
        <w:t xml:space="preserve"> infusioonivahendi eest kalendriaastas;</w:t>
      </w:r>
    </w:p>
    <w:p w14:paraId="6A3AE219" w14:textId="77777777" w:rsidR="00A54032" w:rsidRDefault="00A54032" w:rsidP="00A54032">
      <w:pPr>
        <w:jc w:val="both"/>
      </w:pPr>
      <w:r w:rsidRPr="405E7F66">
        <w:rPr>
          <w:rFonts w:cs="Arial"/>
        </w:rPr>
        <w:t xml:space="preserve">2) insuliinipumba ravi saavalt 19–25-aastaselt kindlustatud isikult, kes vastab § 44 punktis 3 sätestatud tingimustele, kuni </w:t>
      </w:r>
      <w:r w:rsidRPr="405E7F66">
        <w:rPr>
          <w:rFonts w:eastAsia="Arial" w:cs="Arial"/>
          <w:color w:val="000000" w:themeColor="text1"/>
        </w:rPr>
        <w:t xml:space="preserve">30 </w:t>
      </w:r>
      <w:proofErr w:type="spellStart"/>
      <w:r w:rsidRPr="405E7F66">
        <w:rPr>
          <w:rFonts w:eastAsia="Arial" w:cs="Arial"/>
          <w:color w:val="000000" w:themeColor="text1"/>
        </w:rPr>
        <w:t>Medtronic</w:t>
      </w:r>
      <w:proofErr w:type="spellEnd"/>
      <w:r w:rsidRPr="405E7F66">
        <w:rPr>
          <w:rFonts w:eastAsia="Arial" w:cs="Arial"/>
          <w:color w:val="000000" w:themeColor="text1"/>
        </w:rPr>
        <w:t xml:space="preserve"> </w:t>
      </w:r>
      <w:proofErr w:type="spellStart"/>
      <w:r w:rsidRPr="405E7F66">
        <w:rPr>
          <w:rFonts w:eastAsia="Arial" w:cs="Arial"/>
          <w:color w:val="000000" w:themeColor="text1"/>
        </w:rPr>
        <w:t>Extended</w:t>
      </w:r>
      <w:proofErr w:type="spellEnd"/>
      <w:r w:rsidRPr="405E7F66">
        <w:rPr>
          <w:rFonts w:eastAsia="Arial" w:cs="Arial"/>
          <w:color w:val="000000" w:themeColor="text1"/>
        </w:rPr>
        <w:t xml:space="preserve">, kuni </w:t>
      </w:r>
      <w:r w:rsidRPr="405E7F66">
        <w:rPr>
          <w:rFonts w:cs="Arial"/>
        </w:rPr>
        <w:t xml:space="preserve">60 </w:t>
      </w:r>
      <w:proofErr w:type="spellStart"/>
      <w:r w:rsidRPr="405E7F66">
        <w:rPr>
          <w:rFonts w:cs="Arial"/>
        </w:rPr>
        <w:t>Quick-Set</w:t>
      </w:r>
      <w:proofErr w:type="spellEnd"/>
      <w:r w:rsidRPr="405E7F66">
        <w:rPr>
          <w:rFonts w:cs="Arial"/>
        </w:rPr>
        <w:t xml:space="preserve">, </w:t>
      </w:r>
      <w:r>
        <w:rPr>
          <w:rFonts w:cs="Arial"/>
        </w:rPr>
        <w:t xml:space="preserve">60 </w:t>
      </w:r>
      <w:proofErr w:type="spellStart"/>
      <w:r w:rsidRPr="405E7F66">
        <w:rPr>
          <w:rFonts w:cs="Arial"/>
        </w:rPr>
        <w:t>Silhouette</w:t>
      </w:r>
      <w:proofErr w:type="spellEnd"/>
      <w:r w:rsidRPr="405E7F66">
        <w:rPr>
          <w:rFonts w:cs="Arial"/>
        </w:rPr>
        <w:t xml:space="preserve"> ja </w:t>
      </w:r>
      <w:r>
        <w:rPr>
          <w:rFonts w:cs="Arial"/>
        </w:rPr>
        <w:t xml:space="preserve">60 </w:t>
      </w:r>
      <w:proofErr w:type="spellStart"/>
      <w:r w:rsidRPr="405E7F66">
        <w:rPr>
          <w:rFonts w:cs="Arial"/>
        </w:rPr>
        <w:t>Mio</w:t>
      </w:r>
      <w:proofErr w:type="spellEnd"/>
      <w:r w:rsidRPr="405E7F66">
        <w:rPr>
          <w:rFonts w:cs="Arial"/>
        </w:rPr>
        <w:t xml:space="preserve"> infusioonivahendi või kuni 90 </w:t>
      </w:r>
      <w:proofErr w:type="spellStart"/>
      <w:r w:rsidRPr="405E7F66">
        <w:rPr>
          <w:rFonts w:cs="Arial"/>
        </w:rPr>
        <w:t>Sure-T</w:t>
      </w:r>
      <w:proofErr w:type="spellEnd"/>
      <w:r w:rsidRPr="405E7F66">
        <w:rPr>
          <w:rFonts w:cs="Arial"/>
        </w:rPr>
        <w:t xml:space="preserve"> infusioonivahendi eest kalendripoolaastas. Infusioonivahendite väljakirjutamise õigus on endokrinoloogil;</w:t>
      </w:r>
    </w:p>
    <w:p w14:paraId="7000C5BA" w14:textId="77777777" w:rsidR="00A54032" w:rsidRDefault="00A54032" w:rsidP="00A54032">
      <w:pPr>
        <w:jc w:val="both"/>
        <w:rPr>
          <w:rFonts w:cs="Arial"/>
        </w:rPr>
      </w:pPr>
      <w:r w:rsidRPr="405E7F66">
        <w:rPr>
          <w:rFonts w:cs="Arial"/>
        </w:rPr>
        <w:t xml:space="preserve">3) insuliinipumba ravi saavalt vähemalt 26-aastaselt kindlustatud isikult, kes vastab § 44 punktis 4 sätestatud tingimustele, kuni </w:t>
      </w:r>
      <w:r w:rsidRPr="405E7F66">
        <w:rPr>
          <w:rFonts w:eastAsia="Arial" w:cs="Arial"/>
          <w:color w:val="000000" w:themeColor="text1"/>
        </w:rPr>
        <w:t xml:space="preserve">30 </w:t>
      </w:r>
      <w:proofErr w:type="spellStart"/>
      <w:r w:rsidRPr="405E7F66">
        <w:rPr>
          <w:rFonts w:eastAsia="Arial" w:cs="Arial"/>
          <w:color w:val="000000" w:themeColor="text1"/>
        </w:rPr>
        <w:t>Medtronic</w:t>
      </w:r>
      <w:proofErr w:type="spellEnd"/>
      <w:r w:rsidRPr="405E7F66">
        <w:rPr>
          <w:rFonts w:eastAsia="Arial" w:cs="Arial"/>
          <w:color w:val="000000" w:themeColor="text1"/>
        </w:rPr>
        <w:t xml:space="preserve"> </w:t>
      </w:r>
      <w:proofErr w:type="spellStart"/>
      <w:r w:rsidRPr="405E7F66">
        <w:rPr>
          <w:rFonts w:eastAsia="Arial" w:cs="Arial"/>
          <w:color w:val="000000" w:themeColor="text1"/>
        </w:rPr>
        <w:t>Extended</w:t>
      </w:r>
      <w:proofErr w:type="spellEnd"/>
      <w:r w:rsidRPr="405E7F66">
        <w:rPr>
          <w:rFonts w:eastAsia="Arial" w:cs="Arial"/>
          <w:color w:val="000000" w:themeColor="text1"/>
        </w:rPr>
        <w:t>,</w:t>
      </w:r>
      <w:r w:rsidRPr="405E7F66">
        <w:rPr>
          <w:rFonts w:eastAsia="Arial" w:cs="Arial"/>
        </w:rPr>
        <w:t xml:space="preserve"> </w:t>
      </w:r>
      <w:r w:rsidRPr="405E7F66">
        <w:rPr>
          <w:rFonts w:cs="Arial"/>
        </w:rPr>
        <w:t xml:space="preserve">60 </w:t>
      </w:r>
      <w:proofErr w:type="spellStart"/>
      <w:r w:rsidRPr="405E7F66">
        <w:rPr>
          <w:rFonts w:cs="Arial"/>
        </w:rPr>
        <w:t>Quick-Set</w:t>
      </w:r>
      <w:proofErr w:type="spellEnd"/>
      <w:r w:rsidRPr="405E7F66">
        <w:rPr>
          <w:rFonts w:cs="Arial"/>
        </w:rPr>
        <w:t xml:space="preserve">, </w:t>
      </w:r>
      <w:r>
        <w:rPr>
          <w:rFonts w:cs="Arial"/>
        </w:rPr>
        <w:t xml:space="preserve">60 </w:t>
      </w:r>
      <w:proofErr w:type="spellStart"/>
      <w:r w:rsidRPr="405E7F66">
        <w:rPr>
          <w:rFonts w:cs="Arial"/>
        </w:rPr>
        <w:t>Silhouette</w:t>
      </w:r>
      <w:proofErr w:type="spellEnd"/>
      <w:r w:rsidRPr="405E7F66">
        <w:rPr>
          <w:rFonts w:cs="Arial"/>
        </w:rPr>
        <w:t xml:space="preserve"> ja </w:t>
      </w:r>
      <w:r>
        <w:rPr>
          <w:rFonts w:cs="Arial"/>
        </w:rPr>
        <w:t xml:space="preserve">60 </w:t>
      </w:r>
      <w:proofErr w:type="spellStart"/>
      <w:r w:rsidRPr="405E7F66">
        <w:rPr>
          <w:rFonts w:cs="Arial"/>
        </w:rPr>
        <w:t>Mio</w:t>
      </w:r>
      <w:proofErr w:type="spellEnd"/>
      <w:r w:rsidRPr="405E7F66">
        <w:rPr>
          <w:rFonts w:cs="Arial"/>
        </w:rPr>
        <w:t xml:space="preserve"> infusioonivahendi või kuni 90 </w:t>
      </w:r>
      <w:proofErr w:type="spellStart"/>
      <w:r w:rsidRPr="405E7F66">
        <w:rPr>
          <w:rFonts w:cs="Arial"/>
        </w:rPr>
        <w:t>Sure-T</w:t>
      </w:r>
      <w:proofErr w:type="spellEnd"/>
      <w:r w:rsidRPr="405E7F66">
        <w:rPr>
          <w:rFonts w:cs="Arial"/>
        </w:rPr>
        <w:t xml:space="preserve"> infusioonivahendi eest kalendripoolaastas. Infusioonivahendite väljakirjutamise õigus on endokrinoloogil;</w:t>
      </w:r>
    </w:p>
    <w:p w14:paraId="68AE58F1" w14:textId="77777777" w:rsidR="00A54032" w:rsidRDefault="00A54032" w:rsidP="00A54032">
      <w:pPr>
        <w:jc w:val="both"/>
        <w:rPr>
          <w:rFonts w:cs="Arial"/>
        </w:rPr>
      </w:pPr>
      <w:r w:rsidRPr="405E7F66">
        <w:rPr>
          <w:rFonts w:cs="Arial"/>
        </w:rPr>
        <w:t>4)</w:t>
      </w:r>
      <w:r>
        <w:rPr>
          <w:rFonts w:cs="Arial"/>
        </w:rPr>
        <w:t xml:space="preserve"> </w:t>
      </w:r>
      <w:r w:rsidRPr="405E7F66">
        <w:rPr>
          <w:rFonts w:cs="Arial"/>
        </w:rPr>
        <w:t xml:space="preserve">insuliinipumba ravi saavalt vähemalt 26-aastaselt kindlustatud isikult, kes vastab § 44 punktis 5 sätestatud tingimustele, kuni 30 </w:t>
      </w:r>
      <w:proofErr w:type="spellStart"/>
      <w:r w:rsidRPr="405E7F66">
        <w:rPr>
          <w:rFonts w:cs="Arial"/>
        </w:rPr>
        <w:t>Medtronic</w:t>
      </w:r>
      <w:proofErr w:type="spellEnd"/>
      <w:r w:rsidRPr="405E7F66">
        <w:rPr>
          <w:rFonts w:cs="Arial"/>
        </w:rPr>
        <w:t xml:space="preserve"> </w:t>
      </w:r>
      <w:proofErr w:type="spellStart"/>
      <w:r w:rsidRPr="405E7F66">
        <w:rPr>
          <w:rFonts w:cs="Arial"/>
        </w:rPr>
        <w:t>Extended</w:t>
      </w:r>
      <w:proofErr w:type="spellEnd"/>
      <w:r w:rsidRPr="405E7F66">
        <w:rPr>
          <w:rFonts w:cs="Arial"/>
        </w:rPr>
        <w:t xml:space="preserve">, 60 </w:t>
      </w:r>
      <w:proofErr w:type="spellStart"/>
      <w:r w:rsidRPr="405E7F66">
        <w:rPr>
          <w:rFonts w:cs="Arial"/>
        </w:rPr>
        <w:t>Quick-Set</w:t>
      </w:r>
      <w:proofErr w:type="spellEnd"/>
      <w:r w:rsidRPr="405E7F66">
        <w:rPr>
          <w:rFonts w:cs="Arial"/>
        </w:rPr>
        <w:t xml:space="preserve">, </w:t>
      </w:r>
      <w:r>
        <w:rPr>
          <w:rFonts w:cs="Arial"/>
        </w:rPr>
        <w:t xml:space="preserve">60 </w:t>
      </w:r>
      <w:proofErr w:type="spellStart"/>
      <w:r w:rsidRPr="405E7F66">
        <w:rPr>
          <w:rFonts w:cs="Arial"/>
        </w:rPr>
        <w:t>Silhouette</w:t>
      </w:r>
      <w:proofErr w:type="spellEnd"/>
      <w:r w:rsidRPr="405E7F66">
        <w:rPr>
          <w:rFonts w:cs="Arial"/>
        </w:rPr>
        <w:t xml:space="preserve"> ja </w:t>
      </w:r>
      <w:r>
        <w:rPr>
          <w:rFonts w:cs="Arial"/>
        </w:rPr>
        <w:t xml:space="preserve">60 </w:t>
      </w:r>
      <w:proofErr w:type="spellStart"/>
      <w:r w:rsidRPr="405E7F66">
        <w:rPr>
          <w:rFonts w:cs="Arial"/>
        </w:rPr>
        <w:t>Mio</w:t>
      </w:r>
      <w:proofErr w:type="spellEnd"/>
      <w:r w:rsidRPr="405E7F66">
        <w:rPr>
          <w:rFonts w:cs="Arial"/>
        </w:rPr>
        <w:t xml:space="preserve"> infusioonivahendi või kuni 90 </w:t>
      </w:r>
      <w:proofErr w:type="spellStart"/>
      <w:r w:rsidRPr="405E7F66">
        <w:rPr>
          <w:rFonts w:cs="Arial"/>
        </w:rPr>
        <w:t>Sure-T</w:t>
      </w:r>
      <w:proofErr w:type="spellEnd"/>
      <w:r w:rsidRPr="405E7F66">
        <w:rPr>
          <w:rFonts w:cs="Arial"/>
        </w:rPr>
        <w:t xml:space="preserve"> infusioonivahendi eest kalendripoolaastas. Infusioonivahendite väljakirjutamise õigus on endokrinoloogil.</w:t>
      </w:r>
    </w:p>
    <w:p w14:paraId="039716CE" w14:textId="77777777" w:rsidR="00A54032" w:rsidRDefault="00A54032" w:rsidP="00A54032">
      <w:pPr>
        <w:jc w:val="both"/>
      </w:pPr>
    </w:p>
    <w:p w14:paraId="56529CF9" w14:textId="77777777" w:rsidR="00A54032" w:rsidRDefault="00A54032" w:rsidP="00A54032">
      <w:pPr>
        <w:jc w:val="both"/>
        <w:rPr>
          <w:rFonts w:cs="Arial"/>
          <w:b/>
          <w:bCs/>
        </w:rPr>
      </w:pPr>
      <w:r w:rsidRPr="6C713841">
        <w:rPr>
          <w:rFonts w:cs="Arial"/>
          <w:b/>
          <w:bCs/>
        </w:rPr>
        <w:t>§ 46. Insuliinipumba reservuaarid</w:t>
      </w:r>
    </w:p>
    <w:p w14:paraId="3A5CE8E1" w14:textId="77777777" w:rsidR="00A54032" w:rsidRDefault="00A54032" w:rsidP="00A54032">
      <w:pPr>
        <w:jc w:val="both"/>
        <w:rPr>
          <w:rFonts w:cs="Arial"/>
          <w:b/>
          <w:bCs/>
        </w:rPr>
      </w:pPr>
    </w:p>
    <w:p w14:paraId="195ED336" w14:textId="77777777" w:rsidR="00A54032" w:rsidRDefault="00A54032" w:rsidP="00A54032">
      <w:pPr>
        <w:jc w:val="both"/>
        <w:rPr>
          <w:rFonts w:cs="Arial"/>
        </w:rPr>
      </w:pPr>
      <w:r w:rsidRPr="405E7F66">
        <w:rPr>
          <w:rFonts w:cs="Arial"/>
        </w:rPr>
        <w:t xml:space="preserve">Tervisekassa võtab kindlustatud isikule vajalike insuliinipumba reservuaaride eest tasu maksmise kohustuse üle järgmistel juhtudel </w:t>
      </w:r>
      <w:r>
        <w:rPr>
          <w:rFonts w:cs="Arial"/>
        </w:rPr>
        <w:t>järgmises</w:t>
      </w:r>
      <w:r w:rsidRPr="405E7F66">
        <w:rPr>
          <w:rFonts w:cs="Arial"/>
        </w:rPr>
        <w:t xml:space="preserve"> ulatuses:</w:t>
      </w:r>
    </w:p>
    <w:p w14:paraId="65D97F6E" w14:textId="32E932FA" w:rsidR="00A54032" w:rsidRDefault="00A54032" w:rsidP="00A54032">
      <w:pPr>
        <w:jc w:val="both"/>
      </w:pPr>
      <w:r w:rsidRPr="405E7F66">
        <w:rPr>
          <w:rFonts w:cs="Arial"/>
        </w:rPr>
        <w:t>1) insuliinipumba ravi saavalt alla 19-aastaselt kindlustatud isikult kuni 6</w:t>
      </w:r>
      <w:r w:rsidR="008057C5">
        <w:rPr>
          <w:rFonts w:cs="Arial"/>
        </w:rPr>
        <w:t>1</w:t>
      </w:r>
      <w:r w:rsidRPr="405E7F66">
        <w:rPr>
          <w:rFonts w:cs="Arial"/>
        </w:rPr>
        <w:t xml:space="preserve"> </w:t>
      </w:r>
      <w:proofErr w:type="spellStart"/>
      <w:r w:rsidRPr="405E7F66">
        <w:rPr>
          <w:rFonts w:cs="Arial"/>
        </w:rPr>
        <w:t>Medtronic</w:t>
      </w:r>
      <w:proofErr w:type="spellEnd"/>
      <w:r w:rsidRPr="405E7F66">
        <w:rPr>
          <w:rFonts w:cs="Arial"/>
        </w:rPr>
        <w:t xml:space="preserve"> </w:t>
      </w:r>
      <w:proofErr w:type="spellStart"/>
      <w:r w:rsidRPr="405E7F66">
        <w:rPr>
          <w:rFonts w:cs="Arial"/>
        </w:rPr>
        <w:t>Extended</w:t>
      </w:r>
      <w:proofErr w:type="spellEnd"/>
      <w:r w:rsidRPr="405E7F66">
        <w:rPr>
          <w:rFonts w:cs="Arial"/>
        </w:rPr>
        <w:t xml:space="preserve"> või kuni 122 </w:t>
      </w:r>
      <w:proofErr w:type="spellStart"/>
      <w:r w:rsidRPr="405E7F66">
        <w:rPr>
          <w:rFonts w:cs="Arial"/>
        </w:rPr>
        <w:t>Paradigm</w:t>
      </w:r>
      <w:proofErr w:type="spellEnd"/>
      <w:r w:rsidRPr="405E7F66">
        <w:rPr>
          <w:rFonts w:cs="Arial"/>
        </w:rPr>
        <w:t xml:space="preserve"> ja </w:t>
      </w:r>
      <w:proofErr w:type="spellStart"/>
      <w:r w:rsidRPr="405E7F66">
        <w:rPr>
          <w:rFonts w:cs="Arial"/>
        </w:rPr>
        <w:t>TouchCare</w:t>
      </w:r>
      <w:proofErr w:type="spellEnd"/>
      <w:r w:rsidRPr="405E7F66">
        <w:rPr>
          <w:rFonts w:cs="Arial"/>
        </w:rPr>
        <w:t xml:space="preserve"> reservuaari eest kalendriaastas;</w:t>
      </w:r>
    </w:p>
    <w:p w14:paraId="63FA7D5E" w14:textId="77777777" w:rsidR="00A54032" w:rsidRDefault="00A54032" w:rsidP="00A54032">
      <w:pPr>
        <w:jc w:val="both"/>
      </w:pPr>
      <w:r w:rsidRPr="405E7F66">
        <w:rPr>
          <w:rFonts w:cs="Arial"/>
        </w:rPr>
        <w:t xml:space="preserve">2) insuliinipumba ravi saavalt 19–25-aastaselt kindlustatud isikult, kes vastab § 44 punktis 3 sätestatud tingimustele, kuni 30 </w:t>
      </w:r>
      <w:proofErr w:type="spellStart"/>
      <w:r w:rsidRPr="405E7F66">
        <w:rPr>
          <w:rFonts w:cs="Arial"/>
        </w:rPr>
        <w:t>Medtronic</w:t>
      </w:r>
      <w:proofErr w:type="spellEnd"/>
      <w:r w:rsidRPr="405E7F66">
        <w:rPr>
          <w:rFonts w:cs="Arial"/>
        </w:rPr>
        <w:t xml:space="preserve"> </w:t>
      </w:r>
      <w:proofErr w:type="spellStart"/>
      <w:r w:rsidRPr="405E7F66">
        <w:rPr>
          <w:rFonts w:cs="Arial"/>
        </w:rPr>
        <w:t>Extended</w:t>
      </w:r>
      <w:proofErr w:type="spellEnd"/>
      <w:r w:rsidRPr="405E7F66">
        <w:rPr>
          <w:rFonts w:cs="Arial"/>
        </w:rPr>
        <w:t xml:space="preserve"> või kuni 61 </w:t>
      </w:r>
      <w:proofErr w:type="spellStart"/>
      <w:r w:rsidRPr="405E7F66">
        <w:rPr>
          <w:rFonts w:cs="Arial"/>
        </w:rPr>
        <w:t>Paradigm</w:t>
      </w:r>
      <w:proofErr w:type="spellEnd"/>
      <w:r w:rsidRPr="405E7F66">
        <w:rPr>
          <w:rFonts w:cs="Arial"/>
        </w:rPr>
        <w:t xml:space="preserve"> ja </w:t>
      </w:r>
      <w:proofErr w:type="spellStart"/>
      <w:r w:rsidRPr="405E7F66">
        <w:rPr>
          <w:rFonts w:cs="Arial"/>
        </w:rPr>
        <w:t>TouchCare</w:t>
      </w:r>
      <w:proofErr w:type="spellEnd"/>
      <w:r w:rsidRPr="405E7F66">
        <w:rPr>
          <w:rFonts w:cs="Arial"/>
        </w:rPr>
        <w:t xml:space="preserve"> reservuaari eest kalendripoolaastas. Insuliinipumba reservuaaride väljakirjutamise õigus on endokrinoloogil;</w:t>
      </w:r>
    </w:p>
    <w:p w14:paraId="1BA87A42" w14:textId="77777777" w:rsidR="00A54032" w:rsidRDefault="00A54032" w:rsidP="00A54032">
      <w:pPr>
        <w:jc w:val="both"/>
        <w:rPr>
          <w:rFonts w:cs="Arial"/>
        </w:rPr>
      </w:pPr>
      <w:r w:rsidRPr="405E7F66">
        <w:rPr>
          <w:rFonts w:cs="Arial"/>
        </w:rPr>
        <w:t xml:space="preserve">3) insuliinipumba ravi saavalt vähemalt 26-aastaselt kindlustatud isikult, kes vastab § 44 punktis 4 sätestatud tingimustele, kuni 30 </w:t>
      </w:r>
      <w:proofErr w:type="spellStart"/>
      <w:r w:rsidRPr="405E7F66">
        <w:rPr>
          <w:rFonts w:cs="Arial"/>
        </w:rPr>
        <w:t>Medtronic</w:t>
      </w:r>
      <w:proofErr w:type="spellEnd"/>
      <w:r w:rsidRPr="405E7F66">
        <w:rPr>
          <w:rFonts w:cs="Arial"/>
        </w:rPr>
        <w:t xml:space="preserve"> </w:t>
      </w:r>
      <w:proofErr w:type="spellStart"/>
      <w:r w:rsidRPr="405E7F66">
        <w:rPr>
          <w:rFonts w:cs="Arial"/>
        </w:rPr>
        <w:t>Extended</w:t>
      </w:r>
      <w:proofErr w:type="spellEnd"/>
      <w:r w:rsidRPr="405E7F66">
        <w:rPr>
          <w:rFonts w:cs="Arial"/>
        </w:rPr>
        <w:t xml:space="preserve"> või kuni 61 </w:t>
      </w:r>
      <w:proofErr w:type="spellStart"/>
      <w:r w:rsidRPr="405E7F66">
        <w:rPr>
          <w:rFonts w:cs="Arial"/>
        </w:rPr>
        <w:t>Paradigm</w:t>
      </w:r>
      <w:proofErr w:type="spellEnd"/>
      <w:r w:rsidRPr="405E7F66">
        <w:rPr>
          <w:rFonts w:cs="Arial"/>
        </w:rPr>
        <w:t xml:space="preserve"> ja </w:t>
      </w:r>
      <w:proofErr w:type="spellStart"/>
      <w:r w:rsidRPr="405E7F66">
        <w:rPr>
          <w:rFonts w:cs="Arial"/>
        </w:rPr>
        <w:t>TouchCare</w:t>
      </w:r>
      <w:proofErr w:type="spellEnd"/>
      <w:r w:rsidRPr="405E7F66">
        <w:rPr>
          <w:rFonts w:cs="Arial"/>
        </w:rPr>
        <w:t xml:space="preserve"> reservuaari eest kalendripoolaastas. Insuliinipumba reservuaaride väljakirjutamise õigus on endokrinoloogil;</w:t>
      </w:r>
    </w:p>
    <w:p w14:paraId="2966FA2A" w14:textId="381EB3FD" w:rsidR="00A54032" w:rsidRDefault="00A54032" w:rsidP="00A54032">
      <w:pPr>
        <w:jc w:val="both"/>
      </w:pPr>
      <w:r w:rsidRPr="405E7F66">
        <w:rPr>
          <w:rFonts w:cs="Arial"/>
        </w:rPr>
        <w:t>4)</w:t>
      </w:r>
      <w:r w:rsidR="00DE7F95">
        <w:rPr>
          <w:rFonts w:cs="Arial"/>
        </w:rPr>
        <w:t xml:space="preserve"> </w:t>
      </w:r>
      <w:r w:rsidRPr="405E7F66">
        <w:rPr>
          <w:rFonts w:cs="Arial"/>
        </w:rPr>
        <w:t xml:space="preserve">insuliinipumba ravi saavalt vähemalt 26-aastaselt kindlustatud isikult, kes vastab § 44 punktis 5 sätestatud tingimustele, kuni 30 </w:t>
      </w:r>
      <w:proofErr w:type="spellStart"/>
      <w:r w:rsidRPr="405E7F66">
        <w:rPr>
          <w:rFonts w:cs="Arial"/>
        </w:rPr>
        <w:t>Medtronic</w:t>
      </w:r>
      <w:proofErr w:type="spellEnd"/>
      <w:r w:rsidRPr="405E7F66">
        <w:rPr>
          <w:rFonts w:cs="Arial"/>
        </w:rPr>
        <w:t xml:space="preserve"> </w:t>
      </w:r>
      <w:proofErr w:type="spellStart"/>
      <w:r w:rsidRPr="405E7F66">
        <w:rPr>
          <w:rFonts w:cs="Arial"/>
        </w:rPr>
        <w:t>Extended</w:t>
      </w:r>
      <w:proofErr w:type="spellEnd"/>
      <w:r w:rsidRPr="405E7F66">
        <w:rPr>
          <w:rFonts w:cs="Arial"/>
        </w:rPr>
        <w:t xml:space="preserve"> või kuni 61 </w:t>
      </w:r>
      <w:proofErr w:type="spellStart"/>
      <w:r w:rsidRPr="405E7F66">
        <w:rPr>
          <w:rFonts w:cs="Arial"/>
        </w:rPr>
        <w:t>Paradigm</w:t>
      </w:r>
      <w:proofErr w:type="spellEnd"/>
      <w:r w:rsidRPr="405E7F66">
        <w:rPr>
          <w:rFonts w:cs="Arial"/>
        </w:rPr>
        <w:t xml:space="preserve"> ja </w:t>
      </w:r>
      <w:proofErr w:type="spellStart"/>
      <w:r w:rsidRPr="405E7F66">
        <w:rPr>
          <w:rFonts w:cs="Arial"/>
        </w:rPr>
        <w:t>TouchCare</w:t>
      </w:r>
      <w:proofErr w:type="spellEnd"/>
      <w:r w:rsidRPr="405E7F66">
        <w:rPr>
          <w:rFonts w:cs="Arial"/>
        </w:rPr>
        <w:t xml:space="preserve"> reservuaari eest kalendripoolaastas. Insuliinipumba reservuaaride väljakirjutamise õigus on endokrinoloogil.</w:t>
      </w:r>
    </w:p>
    <w:p w14:paraId="6E97DBF8" w14:textId="77777777" w:rsidR="00A54032" w:rsidRDefault="00A54032" w:rsidP="00A54032">
      <w:pPr>
        <w:jc w:val="both"/>
        <w:rPr>
          <w:rFonts w:cs="Arial"/>
        </w:rPr>
      </w:pPr>
    </w:p>
    <w:p w14:paraId="52DEBA92" w14:textId="77777777" w:rsidR="00A54032" w:rsidRDefault="00A54032" w:rsidP="00A54032">
      <w:pPr>
        <w:jc w:val="both"/>
        <w:rPr>
          <w:rFonts w:cs="Arial"/>
          <w:b/>
          <w:bCs/>
        </w:rPr>
      </w:pPr>
      <w:r w:rsidRPr="6C713841">
        <w:rPr>
          <w:rFonts w:cs="Arial"/>
          <w:b/>
          <w:bCs/>
        </w:rPr>
        <w:t>§ 47. Pideva glükoosimonitooringu komplekt</w:t>
      </w:r>
    </w:p>
    <w:p w14:paraId="45A84815" w14:textId="77777777" w:rsidR="00A54032" w:rsidRDefault="00A54032" w:rsidP="00A54032">
      <w:pPr>
        <w:jc w:val="both"/>
        <w:rPr>
          <w:rFonts w:cs="Arial"/>
          <w:b/>
          <w:bCs/>
        </w:rPr>
      </w:pPr>
    </w:p>
    <w:p w14:paraId="63E22DAF" w14:textId="77777777" w:rsidR="00A54032" w:rsidRDefault="00A54032" w:rsidP="00A54032">
      <w:pPr>
        <w:jc w:val="both"/>
      </w:pPr>
      <w:r w:rsidRPr="6C713841">
        <w:rPr>
          <w:rFonts w:cs="Arial"/>
        </w:rPr>
        <w:t>Tervisekassa võtab kindlustatud isikule vajaliku pideva glükoosimonitooringu komplekti eest tasu maksmise kohustuse üle järgmistel juhtudel järgmises ulatuses:</w:t>
      </w:r>
    </w:p>
    <w:p w14:paraId="76FF8D87" w14:textId="0CEBC4FC" w:rsidR="00A54032" w:rsidRDefault="00A54032" w:rsidP="00A54032">
      <w:pPr>
        <w:jc w:val="both"/>
      </w:pPr>
      <w:r w:rsidRPr="6C713841">
        <w:rPr>
          <w:rFonts w:cs="Arial"/>
        </w:rPr>
        <w:t>1) alla 19-aastasel</w:t>
      </w:r>
      <w:r>
        <w:rPr>
          <w:rFonts w:cs="Arial"/>
        </w:rPr>
        <w:t>t</w:t>
      </w:r>
      <w:r w:rsidRPr="6C713841">
        <w:rPr>
          <w:rFonts w:cs="Arial"/>
        </w:rPr>
        <w:t xml:space="preserve"> isikul</w:t>
      </w:r>
      <w:r>
        <w:rPr>
          <w:rFonts w:cs="Arial"/>
        </w:rPr>
        <w:t>t</w:t>
      </w:r>
      <w:r w:rsidRPr="6C713841">
        <w:rPr>
          <w:rFonts w:cs="Arial"/>
        </w:rPr>
        <w:t xml:space="preserve">, kes § 44 punktides 1 ja 2 sätestatud tingimustel kasutab pideva glükoosi </w:t>
      </w:r>
      <w:proofErr w:type="spellStart"/>
      <w:r w:rsidRPr="6C713841">
        <w:rPr>
          <w:rFonts w:cs="Arial"/>
        </w:rPr>
        <w:t>monitoorimise</w:t>
      </w:r>
      <w:proofErr w:type="spellEnd"/>
      <w:r w:rsidRPr="6C713841">
        <w:rPr>
          <w:rFonts w:cs="Arial"/>
        </w:rPr>
        <w:t xml:space="preserve"> võimalusega insuliinipumpa või kellel on </w:t>
      </w:r>
      <w:proofErr w:type="spellStart"/>
      <w:r w:rsidRPr="6C713841">
        <w:rPr>
          <w:rFonts w:cs="Arial"/>
        </w:rPr>
        <w:t>glükosüleeritud</w:t>
      </w:r>
      <w:proofErr w:type="spellEnd"/>
      <w:r w:rsidRPr="6C713841">
        <w:rPr>
          <w:rFonts w:cs="Arial"/>
        </w:rPr>
        <w:t xml:space="preserve"> HbA1 üle 8,0 või kellel on esinenud sagedased hüpoglükeemiad või kellel on veresuhkru taseme suur kõikumine, ühe </w:t>
      </w:r>
      <w:proofErr w:type="spellStart"/>
      <w:r w:rsidRPr="6C713841">
        <w:rPr>
          <w:rFonts w:cs="Arial"/>
        </w:rPr>
        <w:t>Guardian</w:t>
      </w:r>
      <w:proofErr w:type="spellEnd"/>
      <w:r w:rsidRPr="6C713841">
        <w:rPr>
          <w:rFonts w:cs="Arial"/>
        </w:rPr>
        <w:t xml:space="preserve">, ühe </w:t>
      </w:r>
      <w:proofErr w:type="spellStart"/>
      <w:r w:rsidRPr="6C713841">
        <w:rPr>
          <w:rFonts w:cs="Arial"/>
        </w:rPr>
        <w:t>AiDEX</w:t>
      </w:r>
      <w:proofErr w:type="spellEnd"/>
      <w:r w:rsidRPr="6C713841">
        <w:rPr>
          <w:rFonts w:cs="Arial"/>
        </w:rPr>
        <w:t xml:space="preserve">, ühe </w:t>
      </w:r>
      <w:proofErr w:type="spellStart"/>
      <w:r w:rsidRPr="6C713841">
        <w:rPr>
          <w:rFonts w:cs="Arial"/>
        </w:rPr>
        <w:t>Nano</w:t>
      </w:r>
      <w:proofErr w:type="spellEnd"/>
      <w:r w:rsidRPr="6C713841">
        <w:rPr>
          <w:rFonts w:cs="Arial"/>
        </w:rPr>
        <w:t xml:space="preserve">, kahe </w:t>
      </w:r>
      <w:proofErr w:type="spellStart"/>
      <w:r w:rsidRPr="6C713841">
        <w:rPr>
          <w:rFonts w:cs="Arial"/>
        </w:rPr>
        <w:t>EasySense</w:t>
      </w:r>
      <w:proofErr w:type="spellEnd"/>
      <w:r w:rsidRPr="6C713841">
        <w:rPr>
          <w:rFonts w:cs="Arial"/>
        </w:rPr>
        <w:t xml:space="preserve"> S9 või kahe </w:t>
      </w:r>
      <w:proofErr w:type="spellStart"/>
      <w:r w:rsidRPr="6C713841">
        <w:rPr>
          <w:rFonts w:cs="Arial"/>
        </w:rPr>
        <w:t>Nano</w:t>
      </w:r>
      <w:proofErr w:type="spellEnd"/>
      <w:r w:rsidRPr="6C713841">
        <w:rPr>
          <w:rFonts w:cs="Arial"/>
        </w:rPr>
        <w:t xml:space="preserve"> Pro pideva glükoosimonitooringu komplekti eest kahe kalendriaasta jooksul;</w:t>
      </w:r>
    </w:p>
    <w:p w14:paraId="44E57705" w14:textId="4BF0A361" w:rsidR="00A54032" w:rsidRDefault="00A54032" w:rsidP="00A54032">
      <w:pPr>
        <w:jc w:val="both"/>
      </w:pPr>
      <w:r w:rsidRPr="6C713841">
        <w:rPr>
          <w:rFonts w:cs="Arial"/>
        </w:rPr>
        <w:t>2) I tüübi diabeedi haigel</w:t>
      </w:r>
      <w:r>
        <w:rPr>
          <w:rFonts w:cs="Arial"/>
        </w:rPr>
        <w:t>t</w:t>
      </w:r>
      <w:r w:rsidRPr="6C713841">
        <w:rPr>
          <w:rFonts w:cs="Arial"/>
        </w:rPr>
        <w:t xml:space="preserve"> ühe </w:t>
      </w:r>
      <w:proofErr w:type="spellStart"/>
      <w:r w:rsidRPr="6C713841">
        <w:rPr>
          <w:rFonts w:cs="Arial"/>
        </w:rPr>
        <w:t>AiDEX</w:t>
      </w:r>
      <w:proofErr w:type="spellEnd"/>
      <w:r w:rsidRPr="6C713841">
        <w:rPr>
          <w:rFonts w:cs="Arial"/>
        </w:rPr>
        <w:t xml:space="preserve"> või kahe </w:t>
      </w:r>
      <w:proofErr w:type="spellStart"/>
      <w:r w:rsidRPr="6C713841">
        <w:rPr>
          <w:rFonts w:cs="Arial"/>
        </w:rPr>
        <w:t>EasySense</w:t>
      </w:r>
      <w:proofErr w:type="spellEnd"/>
      <w:r w:rsidRPr="6C713841">
        <w:rPr>
          <w:rFonts w:cs="Arial"/>
        </w:rPr>
        <w:t xml:space="preserve"> S9 pideva glükoosimonitooringu komplekti eest kahe kalendriaasta jooksul. Pideva glükoosimonitooringu komplekti väljakirjutamise õigus on endokrinoloogil, </w:t>
      </w:r>
      <w:proofErr w:type="spellStart"/>
      <w:r w:rsidRPr="6C713841">
        <w:rPr>
          <w:rFonts w:cs="Arial"/>
        </w:rPr>
        <w:t>sisearstil</w:t>
      </w:r>
      <w:proofErr w:type="spellEnd"/>
      <w:r w:rsidRPr="6C713841">
        <w:rPr>
          <w:rFonts w:cs="Arial"/>
        </w:rPr>
        <w:t xml:space="preserve"> ja lastearstil;</w:t>
      </w:r>
    </w:p>
    <w:p w14:paraId="3213C1C6" w14:textId="69B8A40A" w:rsidR="00A54032" w:rsidRDefault="00A54032" w:rsidP="00A54032">
      <w:pPr>
        <w:jc w:val="both"/>
      </w:pPr>
      <w:r w:rsidRPr="6C713841">
        <w:rPr>
          <w:rFonts w:cs="Arial"/>
        </w:rPr>
        <w:t>3) insuliinipumba ravi saaval</w:t>
      </w:r>
      <w:r>
        <w:rPr>
          <w:rFonts w:cs="Arial"/>
        </w:rPr>
        <w:t>t</w:t>
      </w:r>
      <w:r w:rsidRPr="6C713841">
        <w:rPr>
          <w:rFonts w:cs="Arial"/>
        </w:rPr>
        <w:t xml:space="preserve"> 19–25-aastasel</w:t>
      </w:r>
      <w:r>
        <w:rPr>
          <w:rFonts w:cs="Arial"/>
        </w:rPr>
        <w:t>t</w:t>
      </w:r>
      <w:r w:rsidRPr="6C713841">
        <w:rPr>
          <w:rFonts w:cs="Arial"/>
        </w:rPr>
        <w:t xml:space="preserve"> kindlustatud isikul</w:t>
      </w:r>
      <w:r>
        <w:rPr>
          <w:rFonts w:cs="Arial"/>
        </w:rPr>
        <w:t>t</w:t>
      </w:r>
      <w:r w:rsidRPr="6C713841">
        <w:rPr>
          <w:rFonts w:cs="Arial"/>
        </w:rPr>
        <w:t xml:space="preserve">, kes vastab § 44 punktis 3 sätestatud tingimustele, ühe </w:t>
      </w:r>
      <w:proofErr w:type="spellStart"/>
      <w:r w:rsidRPr="6C713841">
        <w:rPr>
          <w:rFonts w:cs="Arial"/>
        </w:rPr>
        <w:t>Guardian</w:t>
      </w:r>
      <w:proofErr w:type="spellEnd"/>
      <w:r w:rsidRPr="6C713841">
        <w:rPr>
          <w:rFonts w:cs="Arial"/>
        </w:rPr>
        <w:t xml:space="preserve">, ühe </w:t>
      </w:r>
      <w:proofErr w:type="spellStart"/>
      <w:r w:rsidRPr="6C713841">
        <w:rPr>
          <w:rFonts w:cs="Arial"/>
        </w:rPr>
        <w:t>AiDEX</w:t>
      </w:r>
      <w:proofErr w:type="spellEnd"/>
      <w:r w:rsidRPr="6C713841">
        <w:rPr>
          <w:rFonts w:cs="Arial"/>
        </w:rPr>
        <w:t xml:space="preserve">, ühe </w:t>
      </w:r>
      <w:proofErr w:type="spellStart"/>
      <w:r w:rsidRPr="6C713841">
        <w:rPr>
          <w:rFonts w:cs="Arial"/>
        </w:rPr>
        <w:t>Nano</w:t>
      </w:r>
      <w:proofErr w:type="spellEnd"/>
      <w:r w:rsidRPr="6C713841">
        <w:rPr>
          <w:rFonts w:cs="Arial"/>
        </w:rPr>
        <w:t xml:space="preserve">, kahe </w:t>
      </w:r>
      <w:proofErr w:type="spellStart"/>
      <w:r w:rsidRPr="6C713841">
        <w:rPr>
          <w:rFonts w:cs="Arial"/>
        </w:rPr>
        <w:t>EasySense</w:t>
      </w:r>
      <w:proofErr w:type="spellEnd"/>
      <w:r w:rsidRPr="6C713841">
        <w:rPr>
          <w:rFonts w:cs="Arial"/>
        </w:rPr>
        <w:t xml:space="preserve"> S9 või kahe </w:t>
      </w:r>
      <w:proofErr w:type="spellStart"/>
      <w:r w:rsidRPr="6C713841">
        <w:rPr>
          <w:rFonts w:cs="Arial"/>
        </w:rPr>
        <w:t>Nano</w:t>
      </w:r>
      <w:proofErr w:type="spellEnd"/>
      <w:r w:rsidRPr="6C713841">
        <w:rPr>
          <w:rFonts w:cs="Arial"/>
        </w:rPr>
        <w:t xml:space="preserve"> Pro pideva glükoosimonitooringu komplekti eest kahe kalendriaasta jooksul. Pideva glükoosimonitooringu komplekti väljakirjutamise õigus on endokrinoloogil;</w:t>
      </w:r>
    </w:p>
    <w:p w14:paraId="3AFDA34B" w14:textId="6B7A11BC" w:rsidR="00A54032" w:rsidRDefault="00A54032" w:rsidP="00A54032">
      <w:pPr>
        <w:jc w:val="both"/>
      </w:pPr>
      <w:r w:rsidRPr="6C713841">
        <w:rPr>
          <w:rFonts w:cs="Arial"/>
        </w:rPr>
        <w:t>4) II tüübi diabeedi haigel</w:t>
      </w:r>
      <w:r>
        <w:rPr>
          <w:rFonts w:cs="Arial"/>
        </w:rPr>
        <w:t>t</w:t>
      </w:r>
      <w:r w:rsidRPr="6C713841">
        <w:rPr>
          <w:rFonts w:cs="Arial"/>
        </w:rPr>
        <w:t xml:space="preserve">, kellel on raviskeemis </w:t>
      </w:r>
      <w:proofErr w:type="spellStart"/>
      <w:r w:rsidRPr="6C713841">
        <w:rPr>
          <w:rFonts w:cs="Arial"/>
        </w:rPr>
        <w:t>lühitoimeline</w:t>
      </w:r>
      <w:proofErr w:type="spellEnd"/>
      <w:r w:rsidRPr="6C713841">
        <w:rPr>
          <w:rFonts w:cs="Arial"/>
        </w:rPr>
        <w:t xml:space="preserve"> insuliin ja kellel on välja kujunenud püsiv insuliinidefitsiit (C-peptiid alla 200 </w:t>
      </w:r>
      <w:proofErr w:type="spellStart"/>
      <w:r w:rsidRPr="6C713841">
        <w:rPr>
          <w:rFonts w:cs="Arial"/>
        </w:rPr>
        <w:t>pmol</w:t>
      </w:r>
      <w:proofErr w:type="spellEnd"/>
      <w:r w:rsidRPr="6C713841">
        <w:rPr>
          <w:rFonts w:cs="Arial"/>
        </w:rPr>
        <w:t xml:space="preserve">/l), ühe </w:t>
      </w:r>
      <w:proofErr w:type="spellStart"/>
      <w:r w:rsidRPr="6C713841">
        <w:rPr>
          <w:rFonts w:cs="Arial"/>
        </w:rPr>
        <w:t>AiDEX</w:t>
      </w:r>
      <w:proofErr w:type="spellEnd"/>
      <w:r w:rsidRPr="6C713841">
        <w:rPr>
          <w:rFonts w:cs="Arial"/>
        </w:rPr>
        <w:t xml:space="preserve"> või kahe </w:t>
      </w:r>
      <w:proofErr w:type="spellStart"/>
      <w:r w:rsidRPr="6C713841">
        <w:rPr>
          <w:rFonts w:cs="Arial"/>
        </w:rPr>
        <w:t>EasySense</w:t>
      </w:r>
      <w:proofErr w:type="spellEnd"/>
      <w:r w:rsidRPr="6C713841">
        <w:rPr>
          <w:rFonts w:cs="Arial"/>
        </w:rPr>
        <w:t xml:space="preserve"> </w:t>
      </w:r>
      <w:r w:rsidRPr="6C713841">
        <w:rPr>
          <w:rFonts w:cs="Arial"/>
        </w:rPr>
        <w:lastRenderedPageBreak/>
        <w:t xml:space="preserve">S9 pideva glükoosimonitooringu komplekti eest kahe kalendriaasta jooksul. Pideva glükoosimonitooringu komplekti väljakirjutamise õigus on endokrinoloogil, </w:t>
      </w:r>
      <w:proofErr w:type="spellStart"/>
      <w:r w:rsidRPr="6C713841">
        <w:rPr>
          <w:rFonts w:cs="Arial"/>
        </w:rPr>
        <w:t>sisearstil</w:t>
      </w:r>
      <w:proofErr w:type="spellEnd"/>
      <w:r w:rsidRPr="6C713841">
        <w:rPr>
          <w:rFonts w:cs="Arial"/>
        </w:rPr>
        <w:t xml:space="preserve"> ja lastearstil;</w:t>
      </w:r>
    </w:p>
    <w:p w14:paraId="2F6E5056" w14:textId="77777777" w:rsidR="00A54032" w:rsidRDefault="00A54032" w:rsidP="00A54032">
      <w:pPr>
        <w:jc w:val="both"/>
        <w:rPr>
          <w:rFonts w:cs="Arial"/>
        </w:rPr>
      </w:pPr>
      <w:r w:rsidRPr="6C713841">
        <w:rPr>
          <w:rFonts w:cs="Arial"/>
        </w:rPr>
        <w:t>5) insuliinipumba ravi saaval</w:t>
      </w:r>
      <w:r>
        <w:rPr>
          <w:rFonts w:cs="Arial"/>
        </w:rPr>
        <w:t>t</w:t>
      </w:r>
      <w:r w:rsidRPr="6C713841">
        <w:rPr>
          <w:rFonts w:cs="Arial"/>
        </w:rPr>
        <w:t xml:space="preserve"> vähemalt 26-aastasel</w:t>
      </w:r>
      <w:r>
        <w:rPr>
          <w:rFonts w:cs="Arial"/>
        </w:rPr>
        <w:t>t</w:t>
      </w:r>
      <w:r w:rsidRPr="6C713841">
        <w:rPr>
          <w:rFonts w:cs="Arial"/>
        </w:rPr>
        <w:t xml:space="preserve"> kindlustatud isikul</w:t>
      </w:r>
      <w:r>
        <w:rPr>
          <w:rFonts w:cs="Arial"/>
        </w:rPr>
        <w:t>t</w:t>
      </w:r>
      <w:r w:rsidRPr="6C713841">
        <w:rPr>
          <w:rFonts w:cs="Arial"/>
        </w:rPr>
        <w:t xml:space="preserve">, kes vastab § 44 punktis 4 sätestatud tingimustele, ühe </w:t>
      </w:r>
      <w:proofErr w:type="spellStart"/>
      <w:r w:rsidRPr="6C713841">
        <w:rPr>
          <w:rFonts w:cs="Arial"/>
        </w:rPr>
        <w:t>Guardian</w:t>
      </w:r>
      <w:proofErr w:type="spellEnd"/>
      <w:r w:rsidRPr="6C713841">
        <w:rPr>
          <w:rFonts w:cs="Arial"/>
        </w:rPr>
        <w:t xml:space="preserve">, ühe </w:t>
      </w:r>
      <w:proofErr w:type="spellStart"/>
      <w:r w:rsidRPr="6C713841">
        <w:rPr>
          <w:rFonts w:cs="Arial"/>
        </w:rPr>
        <w:t>AiDEX</w:t>
      </w:r>
      <w:proofErr w:type="spellEnd"/>
      <w:r w:rsidRPr="6C713841">
        <w:rPr>
          <w:rFonts w:cs="Arial"/>
        </w:rPr>
        <w:t xml:space="preserve">, ühe </w:t>
      </w:r>
      <w:proofErr w:type="spellStart"/>
      <w:r w:rsidRPr="6C713841">
        <w:rPr>
          <w:rFonts w:cs="Arial"/>
        </w:rPr>
        <w:t>Nano</w:t>
      </w:r>
      <w:proofErr w:type="spellEnd"/>
      <w:r w:rsidRPr="6C713841">
        <w:rPr>
          <w:rFonts w:cs="Arial"/>
        </w:rPr>
        <w:t xml:space="preserve">, kahe </w:t>
      </w:r>
      <w:proofErr w:type="spellStart"/>
      <w:r w:rsidRPr="6C713841">
        <w:rPr>
          <w:rFonts w:cs="Arial"/>
        </w:rPr>
        <w:t>EasySense</w:t>
      </w:r>
      <w:proofErr w:type="spellEnd"/>
      <w:r w:rsidRPr="6C713841">
        <w:rPr>
          <w:rFonts w:cs="Arial"/>
        </w:rPr>
        <w:t xml:space="preserve"> S9 või kahe </w:t>
      </w:r>
      <w:proofErr w:type="spellStart"/>
      <w:r w:rsidRPr="6C713841">
        <w:rPr>
          <w:rFonts w:cs="Arial"/>
        </w:rPr>
        <w:t>Nano</w:t>
      </w:r>
      <w:proofErr w:type="spellEnd"/>
      <w:r w:rsidRPr="6C713841">
        <w:rPr>
          <w:rFonts w:cs="Arial"/>
        </w:rPr>
        <w:t xml:space="preserve"> Pro pideva glükoosimonitooringu komplekti eest kahe kalendriaasta jooksul. Pideva glükoosimonitooringu komplekti väljakirjutamise õigus on endokrinoloogil;</w:t>
      </w:r>
    </w:p>
    <w:p w14:paraId="360CAFC9" w14:textId="77777777" w:rsidR="00A54032" w:rsidRDefault="00A54032" w:rsidP="00A54032">
      <w:pPr>
        <w:jc w:val="both"/>
      </w:pPr>
      <w:r w:rsidRPr="1D603520">
        <w:rPr>
          <w:rFonts w:cs="Arial"/>
        </w:rPr>
        <w:t>6) insuliinipumba ravi saaval</w:t>
      </w:r>
      <w:r>
        <w:rPr>
          <w:rFonts w:cs="Arial"/>
        </w:rPr>
        <w:t>t</w:t>
      </w:r>
      <w:r w:rsidRPr="1D603520">
        <w:rPr>
          <w:rFonts w:cs="Arial"/>
        </w:rPr>
        <w:t xml:space="preserve"> vähemalt 26-aastasel</w:t>
      </w:r>
      <w:r>
        <w:rPr>
          <w:rFonts w:cs="Arial"/>
        </w:rPr>
        <w:t>t</w:t>
      </w:r>
      <w:r w:rsidRPr="1D603520">
        <w:rPr>
          <w:rFonts w:cs="Arial"/>
        </w:rPr>
        <w:t xml:space="preserve"> kindlustatud isikul</w:t>
      </w:r>
      <w:r>
        <w:rPr>
          <w:rFonts w:cs="Arial"/>
        </w:rPr>
        <w:t>t</w:t>
      </w:r>
      <w:r w:rsidRPr="1D603520">
        <w:rPr>
          <w:rFonts w:cs="Arial"/>
        </w:rPr>
        <w:t xml:space="preserve">, kes vastab § 44 punktis 5 sätestatud tingimustele, ühe </w:t>
      </w:r>
      <w:proofErr w:type="spellStart"/>
      <w:r w:rsidRPr="1D603520">
        <w:rPr>
          <w:rFonts w:cs="Arial"/>
        </w:rPr>
        <w:t>Guardian</w:t>
      </w:r>
      <w:proofErr w:type="spellEnd"/>
      <w:r w:rsidRPr="1D603520">
        <w:rPr>
          <w:rFonts w:cs="Arial"/>
        </w:rPr>
        <w:t xml:space="preserve">, ühe </w:t>
      </w:r>
      <w:proofErr w:type="spellStart"/>
      <w:r w:rsidRPr="1D603520">
        <w:rPr>
          <w:rFonts w:cs="Arial"/>
        </w:rPr>
        <w:t>AiDEX</w:t>
      </w:r>
      <w:proofErr w:type="spellEnd"/>
      <w:r w:rsidRPr="1D603520">
        <w:rPr>
          <w:rFonts w:cs="Arial"/>
        </w:rPr>
        <w:t xml:space="preserve">, ühe </w:t>
      </w:r>
      <w:proofErr w:type="spellStart"/>
      <w:r w:rsidRPr="1D603520">
        <w:rPr>
          <w:rFonts w:cs="Arial"/>
        </w:rPr>
        <w:t>Nano</w:t>
      </w:r>
      <w:proofErr w:type="spellEnd"/>
      <w:r w:rsidRPr="1D603520">
        <w:rPr>
          <w:rFonts w:cs="Arial"/>
        </w:rPr>
        <w:t xml:space="preserve">, kahe </w:t>
      </w:r>
      <w:proofErr w:type="spellStart"/>
      <w:r w:rsidRPr="1D603520">
        <w:rPr>
          <w:rFonts w:cs="Arial"/>
        </w:rPr>
        <w:t>EasySense</w:t>
      </w:r>
      <w:proofErr w:type="spellEnd"/>
      <w:r w:rsidRPr="1D603520">
        <w:rPr>
          <w:rFonts w:cs="Arial"/>
        </w:rPr>
        <w:t xml:space="preserve"> S9 või kahe </w:t>
      </w:r>
      <w:proofErr w:type="spellStart"/>
      <w:r w:rsidRPr="1D603520">
        <w:rPr>
          <w:rFonts w:cs="Arial"/>
        </w:rPr>
        <w:t>Nano</w:t>
      </w:r>
      <w:proofErr w:type="spellEnd"/>
      <w:r w:rsidRPr="1D603520">
        <w:rPr>
          <w:rFonts w:cs="Arial"/>
        </w:rPr>
        <w:t xml:space="preserve"> Pro pideva glükoosimonitooringu komplekti eest kahe kalendriaasta jooksul. Pideva glükoosimonitooringu komplekti väljakirjutamise õigus on endokrinoloogil.</w:t>
      </w:r>
    </w:p>
    <w:p w14:paraId="1FC082DF" w14:textId="77777777" w:rsidR="00A54032" w:rsidRDefault="00A54032" w:rsidP="00A54032">
      <w:pPr>
        <w:jc w:val="both"/>
        <w:rPr>
          <w:rFonts w:cs="Arial"/>
        </w:rPr>
      </w:pPr>
    </w:p>
    <w:p w14:paraId="3769581D" w14:textId="77777777" w:rsidR="00A54032" w:rsidRDefault="00A54032" w:rsidP="00A54032">
      <w:pPr>
        <w:jc w:val="both"/>
        <w:rPr>
          <w:rFonts w:cs="Arial"/>
          <w:b/>
          <w:bCs/>
        </w:rPr>
      </w:pPr>
      <w:r w:rsidRPr="457D80C2">
        <w:rPr>
          <w:rFonts w:cs="Arial"/>
          <w:b/>
          <w:bCs/>
        </w:rPr>
        <w:t>§ 48. Glükoosisensorid</w:t>
      </w:r>
    </w:p>
    <w:p w14:paraId="5F6625BA" w14:textId="77777777" w:rsidR="00A54032" w:rsidRDefault="00A54032" w:rsidP="00A54032">
      <w:pPr>
        <w:jc w:val="both"/>
        <w:rPr>
          <w:rFonts w:cs="Arial"/>
          <w:b/>
          <w:bCs/>
        </w:rPr>
      </w:pPr>
    </w:p>
    <w:p w14:paraId="6CC23E90" w14:textId="77777777" w:rsidR="00A54032" w:rsidRDefault="00A54032" w:rsidP="00A54032">
      <w:pPr>
        <w:jc w:val="both"/>
      </w:pPr>
      <w:r w:rsidRPr="405E7F66">
        <w:rPr>
          <w:rFonts w:cs="Arial"/>
        </w:rPr>
        <w:t>Tervisekassa võtab kindlustatud isikule vajalike glükoosisensorite eest tasu maksmise kohustuse üle järgmistel juhtudel järgmises ulatuses:</w:t>
      </w:r>
    </w:p>
    <w:p w14:paraId="72E70D06" w14:textId="77777777" w:rsidR="00A54032" w:rsidRDefault="00A54032" w:rsidP="00A54032">
      <w:pPr>
        <w:jc w:val="both"/>
      </w:pPr>
      <w:r w:rsidRPr="405E7F66">
        <w:rPr>
          <w:rFonts w:cs="Arial"/>
        </w:rPr>
        <w:t xml:space="preserve">1) alla 19-aastaselt isikult, kes § 47 punktis 1 sätestatud tingimustel kasutab pideva glükoosimonitooringu komplekti, kuni 27 </w:t>
      </w:r>
      <w:proofErr w:type="spellStart"/>
      <w:r w:rsidRPr="405E7F66">
        <w:rPr>
          <w:rFonts w:cs="Arial"/>
        </w:rPr>
        <w:t>AiDEX</w:t>
      </w:r>
      <w:proofErr w:type="spellEnd"/>
      <w:r w:rsidRPr="405E7F66">
        <w:rPr>
          <w:rFonts w:cs="Arial"/>
        </w:rPr>
        <w:t xml:space="preserve">, 27 </w:t>
      </w:r>
      <w:proofErr w:type="spellStart"/>
      <w:r w:rsidRPr="405E7F66">
        <w:rPr>
          <w:rFonts w:cs="Arial"/>
        </w:rPr>
        <w:t>CareSens</w:t>
      </w:r>
      <w:proofErr w:type="spellEnd"/>
      <w:r w:rsidRPr="405E7F66">
        <w:rPr>
          <w:rFonts w:cs="Arial"/>
        </w:rPr>
        <w:t xml:space="preserve"> Air, 27 </w:t>
      </w:r>
      <w:proofErr w:type="spellStart"/>
      <w:r w:rsidRPr="405E7F66">
        <w:rPr>
          <w:rFonts w:cs="Arial"/>
        </w:rPr>
        <w:t>LinX</w:t>
      </w:r>
      <w:proofErr w:type="spellEnd"/>
      <w:r w:rsidRPr="405E7F66">
        <w:rPr>
          <w:rFonts w:cs="Arial"/>
        </w:rPr>
        <w:t xml:space="preserve">, 33 </w:t>
      </w:r>
      <w:proofErr w:type="spellStart"/>
      <w:r w:rsidRPr="405E7F66">
        <w:rPr>
          <w:rFonts w:cs="Arial"/>
        </w:rPr>
        <w:t>EasySense</w:t>
      </w:r>
      <w:proofErr w:type="spellEnd"/>
      <w:r w:rsidRPr="405E7F66">
        <w:rPr>
          <w:rFonts w:cs="Arial"/>
        </w:rPr>
        <w:t xml:space="preserve"> S9, 33 </w:t>
      </w:r>
      <w:proofErr w:type="spellStart"/>
      <w:r w:rsidRPr="405E7F66">
        <w:rPr>
          <w:rFonts w:cs="Arial"/>
        </w:rPr>
        <w:t>Nano</w:t>
      </w:r>
      <w:proofErr w:type="spellEnd"/>
      <w:r w:rsidRPr="405E7F66">
        <w:rPr>
          <w:rFonts w:cs="Arial"/>
        </w:rPr>
        <w:t xml:space="preserve">, 33 </w:t>
      </w:r>
      <w:proofErr w:type="spellStart"/>
      <w:r w:rsidRPr="405E7F66">
        <w:rPr>
          <w:rFonts w:cs="Arial"/>
        </w:rPr>
        <w:t>Nano</w:t>
      </w:r>
      <w:proofErr w:type="spellEnd"/>
      <w:r w:rsidRPr="405E7F66">
        <w:rPr>
          <w:rFonts w:cs="Arial"/>
        </w:rPr>
        <w:t xml:space="preserve"> Pro, 41 </w:t>
      </w:r>
      <w:proofErr w:type="spellStart"/>
      <w:r w:rsidRPr="405E7F66">
        <w:rPr>
          <w:rFonts w:cs="Arial"/>
        </w:rPr>
        <w:t>Dexcom</w:t>
      </w:r>
      <w:proofErr w:type="spellEnd"/>
      <w:r w:rsidRPr="405E7F66">
        <w:rPr>
          <w:rFonts w:cs="Arial"/>
        </w:rPr>
        <w:t xml:space="preserve"> ONE+ või kuni 55 </w:t>
      </w:r>
      <w:proofErr w:type="spellStart"/>
      <w:r w:rsidRPr="405E7F66">
        <w:rPr>
          <w:rFonts w:cs="Arial"/>
        </w:rPr>
        <w:t>Guardian</w:t>
      </w:r>
      <w:proofErr w:type="spellEnd"/>
      <w:r w:rsidRPr="405E7F66">
        <w:rPr>
          <w:rFonts w:cs="Arial"/>
        </w:rPr>
        <w:t xml:space="preserve"> glükoosisensori eest kalendriaastas;</w:t>
      </w:r>
    </w:p>
    <w:p w14:paraId="24EBA2FB" w14:textId="77777777" w:rsidR="00A54032" w:rsidRDefault="00A54032" w:rsidP="00A54032">
      <w:pPr>
        <w:jc w:val="both"/>
      </w:pPr>
      <w:r w:rsidRPr="405E7F66">
        <w:rPr>
          <w:rFonts w:cs="Arial"/>
        </w:rPr>
        <w:t xml:space="preserve">2) I tüübi diabeedi haigelt kuni 13 </w:t>
      </w:r>
      <w:proofErr w:type="spellStart"/>
      <w:r w:rsidRPr="405E7F66">
        <w:rPr>
          <w:rFonts w:cs="Arial"/>
        </w:rPr>
        <w:t>AiDEX</w:t>
      </w:r>
      <w:proofErr w:type="spellEnd"/>
      <w:r w:rsidRPr="405E7F66">
        <w:rPr>
          <w:rFonts w:cs="Arial"/>
        </w:rPr>
        <w:t xml:space="preserve">, 13 </w:t>
      </w:r>
      <w:proofErr w:type="spellStart"/>
      <w:r w:rsidRPr="405E7F66">
        <w:rPr>
          <w:rFonts w:cs="Arial"/>
        </w:rPr>
        <w:t>CareSens</w:t>
      </w:r>
      <w:proofErr w:type="spellEnd"/>
      <w:r w:rsidRPr="405E7F66">
        <w:rPr>
          <w:rFonts w:cs="Arial"/>
        </w:rPr>
        <w:t xml:space="preserve"> Air, 13 </w:t>
      </w:r>
      <w:proofErr w:type="spellStart"/>
      <w:r w:rsidRPr="405E7F66">
        <w:rPr>
          <w:rFonts w:cs="Arial"/>
        </w:rPr>
        <w:t>LinX</w:t>
      </w:r>
      <w:proofErr w:type="spellEnd"/>
      <w:r w:rsidRPr="405E7F66">
        <w:rPr>
          <w:rFonts w:cs="Arial"/>
        </w:rPr>
        <w:t xml:space="preserve">, 16 </w:t>
      </w:r>
      <w:proofErr w:type="spellStart"/>
      <w:r w:rsidRPr="405E7F66">
        <w:rPr>
          <w:rFonts w:cs="Arial"/>
        </w:rPr>
        <w:t>EasySense</w:t>
      </w:r>
      <w:proofErr w:type="spellEnd"/>
      <w:r w:rsidRPr="405E7F66">
        <w:rPr>
          <w:rFonts w:cs="Arial"/>
        </w:rPr>
        <w:t xml:space="preserve"> S9 või kuni 20 </w:t>
      </w:r>
      <w:proofErr w:type="spellStart"/>
      <w:r w:rsidRPr="405E7F66">
        <w:rPr>
          <w:rFonts w:cs="Arial"/>
        </w:rPr>
        <w:t>Dexcom</w:t>
      </w:r>
      <w:proofErr w:type="spellEnd"/>
      <w:r w:rsidRPr="405E7F66">
        <w:rPr>
          <w:rFonts w:cs="Arial"/>
        </w:rPr>
        <w:t xml:space="preserve"> ONE+ glükoosisensori eest kalendripoolaastas. </w:t>
      </w:r>
      <w:r w:rsidRPr="00F175FD">
        <w:rPr>
          <w:rFonts w:cs="Arial"/>
        </w:rPr>
        <w:t>Glükoosisensorite</w:t>
      </w:r>
      <w:r w:rsidRPr="405E7F66">
        <w:rPr>
          <w:rFonts w:cs="Arial"/>
        </w:rPr>
        <w:t xml:space="preserve"> väljakirjutamise õigus on endokrinoloogil, </w:t>
      </w:r>
      <w:proofErr w:type="spellStart"/>
      <w:r w:rsidRPr="405E7F66">
        <w:rPr>
          <w:rFonts w:cs="Arial"/>
        </w:rPr>
        <w:t>sisearstil</w:t>
      </w:r>
      <w:proofErr w:type="spellEnd"/>
      <w:r w:rsidRPr="405E7F66">
        <w:rPr>
          <w:rFonts w:cs="Arial"/>
        </w:rPr>
        <w:t xml:space="preserve"> ja lastearstil;</w:t>
      </w:r>
    </w:p>
    <w:p w14:paraId="7ED83E23" w14:textId="77777777" w:rsidR="00A54032" w:rsidRDefault="00A54032" w:rsidP="00A54032">
      <w:pPr>
        <w:jc w:val="both"/>
      </w:pPr>
      <w:r w:rsidRPr="405E7F66">
        <w:rPr>
          <w:rFonts w:cs="Arial"/>
        </w:rPr>
        <w:t xml:space="preserve">3) insuliinipumba ravi saavalt 19–25-aastaselt kindlustatud isikult, kes vastab § 44 punktis 3 sätestatud tingimustele, kuni 13 </w:t>
      </w:r>
      <w:proofErr w:type="spellStart"/>
      <w:r w:rsidRPr="405E7F66">
        <w:rPr>
          <w:rFonts w:cs="Arial"/>
        </w:rPr>
        <w:t>AiDEX</w:t>
      </w:r>
      <w:proofErr w:type="spellEnd"/>
      <w:r w:rsidRPr="405E7F66">
        <w:rPr>
          <w:rFonts w:cs="Arial"/>
        </w:rPr>
        <w:t xml:space="preserve">, 13 </w:t>
      </w:r>
      <w:proofErr w:type="spellStart"/>
      <w:r w:rsidRPr="405E7F66">
        <w:rPr>
          <w:rFonts w:cs="Arial"/>
        </w:rPr>
        <w:t>CareSens</w:t>
      </w:r>
      <w:proofErr w:type="spellEnd"/>
      <w:r w:rsidRPr="405E7F66">
        <w:rPr>
          <w:rFonts w:cs="Arial"/>
        </w:rPr>
        <w:t xml:space="preserve"> Air, 13 </w:t>
      </w:r>
      <w:proofErr w:type="spellStart"/>
      <w:r w:rsidRPr="405E7F66">
        <w:rPr>
          <w:rFonts w:cs="Arial"/>
        </w:rPr>
        <w:t>LinX</w:t>
      </w:r>
      <w:proofErr w:type="spellEnd"/>
      <w:r w:rsidRPr="405E7F66">
        <w:rPr>
          <w:rFonts w:cs="Arial"/>
        </w:rPr>
        <w:t xml:space="preserve">, 16 </w:t>
      </w:r>
      <w:proofErr w:type="spellStart"/>
      <w:r w:rsidRPr="405E7F66">
        <w:rPr>
          <w:rFonts w:cs="Arial"/>
        </w:rPr>
        <w:t>EasySense</w:t>
      </w:r>
      <w:proofErr w:type="spellEnd"/>
      <w:r w:rsidRPr="405E7F66">
        <w:rPr>
          <w:rFonts w:cs="Arial"/>
        </w:rPr>
        <w:t xml:space="preserve"> S9, 16 </w:t>
      </w:r>
      <w:proofErr w:type="spellStart"/>
      <w:r w:rsidRPr="405E7F66">
        <w:rPr>
          <w:rFonts w:cs="Arial"/>
        </w:rPr>
        <w:t>Nano</w:t>
      </w:r>
      <w:proofErr w:type="spellEnd"/>
      <w:r w:rsidRPr="405E7F66">
        <w:rPr>
          <w:rFonts w:cs="Arial"/>
        </w:rPr>
        <w:t xml:space="preserve">, 16 </w:t>
      </w:r>
      <w:proofErr w:type="spellStart"/>
      <w:r w:rsidRPr="405E7F66">
        <w:rPr>
          <w:rFonts w:cs="Arial"/>
        </w:rPr>
        <w:t>Nano</w:t>
      </w:r>
      <w:proofErr w:type="spellEnd"/>
      <w:r w:rsidRPr="405E7F66">
        <w:rPr>
          <w:rFonts w:cs="Arial"/>
        </w:rPr>
        <w:t xml:space="preserve"> Pro, 20 </w:t>
      </w:r>
      <w:proofErr w:type="spellStart"/>
      <w:r w:rsidRPr="405E7F66">
        <w:rPr>
          <w:rFonts w:cs="Arial"/>
        </w:rPr>
        <w:t>Dexcom</w:t>
      </w:r>
      <w:proofErr w:type="spellEnd"/>
      <w:r w:rsidRPr="405E7F66">
        <w:rPr>
          <w:rFonts w:cs="Arial"/>
        </w:rPr>
        <w:t xml:space="preserve"> ONE+ või kuni 26 </w:t>
      </w:r>
      <w:proofErr w:type="spellStart"/>
      <w:r w:rsidRPr="405E7F66">
        <w:rPr>
          <w:rFonts w:cs="Arial"/>
        </w:rPr>
        <w:t>Guardian</w:t>
      </w:r>
      <w:proofErr w:type="spellEnd"/>
      <w:r w:rsidRPr="405E7F66">
        <w:rPr>
          <w:rFonts w:cs="Arial"/>
        </w:rPr>
        <w:t xml:space="preserve"> glükoosisensori eest kalendripoolaastas. Glükoosisensorite väljakirjutamise õigus on endokrinoloogil;</w:t>
      </w:r>
    </w:p>
    <w:p w14:paraId="48D4C571" w14:textId="77777777" w:rsidR="00A54032" w:rsidRDefault="00A54032" w:rsidP="00A54032">
      <w:pPr>
        <w:jc w:val="both"/>
      </w:pPr>
      <w:r w:rsidRPr="405E7F66">
        <w:rPr>
          <w:rFonts w:cs="Arial"/>
        </w:rPr>
        <w:t xml:space="preserve">4) II tüübi diabeedi haigelt, kellel on raviskeemis </w:t>
      </w:r>
      <w:proofErr w:type="spellStart"/>
      <w:r w:rsidRPr="405E7F66">
        <w:rPr>
          <w:rFonts w:cs="Arial"/>
        </w:rPr>
        <w:t>lühitoimeline</w:t>
      </w:r>
      <w:proofErr w:type="spellEnd"/>
      <w:r w:rsidRPr="405E7F66">
        <w:rPr>
          <w:rFonts w:cs="Arial"/>
        </w:rPr>
        <w:t xml:space="preserve"> insuliin ja kellel on välja kujunenud püsiv insuliinidefitsiit (C-peptiid alla 200 </w:t>
      </w:r>
      <w:proofErr w:type="spellStart"/>
      <w:r w:rsidRPr="405E7F66">
        <w:rPr>
          <w:rFonts w:cs="Arial"/>
        </w:rPr>
        <w:t>pmol</w:t>
      </w:r>
      <w:proofErr w:type="spellEnd"/>
      <w:r w:rsidRPr="405E7F66">
        <w:rPr>
          <w:rFonts w:cs="Arial"/>
        </w:rPr>
        <w:t xml:space="preserve">/l), kuni 13 </w:t>
      </w:r>
      <w:proofErr w:type="spellStart"/>
      <w:r w:rsidRPr="405E7F66">
        <w:rPr>
          <w:rFonts w:cs="Arial"/>
        </w:rPr>
        <w:t>AiDEX</w:t>
      </w:r>
      <w:proofErr w:type="spellEnd"/>
      <w:r w:rsidRPr="405E7F66">
        <w:rPr>
          <w:rFonts w:cs="Arial"/>
        </w:rPr>
        <w:t xml:space="preserve">, 13 </w:t>
      </w:r>
      <w:proofErr w:type="spellStart"/>
      <w:r w:rsidRPr="405E7F66">
        <w:rPr>
          <w:rFonts w:cs="Arial"/>
        </w:rPr>
        <w:t>CareSens</w:t>
      </w:r>
      <w:proofErr w:type="spellEnd"/>
      <w:r w:rsidRPr="405E7F66">
        <w:rPr>
          <w:rFonts w:cs="Arial"/>
        </w:rPr>
        <w:t xml:space="preserve"> Air, 13 </w:t>
      </w:r>
      <w:proofErr w:type="spellStart"/>
      <w:r w:rsidRPr="405E7F66">
        <w:rPr>
          <w:rFonts w:cs="Arial"/>
        </w:rPr>
        <w:t>LinX</w:t>
      </w:r>
      <w:proofErr w:type="spellEnd"/>
      <w:r w:rsidRPr="405E7F66">
        <w:rPr>
          <w:rFonts w:cs="Arial"/>
        </w:rPr>
        <w:t xml:space="preserve">, 16 </w:t>
      </w:r>
      <w:proofErr w:type="spellStart"/>
      <w:r w:rsidRPr="405E7F66">
        <w:rPr>
          <w:rFonts w:cs="Arial"/>
        </w:rPr>
        <w:t>EasySense</w:t>
      </w:r>
      <w:proofErr w:type="spellEnd"/>
      <w:r w:rsidRPr="405E7F66">
        <w:rPr>
          <w:rFonts w:cs="Arial"/>
        </w:rPr>
        <w:t xml:space="preserve"> S9 või kuni 20 </w:t>
      </w:r>
      <w:proofErr w:type="spellStart"/>
      <w:r w:rsidRPr="405E7F66">
        <w:rPr>
          <w:rFonts w:cs="Arial"/>
        </w:rPr>
        <w:t>Dexcom</w:t>
      </w:r>
      <w:proofErr w:type="spellEnd"/>
      <w:r w:rsidRPr="405E7F66">
        <w:rPr>
          <w:rFonts w:cs="Arial"/>
        </w:rPr>
        <w:t xml:space="preserve"> ONE+ glükoosisensori eest kalendripoolaastas. Glükoosisensorite väljakirjutamise õigus on endokrinoloogil, </w:t>
      </w:r>
      <w:proofErr w:type="spellStart"/>
      <w:r w:rsidRPr="405E7F66">
        <w:rPr>
          <w:rFonts w:cs="Arial"/>
        </w:rPr>
        <w:t>sisearstil</w:t>
      </w:r>
      <w:proofErr w:type="spellEnd"/>
      <w:r w:rsidRPr="405E7F66">
        <w:rPr>
          <w:rFonts w:cs="Arial"/>
        </w:rPr>
        <w:t xml:space="preserve"> ja lastearstil;</w:t>
      </w:r>
    </w:p>
    <w:p w14:paraId="25A75C4A" w14:textId="77777777" w:rsidR="00A54032" w:rsidRDefault="00A54032" w:rsidP="00A54032">
      <w:pPr>
        <w:jc w:val="both"/>
      </w:pPr>
      <w:r w:rsidRPr="405E7F66">
        <w:rPr>
          <w:rFonts w:cs="Arial"/>
        </w:rPr>
        <w:t xml:space="preserve">5) insuliinipumba ravi saavalt vähemalt 26-aastaselt kindlustatud isikult, kes vastab § 44 punktis 4 sätestatud tingimustele, kuni 13 </w:t>
      </w:r>
      <w:proofErr w:type="spellStart"/>
      <w:r w:rsidRPr="405E7F66">
        <w:rPr>
          <w:rFonts w:cs="Arial"/>
        </w:rPr>
        <w:t>AiDEX</w:t>
      </w:r>
      <w:proofErr w:type="spellEnd"/>
      <w:r w:rsidRPr="405E7F66">
        <w:rPr>
          <w:rFonts w:cs="Arial"/>
        </w:rPr>
        <w:t xml:space="preserve">, 13 </w:t>
      </w:r>
      <w:proofErr w:type="spellStart"/>
      <w:r w:rsidRPr="405E7F66">
        <w:rPr>
          <w:rFonts w:cs="Arial"/>
        </w:rPr>
        <w:t>CareSens</w:t>
      </w:r>
      <w:proofErr w:type="spellEnd"/>
      <w:r w:rsidRPr="405E7F66">
        <w:rPr>
          <w:rFonts w:cs="Arial"/>
        </w:rPr>
        <w:t xml:space="preserve"> Air, 13 </w:t>
      </w:r>
      <w:proofErr w:type="spellStart"/>
      <w:r w:rsidRPr="405E7F66">
        <w:rPr>
          <w:rFonts w:cs="Arial"/>
        </w:rPr>
        <w:t>LinX</w:t>
      </w:r>
      <w:proofErr w:type="spellEnd"/>
      <w:r w:rsidRPr="405E7F66">
        <w:rPr>
          <w:rFonts w:cs="Arial"/>
        </w:rPr>
        <w:t xml:space="preserve">, 16 </w:t>
      </w:r>
      <w:proofErr w:type="spellStart"/>
      <w:r w:rsidRPr="405E7F66">
        <w:rPr>
          <w:rFonts w:cs="Arial"/>
        </w:rPr>
        <w:t>EasySense</w:t>
      </w:r>
      <w:proofErr w:type="spellEnd"/>
      <w:r w:rsidRPr="405E7F66">
        <w:rPr>
          <w:rFonts w:cs="Arial"/>
        </w:rPr>
        <w:t xml:space="preserve"> S9, 16 </w:t>
      </w:r>
      <w:proofErr w:type="spellStart"/>
      <w:r w:rsidRPr="405E7F66">
        <w:rPr>
          <w:rFonts w:cs="Arial"/>
        </w:rPr>
        <w:t>Nano</w:t>
      </w:r>
      <w:proofErr w:type="spellEnd"/>
      <w:r w:rsidRPr="405E7F66">
        <w:rPr>
          <w:rFonts w:cs="Arial"/>
        </w:rPr>
        <w:t xml:space="preserve">, 16 </w:t>
      </w:r>
      <w:proofErr w:type="spellStart"/>
      <w:r w:rsidRPr="405E7F66">
        <w:rPr>
          <w:rFonts w:cs="Arial"/>
        </w:rPr>
        <w:t>Nano</w:t>
      </w:r>
      <w:proofErr w:type="spellEnd"/>
      <w:r w:rsidRPr="405E7F66">
        <w:rPr>
          <w:rFonts w:cs="Arial"/>
        </w:rPr>
        <w:t xml:space="preserve"> Pro, 20 </w:t>
      </w:r>
      <w:proofErr w:type="spellStart"/>
      <w:r w:rsidRPr="405E7F66">
        <w:rPr>
          <w:rFonts w:cs="Arial"/>
        </w:rPr>
        <w:t>Dexcom</w:t>
      </w:r>
      <w:proofErr w:type="spellEnd"/>
      <w:r w:rsidRPr="405E7F66">
        <w:rPr>
          <w:rFonts w:cs="Arial"/>
        </w:rPr>
        <w:t xml:space="preserve"> ONE+ või kuni 26 </w:t>
      </w:r>
      <w:proofErr w:type="spellStart"/>
      <w:r w:rsidRPr="405E7F66">
        <w:rPr>
          <w:rFonts w:cs="Arial"/>
        </w:rPr>
        <w:t>Guardian</w:t>
      </w:r>
      <w:proofErr w:type="spellEnd"/>
      <w:r w:rsidRPr="405E7F66">
        <w:rPr>
          <w:rFonts w:cs="Arial"/>
        </w:rPr>
        <w:t xml:space="preserve"> glükoosisensori eest kalendripoolaastas. Glükoosisensorite väljakirjutamise õigus on endokrinoloogil;</w:t>
      </w:r>
    </w:p>
    <w:p w14:paraId="208C4D5D" w14:textId="77777777" w:rsidR="00A54032" w:rsidRDefault="00A54032" w:rsidP="00A54032">
      <w:pPr>
        <w:jc w:val="both"/>
      </w:pPr>
      <w:r>
        <w:t xml:space="preserve">6) insuliinipumba ravi saavalt vähemalt 26-aastaselt kindlustatud isikult, kes vastab § 44 punktis 5 sätestatud tingimustele, kuni 13 </w:t>
      </w:r>
      <w:proofErr w:type="spellStart"/>
      <w:r>
        <w:t>AiDEX</w:t>
      </w:r>
      <w:proofErr w:type="spellEnd"/>
      <w:r>
        <w:t xml:space="preserve">, 13 </w:t>
      </w:r>
      <w:proofErr w:type="spellStart"/>
      <w:r>
        <w:t>CareSens</w:t>
      </w:r>
      <w:proofErr w:type="spellEnd"/>
      <w:r>
        <w:t xml:space="preserve"> Air, 13 </w:t>
      </w:r>
      <w:proofErr w:type="spellStart"/>
      <w:r>
        <w:t>LinX</w:t>
      </w:r>
      <w:proofErr w:type="spellEnd"/>
      <w:r>
        <w:t xml:space="preserve">, 16 </w:t>
      </w:r>
      <w:proofErr w:type="spellStart"/>
      <w:r>
        <w:t>EasySense</w:t>
      </w:r>
      <w:proofErr w:type="spellEnd"/>
      <w:r>
        <w:t xml:space="preserve"> S9, 16 </w:t>
      </w:r>
      <w:proofErr w:type="spellStart"/>
      <w:r>
        <w:t>Nano</w:t>
      </w:r>
      <w:proofErr w:type="spellEnd"/>
      <w:r>
        <w:t xml:space="preserve">, 16 </w:t>
      </w:r>
      <w:proofErr w:type="spellStart"/>
      <w:r>
        <w:t>Nano</w:t>
      </w:r>
      <w:proofErr w:type="spellEnd"/>
      <w:r>
        <w:t xml:space="preserve"> Pro, 20 </w:t>
      </w:r>
      <w:proofErr w:type="spellStart"/>
      <w:r>
        <w:t>Dexcom</w:t>
      </w:r>
      <w:proofErr w:type="spellEnd"/>
      <w:r>
        <w:t xml:space="preserve"> ONE+ või kuni 26 </w:t>
      </w:r>
      <w:proofErr w:type="spellStart"/>
      <w:r>
        <w:t>Guardian</w:t>
      </w:r>
      <w:proofErr w:type="spellEnd"/>
      <w:r>
        <w:t xml:space="preserve"> glükoosisensori eest kalendripoolaastas. Glükoosisensorite väljakirjutamise õigus on endokrinoloogil.“;</w:t>
      </w:r>
    </w:p>
    <w:p w14:paraId="4180B164" w14:textId="77777777" w:rsidR="00A54032" w:rsidRDefault="00A54032" w:rsidP="00A54032">
      <w:pPr>
        <w:jc w:val="both"/>
      </w:pPr>
    </w:p>
    <w:p w14:paraId="0122238C" w14:textId="77777777" w:rsidR="00A54032" w:rsidRDefault="00A54032" w:rsidP="00A54032">
      <w:pPr>
        <w:jc w:val="both"/>
      </w:pPr>
      <w:r w:rsidRPr="001C762F">
        <w:rPr>
          <w:b/>
          <w:bCs/>
        </w:rPr>
        <w:t>9)</w:t>
      </w:r>
      <w:r>
        <w:t xml:space="preserve"> paragrahvi 51 tekst sõnastatakse järgmiselt:</w:t>
      </w:r>
    </w:p>
    <w:p w14:paraId="15BA59A6" w14:textId="77777777" w:rsidR="00A54032" w:rsidRDefault="00A54032" w:rsidP="00A54032">
      <w:pPr>
        <w:jc w:val="both"/>
      </w:pPr>
    </w:p>
    <w:p w14:paraId="290DFA17" w14:textId="77777777" w:rsidR="00A54032" w:rsidRPr="00E477D3" w:rsidRDefault="00A54032" w:rsidP="00A54032">
      <w:pPr>
        <w:jc w:val="both"/>
        <w:rPr>
          <w:b/>
          <w:bCs/>
        </w:rPr>
      </w:pPr>
      <w:r>
        <w:t>„</w:t>
      </w:r>
      <w:r w:rsidRPr="001C762F">
        <w:t>Tervisekassa võtab kindlustatud isikule vajalike vere β-</w:t>
      </w:r>
      <w:proofErr w:type="spellStart"/>
      <w:r w:rsidRPr="001C762F">
        <w:t>ketooni</w:t>
      </w:r>
      <w:proofErr w:type="spellEnd"/>
      <w:r w:rsidRPr="001C762F">
        <w:t xml:space="preserve"> testiribade eest tasu maksmise kohustuse üle </w:t>
      </w:r>
      <w:r w:rsidRPr="003D6FA0">
        <w:t>järgmistel juhtudel järgmises ulatuses:</w:t>
      </w:r>
    </w:p>
    <w:p w14:paraId="18401FF5" w14:textId="77777777" w:rsidR="00A54032" w:rsidRDefault="00A54032" w:rsidP="00A54032">
      <w:pPr>
        <w:jc w:val="both"/>
      </w:pPr>
      <w:r>
        <w:t xml:space="preserve">1) </w:t>
      </w:r>
      <w:r w:rsidRPr="001C762F">
        <w:t>alla 19-aastaselt insuliinsõltuva suhkurtõvega (RHK 10 diagnoosikood E10) patsiendilt kuni 50 testiriba eest kalendriaastas</w:t>
      </w:r>
      <w:r>
        <w:t>;</w:t>
      </w:r>
    </w:p>
    <w:p w14:paraId="6F16C2CB" w14:textId="77777777" w:rsidR="00A54032" w:rsidRDefault="00A54032" w:rsidP="00A54032">
      <w:pPr>
        <w:jc w:val="both"/>
      </w:pPr>
      <w:r>
        <w:t xml:space="preserve">2) </w:t>
      </w:r>
      <w:r w:rsidRPr="00CB0220">
        <w:t>insuliinsõltuva suhkurtõvega (RHK 10 diagnoosikood E10) patsiendilt</w:t>
      </w:r>
      <w:r>
        <w:t xml:space="preserve">, </w:t>
      </w:r>
      <w:r w:rsidRPr="66A2E91F">
        <w:rPr>
          <w:rFonts w:cs="Arial"/>
          <w:color w:val="000000"/>
          <w:shd w:val="clear" w:color="auto" w:fill="FFFFFF"/>
        </w:rPr>
        <w:t>kellele Tervisekassa hüvitab soodusravimite loetelu kaudu</w:t>
      </w:r>
      <w:r>
        <w:rPr>
          <w:rFonts w:cs="Arial"/>
          <w:color w:val="000000"/>
          <w:shd w:val="clear" w:color="auto" w:fill="FFFFFF"/>
        </w:rPr>
        <w:t xml:space="preserve"> SGLT-2 inhibiitoreid,</w:t>
      </w:r>
      <w:r w:rsidRPr="00CB0220">
        <w:t xml:space="preserve"> kuni 50 testiriba eest kalendriaastas</w:t>
      </w:r>
      <w:r>
        <w:t>.“;</w:t>
      </w:r>
    </w:p>
    <w:p w14:paraId="573BE490" w14:textId="77777777" w:rsidR="00A54032" w:rsidRPr="007843D7" w:rsidRDefault="00A54032" w:rsidP="00A54032">
      <w:pPr>
        <w:jc w:val="both"/>
      </w:pPr>
    </w:p>
    <w:p w14:paraId="2FBC3F75" w14:textId="77777777" w:rsidR="00A54032" w:rsidRPr="007843D7" w:rsidRDefault="00A54032" w:rsidP="00A54032">
      <w:pPr>
        <w:jc w:val="both"/>
        <w:rPr>
          <w:rFonts w:cs="Arial"/>
        </w:rPr>
      </w:pPr>
      <w:r>
        <w:rPr>
          <w:rFonts w:cs="Arial"/>
          <w:b/>
          <w:bCs/>
        </w:rPr>
        <w:t>10</w:t>
      </w:r>
      <w:r w:rsidRPr="1D603520">
        <w:rPr>
          <w:rFonts w:cs="Arial"/>
          <w:b/>
          <w:bCs/>
        </w:rPr>
        <w:t>)</w:t>
      </w:r>
      <w:r w:rsidRPr="1D603520">
        <w:rPr>
          <w:rFonts w:cs="Arial"/>
        </w:rPr>
        <w:t xml:space="preserve"> määruse lisa kehtestatakse uues sõnastuses (lisatud).</w:t>
      </w:r>
    </w:p>
    <w:p w14:paraId="63DB287E" w14:textId="77777777" w:rsidR="00A54032" w:rsidRDefault="00A54032" w:rsidP="00A54032">
      <w:pPr>
        <w:jc w:val="both"/>
        <w:rPr>
          <w:rFonts w:cs="Arial"/>
          <w:b/>
          <w:bCs/>
          <w:color w:val="000000" w:themeColor="text1"/>
        </w:rPr>
      </w:pPr>
    </w:p>
    <w:p w14:paraId="69AD646E" w14:textId="77777777" w:rsidR="00A54032" w:rsidRPr="007843D7" w:rsidRDefault="00A54032" w:rsidP="00A54032">
      <w:pPr>
        <w:jc w:val="both"/>
        <w:rPr>
          <w:rFonts w:cs="Arial"/>
          <w:b/>
          <w:bCs/>
          <w:color w:val="000000"/>
        </w:rPr>
      </w:pPr>
      <w:r w:rsidRPr="007843D7">
        <w:rPr>
          <w:rFonts w:cs="Arial"/>
          <w:b/>
          <w:bCs/>
          <w:color w:val="000000"/>
          <w:bdr w:val="none" w:sz="0" w:space="0" w:color="auto" w:frame="1"/>
        </w:rPr>
        <w:t xml:space="preserve">§ 2. </w:t>
      </w:r>
      <w:r w:rsidRPr="007843D7">
        <w:rPr>
          <w:rFonts w:cs="Arial"/>
          <w:b/>
          <w:bCs/>
          <w:color w:val="000000"/>
        </w:rPr>
        <w:t>Määruse jõustumine</w:t>
      </w:r>
    </w:p>
    <w:p w14:paraId="3BF2B710" w14:textId="77777777" w:rsidR="00A54032" w:rsidRPr="007843D7" w:rsidRDefault="00A54032" w:rsidP="00A54032">
      <w:pPr>
        <w:jc w:val="both"/>
        <w:rPr>
          <w:rFonts w:cs="Arial"/>
          <w:color w:val="202020"/>
        </w:rPr>
      </w:pPr>
    </w:p>
    <w:p w14:paraId="6965B840" w14:textId="77777777" w:rsidR="00A54032" w:rsidRPr="007843D7" w:rsidRDefault="00A54032" w:rsidP="00A54032">
      <w:pPr>
        <w:jc w:val="both"/>
        <w:rPr>
          <w:rFonts w:cs="Arial"/>
        </w:rPr>
      </w:pPr>
      <w:r w:rsidRPr="59F9ED87">
        <w:rPr>
          <w:rFonts w:cs="Arial"/>
          <w:color w:val="202020"/>
        </w:rPr>
        <w:t>Määrus jõustub 1. jaanuaril 2026. a.</w:t>
      </w:r>
    </w:p>
    <w:p w14:paraId="7E5A6E7A" w14:textId="77777777" w:rsidR="00A54032" w:rsidRPr="007843D7" w:rsidRDefault="00A54032" w:rsidP="00A54032">
      <w:pPr>
        <w:rPr>
          <w:rFonts w:cs="Arial"/>
        </w:rPr>
        <w:sectPr w:rsidR="00A54032" w:rsidRPr="007843D7" w:rsidSect="00A54032">
          <w:headerReference w:type="default" r:id="rId7"/>
          <w:footerReference w:type="default" r:id="rId8"/>
          <w:pgSz w:w="11907" w:h="16839" w:code="9"/>
          <w:pgMar w:top="907" w:right="1021" w:bottom="1418" w:left="1814" w:header="709" w:footer="709" w:gutter="0"/>
          <w:cols w:space="708"/>
          <w:formProt w:val="0"/>
          <w:titlePg/>
          <w:docGrid w:linePitch="360"/>
        </w:sectPr>
      </w:pPr>
    </w:p>
    <w:p w14:paraId="3A981877" w14:textId="76F0C1D6" w:rsidR="007352AA" w:rsidRDefault="007352AA" w:rsidP="00094BF0">
      <w:pPr>
        <w:rPr>
          <w:rFonts w:cs="Arial"/>
        </w:rPr>
      </w:pPr>
    </w:p>
    <w:p w14:paraId="3A981878" w14:textId="77777777" w:rsidR="00CC5B01" w:rsidRDefault="00CC5B01" w:rsidP="00094BF0">
      <w:pPr>
        <w:rPr>
          <w:rFonts w:cs="Arial"/>
        </w:rPr>
      </w:pPr>
    </w:p>
    <w:p w14:paraId="3A981879" w14:textId="77777777" w:rsidR="001D53AE" w:rsidRDefault="001D53AE" w:rsidP="00094BF0">
      <w:pPr>
        <w:rPr>
          <w:rFonts w:cs="Arial"/>
        </w:rPr>
        <w:sectPr w:rsidR="001D53AE" w:rsidSect="00E52553">
          <w:headerReference w:type="default" r:id="rId9"/>
          <w:pgSz w:w="11907" w:h="16839" w:code="9"/>
          <w:pgMar w:top="907" w:right="1021" w:bottom="1418" w:left="1814" w:header="709" w:footer="709" w:gutter="0"/>
          <w:cols w:space="708"/>
          <w:formProt w:val="0"/>
          <w:titlePg/>
          <w:docGrid w:linePitch="360"/>
        </w:sectPr>
      </w:pPr>
    </w:p>
    <w:p w14:paraId="3A98187A" w14:textId="77777777" w:rsidR="00CC5B01" w:rsidRDefault="00CC5B01" w:rsidP="00094BF0">
      <w:pPr>
        <w:rPr>
          <w:rFonts w:cs="Arial"/>
        </w:rPr>
      </w:pPr>
    </w:p>
    <w:p w14:paraId="3A98187E" w14:textId="70CEC925" w:rsidR="00E57228" w:rsidRDefault="007C0F7C" w:rsidP="00E57228">
      <w:pPr>
        <w:rPr>
          <w:rFonts w:cs="Arial"/>
        </w:rPr>
      </w:pPr>
      <w:r>
        <w:rPr>
          <w:rFonts w:cs="Arial"/>
        </w:rPr>
        <w:t>(allkirjastatud digitaalselt)</w:t>
      </w:r>
    </w:p>
    <w:p w14:paraId="3A98187F" w14:textId="6A7C3290" w:rsidR="007B2940" w:rsidRDefault="00E57228" w:rsidP="00094BF0">
      <w:pPr>
        <w:rPr>
          <w:rFonts w:cs="Arial"/>
        </w:rPr>
      </w:pPr>
      <w:r>
        <w:rPr>
          <w:rFonts w:cs="Arial"/>
        </w:rPr>
        <w:fldChar w:fldCharType="begin"/>
      </w:r>
      <w:r w:rsidR="00353BEF">
        <w:rPr>
          <w:rFonts w:cs="Arial"/>
        </w:rPr>
        <w:instrText xml:space="preserve"> delta_signerName  \* MERGEFORMAT</w:instrText>
      </w:r>
      <w:r>
        <w:rPr>
          <w:rFonts w:cs="Arial"/>
        </w:rPr>
        <w:fldChar w:fldCharType="separate"/>
      </w:r>
      <w:r w:rsidR="00353BEF">
        <w:rPr>
          <w:rFonts w:cs="Arial"/>
        </w:rPr>
        <w:t xml:space="preserve">Karmen </w:t>
      </w:r>
      <w:proofErr w:type="spellStart"/>
      <w:r w:rsidR="00353BEF">
        <w:rPr>
          <w:rFonts w:cs="Arial"/>
        </w:rPr>
        <w:t>Joller</w:t>
      </w:r>
      <w:proofErr w:type="spellEnd"/>
      <w:r>
        <w:rPr>
          <w:rFonts w:cs="Arial"/>
        </w:rPr>
        <w:fldChar w:fldCharType="end"/>
      </w:r>
    </w:p>
    <w:p w14:paraId="3A981880" w14:textId="2F5B4A90" w:rsidR="007C0F7C" w:rsidRDefault="00E57228" w:rsidP="00094BF0">
      <w:pPr>
        <w:rPr>
          <w:rFonts w:cs="Arial"/>
        </w:rPr>
      </w:pPr>
      <w:r>
        <w:rPr>
          <w:rFonts w:cs="Arial"/>
        </w:rPr>
        <w:fldChar w:fldCharType="begin"/>
      </w:r>
      <w:r w:rsidR="00353BEF">
        <w:rPr>
          <w:rFonts w:cs="Arial"/>
        </w:rPr>
        <w:instrText xml:space="preserve"> delta_signerJobTitle  \* MERGEFORMAT</w:instrText>
      </w:r>
      <w:r>
        <w:rPr>
          <w:rFonts w:cs="Arial"/>
        </w:rPr>
        <w:fldChar w:fldCharType="separate"/>
      </w:r>
      <w:r w:rsidR="00353BEF">
        <w:rPr>
          <w:rFonts w:cs="Arial"/>
        </w:rPr>
        <w:t>sotsiaalminister</w:t>
      </w:r>
      <w:r>
        <w:rPr>
          <w:rFonts w:cs="Arial"/>
        </w:rPr>
        <w:fldChar w:fldCharType="end"/>
      </w:r>
    </w:p>
    <w:p w14:paraId="3A981881" w14:textId="77777777" w:rsidR="007B2940" w:rsidRDefault="007B2940" w:rsidP="00B066FE">
      <w:pPr>
        <w:rPr>
          <w:rFonts w:cs="Arial"/>
        </w:rPr>
      </w:pPr>
    </w:p>
    <w:p w14:paraId="3A981882" w14:textId="21202CD0" w:rsidR="00E52553" w:rsidRDefault="00100F1A" w:rsidP="00B066FE">
      <w:r>
        <w:rPr>
          <w:rFonts w:cs="Arial"/>
        </w:rPr>
        <w:br/>
      </w:r>
      <w:r w:rsidR="007B2940">
        <w:rPr>
          <w:rFonts w:cs="Arial"/>
        </w:rPr>
        <w:t>(allkirjastatud digitaalselt)</w:t>
      </w:r>
    </w:p>
    <w:p w14:paraId="3A981883" w14:textId="77777777" w:rsidR="001D53AE" w:rsidRDefault="001D53AE" w:rsidP="00B066FE">
      <w:pPr>
        <w:sectPr w:rsidR="001D53AE" w:rsidSect="001D53AE">
          <w:type w:val="continuous"/>
          <w:pgSz w:w="11907" w:h="16839" w:code="9"/>
          <w:pgMar w:top="907" w:right="1021" w:bottom="1418" w:left="1814" w:header="709" w:footer="709" w:gutter="0"/>
          <w:cols w:space="708"/>
          <w:titlePg/>
          <w:docGrid w:linePitch="360"/>
        </w:sectPr>
      </w:pPr>
    </w:p>
    <w:p w14:paraId="3A981884" w14:textId="5B3810DC" w:rsidR="007B2940" w:rsidRDefault="008476E5" w:rsidP="007B2940">
      <w:pPr>
        <w:rPr>
          <w:rFonts w:cs="Arial"/>
        </w:rPr>
      </w:pPr>
      <w:r>
        <w:rPr>
          <w:rFonts w:cs="Arial"/>
        </w:rPr>
        <w:fldChar w:fldCharType="begin"/>
      </w:r>
      <w:r w:rsidR="00353BEF">
        <w:rPr>
          <w:rFonts w:cs="Arial"/>
        </w:rPr>
        <w:instrText xml:space="preserve"> delta_secondsignerName  \* MERGEFORMAT</w:instrText>
      </w:r>
      <w:r>
        <w:rPr>
          <w:rFonts w:cs="Arial"/>
        </w:rPr>
        <w:fldChar w:fldCharType="separate"/>
      </w:r>
      <w:proofErr w:type="spellStart"/>
      <w:r w:rsidR="00353BEF">
        <w:rPr>
          <w:rFonts w:cs="Arial"/>
        </w:rPr>
        <w:t>Maarjo</w:t>
      </w:r>
      <w:proofErr w:type="spellEnd"/>
      <w:r w:rsidR="00353BEF">
        <w:rPr>
          <w:rFonts w:cs="Arial"/>
        </w:rPr>
        <w:t xml:space="preserve"> Mändmaa</w:t>
      </w:r>
      <w:r>
        <w:rPr>
          <w:rFonts w:cs="Arial"/>
        </w:rPr>
        <w:fldChar w:fldCharType="end"/>
      </w:r>
    </w:p>
    <w:p w14:paraId="3A981885" w14:textId="13D7F090" w:rsidR="008476E5" w:rsidRDefault="008476E5" w:rsidP="007B2940">
      <w:pPr>
        <w:rPr>
          <w:rFonts w:cs="Arial"/>
        </w:rPr>
      </w:pPr>
      <w:r>
        <w:rPr>
          <w:rFonts w:cs="Arial"/>
        </w:rPr>
        <w:fldChar w:fldCharType="begin"/>
      </w:r>
      <w:r w:rsidR="00353BEF">
        <w:rPr>
          <w:rFonts w:cs="Arial"/>
        </w:rPr>
        <w:instrText xml:space="preserve"> delta_secondsignerJobTitle  \* MERGEFORMAT</w:instrText>
      </w:r>
      <w:r>
        <w:rPr>
          <w:rFonts w:cs="Arial"/>
        </w:rPr>
        <w:fldChar w:fldCharType="separate"/>
      </w:r>
      <w:r w:rsidR="00353BEF">
        <w:rPr>
          <w:rFonts w:cs="Arial"/>
        </w:rPr>
        <w:t>kantsler</w:t>
      </w:r>
      <w:r>
        <w:rPr>
          <w:rFonts w:cs="Arial"/>
        </w:rPr>
        <w:fldChar w:fldCharType="end"/>
      </w:r>
      <w:r w:rsidR="00353BEF">
        <w:rPr>
          <w:rFonts w:cs="Arial"/>
        </w:rPr>
        <w:t xml:space="preserve"> </w:t>
      </w:r>
    </w:p>
    <w:p w14:paraId="3A981886" w14:textId="77777777" w:rsidR="00E52553" w:rsidRDefault="00E52553" w:rsidP="00B066FE"/>
    <w:p w14:paraId="1880BE36" w14:textId="77777777" w:rsidR="00A66FA5" w:rsidRDefault="00A66FA5" w:rsidP="00B066FE"/>
    <w:p w14:paraId="169C2F0B" w14:textId="38F26578" w:rsidR="00A66FA5" w:rsidRPr="00805BB9" w:rsidRDefault="00A66FA5" w:rsidP="00B066FE">
      <w:r>
        <w:t>Lisa. Tervisekassa meditsiiniseadmete loetelu</w:t>
      </w:r>
    </w:p>
    <w:sectPr w:rsidR="00A66FA5"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8188B" w14:textId="77777777" w:rsidR="00B45145" w:rsidRDefault="00B45145" w:rsidP="00E52553">
      <w:r>
        <w:separator/>
      </w:r>
    </w:p>
  </w:endnote>
  <w:endnote w:type="continuationSeparator" w:id="0">
    <w:p w14:paraId="3A98188C"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142644"/>
      <w:docPartObj>
        <w:docPartGallery w:val="Page Numbers (Bottom of Page)"/>
        <w:docPartUnique/>
      </w:docPartObj>
    </w:sdtPr>
    <w:sdtEndPr/>
    <w:sdtContent>
      <w:p w14:paraId="4B9F525D" w14:textId="77777777" w:rsidR="00A54032" w:rsidRDefault="00A54032">
        <w:pPr>
          <w:pStyle w:val="Jalus"/>
          <w:jc w:val="center"/>
        </w:pPr>
        <w:r>
          <w:fldChar w:fldCharType="begin"/>
        </w:r>
        <w:r>
          <w:instrText>PAGE   \* MERGEFORMAT</w:instrText>
        </w:r>
        <w:r>
          <w:fldChar w:fldCharType="separate"/>
        </w:r>
        <w:r w:rsidR="00353BEF">
          <w:rPr>
            <w:noProof/>
          </w:rPr>
          <w:t>3</w:t>
        </w:r>
        <w:r>
          <w:fldChar w:fldCharType="end"/>
        </w:r>
      </w:p>
    </w:sdtContent>
  </w:sdt>
  <w:p w14:paraId="3A27A7B5" w14:textId="77777777" w:rsidR="00A54032" w:rsidRDefault="00A5403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81889" w14:textId="77777777" w:rsidR="00B45145" w:rsidRDefault="00B45145" w:rsidP="00E52553">
      <w:r>
        <w:separator/>
      </w:r>
    </w:p>
  </w:footnote>
  <w:footnote w:type="continuationSeparator" w:id="0">
    <w:p w14:paraId="3A98188A"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D287E" w14:textId="77777777" w:rsidR="00A54032" w:rsidRPr="00E52553" w:rsidRDefault="00A54032">
    <w:pPr>
      <w:pStyle w:val="Pis"/>
      <w:jc w:val="center"/>
      <w:rPr>
        <w:sz w:val="20"/>
        <w:szCs w:val="20"/>
      </w:rPr>
    </w:pPr>
  </w:p>
  <w:p w14:paraId="21175273" w14:textId="77777777" w:rsidR="00A54032" w:rsidRDefault="00A54032">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200328"/>
      <w:docPartObj>
        <w:docPartGallery w:val="Page Numbers (Top of Page)"/>
        <w:docPartUnique/>
      </w:docPartObj>
    </w:sdtPr>
    <w:sdtEndPr>
      <w:rPr>
        <w:sz w:val="20"/>
        <w:szCs w:val="20"/>
      </w:rPr>
    </w:sdtEndPr>
    <w:sdtContent>
      <w:p w14:paraId="3A98188D"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1D53AE">
          <w:rPr>
            <w:noProof/>
            <w:sz w:val="20"/>
            <w:szCs w:val="20"/>
          </w:rPr>
          <w:t>2</w:t>
        </w:r>
        <w:r w:rsidRPr="00E52553">
          <w:rPr>
            <w:sz w:val="20"/>
            <w:szCs w:val="20"/>
          </w:rPr>
          <w:fldChar w:fldCharType="end"/>
        </w:r>
      </w:p>
    </w:sdtContent>
  </w:sdt>
  <w:p w14:paraId="3A98188E"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70153"/>
    <w:rsid w:val="000725E2"/>
    <w:rsid w:val="0009319A"/>
    <w:rsid w:val="00094BF0"/>
    <w:rsid w:val="000C6B61"/>
    <w:rsid w:val="000D0B25"/>
    <w:rsid w:val="000D7732"/>
    <w:rsid w:val="000E125F"/>
    <w:rsid w:val="000E7648"/>
    <w:rsid w:val="00100F1A"/>
    <w:rsid w:val="00113F1F"/>
    <w:rsid w:val="00144C39"/>
    <w:rsid w:val="001604DB"/>
    <w:rsid w:val="001A6FC5"/>
    <w:rsid w:val="001D53AE"/>
    <w:rsid w:val="00202D28"/>
    <w:rsid w:val="002200FF"/>
    <w:rsid w:val="00222719"/>
    <w:rsid w:val="002534CF"/>
    <w:rsid w:val="00293ECF"/>
    <w:rsid w:val="002B1E87"/>
    <w:rsid w:val="00311234"/>
    <w:rsid w:val="00324B8E"/>
    <w:rsid w:val="00353BEF"/>
    <w:rsid w:val="003925B0"/>
    <w:rsid w:val="003B3CE2"/>
    <w:rsid w:val="00433613"/>
    <w:rsid w:val="00436532"/>
    <w:rsid w:val="00437173"/>
    <w:rsid w:val="0048061D"/>
    <w:rsid w:val="00492545"/>
    <w:rsid w:val="00567685"/>
    <w:rsid w:val="00587F56"/>
    <w:rsid w:val="005B6FF3"/>
    <w:rsid w:val="00604C04"/>
    <w:rsid w:val="00610A9F"/>
    <w:rsid w:val="006305F8"/>
    <w:rsid w:val="007135C5"/>
    <w:rsid w:val="007325C5"/>
    <w:rsid w:val="007352AA"/>
    <w:rsid w:val="007B2940"/>
    <w:rsid w:val="007C0F7C"/>
    <w:rsid w:val="00805127"/>
    <w:rsid w:val="008057C5"/>
    <w:rsid w:val="00805BB9"/>
    <w:rsid w:val="00812D03"/>
    <w:rsid w:val="008476E5"/>
    <w:rsid w:val="00890213"/>
    <w:rsid w:val="008B1F70"/>
    <w:rsid w:val="009835FB"/>
    <w:rsid w:val="00A07444"/>
    <w:rsid w:val="00A31525"/>
    <w:rsid w:val="00A42D4B"/>
    <w:rsid w:val="00A54032"/>
    <w:rsid w:val="00A66FA5"/>
    <w:rsid w:val="00A7562A"/>
    <w:rsid w:val="00A92036"/>
    <w:rsid w:val="00AA6C33"/>
    <w:rsid w:val="00B066FE"/>
    <w:rsid w:val="00B25BF0"/>
    <w:rsid w:val="00B45145"/>
    <w:rsid w:val="00B55121"/>
    <w:rsid w:val="00B81116"/>
    <w:rsid w:val="00BE049C"/>
    <w:rsid w:val="00C16907"/>
    <w:rsid w:val="00C21D9A"/>
    <w:rsid w:val="00C55F57"/>
    <w:rsid w:val="00C6556C"/>
    <w:rsid w:val="00CA5CEE"/>
    <w:rsid w:val="00CC5B01"/>
    <w:rsid w:val="00D321B8"/>
    <w:rsid w:val="00D35360"/>
    <w:rsid w:val="00D85F55"/>
    <w:rsid w:val="00DA3FAA"/>
    <w:rsid w:val="00DE7F95"/>
    <w:rsid w:val="00E52553"/>
    <w:rsid w:val="00E57228"/>
    <w:rsid w:val="00EA42AE"/>
    <w:rsid w:val="00EB023C"/>
    <w:rsid w:val="00EB07A4"/>
    <w:rsid w:val="00EC175B"/>
    <w:rsid w:val="00EF0205"/>
    <w:rsid w:val="00EF21BA"/>
    <w:rsid w:val="00FB7A35"/>
    <w:rsid w:val="00FE4683"/>
    <w:rsid w:val="00FE755F"/>
    <w:rsid w:val="00FF3806"/>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8185B"/>
  <w15:chartTrackingRefBased/>
  <w15:docId w15:val="{DF3A058D-9FA8-4C00-AF20-3148E4F40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1449</Words>
  <Characters>8406</Characters>
  <Application>Microsoft Office Word</Application>
  <DocSecurity>0</DocSecurity>
  <Lines>70</Lines>
  <Paragraphs>19</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 - RAM</cp:lastModifiedBy>
  <cp:revision>2</cp:revision>
  <cp:lastPrinted>2016-11-25T14:21:00Z</cp:lastPrinted>
  <dcterms:created xsi:type="dcterms:W3CDTF">2025-12-11T09:16:00Z</dcterms:created>
  <dcterms:modified xsi:type="dcterms:W3CDTF">2025-12-11T09:16:00Z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MSIP_Label_defa4170-0d19-0005-0004-bc88714345d2_Enabled">
    <vt:lpwstr>true</vt:lpwstr>
  </property>
  <property fmtid="{D5CDD505-2E9C-101B-9397-08002B2CF9AE}" pid="10" name="MSIP_Label_defa4170-0d19-0005-0004-bc88714345d2_SetDate">
    <vt:lpwstr>2025-12-02T09:20:16Z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3fa1d40f-6e94-4b21-af8a-252edbd0e139</vt:lpwstr>
  </property>
  <property fmtid="{D5CDD505-2E9C-101B-9397-08002B2CF9AE}" pid="15" name="MSIP_Label_defa4170-0d19-0005-0004-bc88714345d2_ContentBits">
    <vt:lpwstr>0</vt:lpwstr>
  </property>
  <property fmtid="{D5CDD505-2E9C-101B-9397-08002B2CF9AE}" pid="16" name="MSIP_Label_defa4170-0d19-0005-0004-bc88714345d2_Tag">
    <vt:lpwstr>10, 3, 0, 1</vt:lpwstr>
  </property>
</Properties>
</file>