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BE8DF7" w14:textId="5CCE4AEA" w:rsidR="00530A50" w:rsidRDefault="00530A50" w:rsidP="00530A50">
      <w:pPr>
        <w:jc w:val="right"/>
        <w:rPr>
          <w:i/>
          <w:iCs/>
        </w:rPr>
      </w:pPr>
      <w:r>
        <w:rPr>
          <w:i/>
          <w:iCs/>
        </w:rPr>
        <w:t>Tõlge inglise keelest</w:t>
      </w:r>
    </w:p>
    <w:p w14:paraId="711CDE87" w14:textId="730F1721" w:rsidR="00354FD5" w:rsidRPr="00530A50" w:rsidRDefault="00354FD5" w:rsidP="00530A50">
      <w:pPr>
        <w:jc w:val="right"/>
        <w:rPr>
          <w:i/>
          <w:iCs/>
        </w:rPr>
      </w:pPr>
      <w:r>
        <w:rPr>
          <w:i/>
          <w:iCs/>
        </w:rPr>
        <w:t>Tõlge on informatiivne</w:t>
      </w:r>
    </w:p>
    <w:tbl>
      <w:tblPr>
        <w:tblW w:w="5000" w:type="pct"/>
        <w:shd w:val="clear" w:color="auto" w:fill="FFFFFF"/>
        <w:tblCellMar>
          <w:left w:w="0" w:type="dxa"/>
          <w:right w:w="0" w:type="dxa"/>
        </w:tblCellMar>
        <w:tblLook w:val="04A0" w:firstRow="1" w:lastRow="0" w:firstColumn="1" w:lastColumn="0" w:noHBand="0" w:noVBand="1"/>
      </w:tblPr>
      <w:tblGrid>
        <w:gridCol w:w="9072"/>
      </w:tblGrid>
      <w:tr w:rsidR="00451A04" w:rsidRPr="00664E43" w14:paraId="74B8E281" w14:textId="77777777" w:rsidTr="00530A50">
        <w:tc>
          <w:tcPr>
            <w:tcW w:w="9072" w:type="dxa"/>
            <w:tcBorders>
              <w:top w:val="nil"/>
              <w:left w:val="nil"/>
              <w:bottom w:val="single" w:sz="8" w:space="0" w:color="auto"/>
              <w:right w:val="nil"/>
            </w:tcBorders>
            <w:shd w:val="clear" w:color="auto" w:fill="FFFFFF"/>
            <w:tcMar>
              <w:top w:w="227" w:type="dxa"/>
              <w:left w:w="0" w:type="dxa"/>
              <w:bottom w:w="227" w:type="dxa"/>
              <w:right w:w="0" w:type="dxa"/>
            </w:tcMar>
            <w:vAlign w:val="center"/>
            <w:hideMark/>
          </w:tcPr>
          <w:p w14:paraId="59358194" w14:textId="740C7984" w:rsidR="00451A04" w:rsidRPr="00664E43" w:rsidRDefault="00451A04" w:rsidP="00451A04">
            <w:r w:rsidRPr="00664E43">
              <w:t xml:space="preserve">Eelnõu: resolutsioon CM/Res(2025)…, millega kehtestatakse Ukraina vastu toime pandud agressioonikuriteo eritribunali </w:t>
            </w:r>
            <w:r w:rsidR="00DF5CA3">
              <w:t>haldus</w:t>
            </w:r>
            <w:r w:rsidRPr="00664E43">
              <w:t>komiteed käsitlev laiendatud osaline kokkulepe</w:t>
            </w:r>
          </w:p>
        </w:tc>
      </w:tr>
    </w:tbl>
    <w:p w14:paraId="73D66399" w14:textId="77777777" w:rsidR="00451A04" w:rsidRPr="00664E43" w:rsidRDefault="00451A04" w:rsidP="00451A04">
      <w:r w:rsidRPr="00664E43">
        <w:t>[…] ministrite komitee esindajad, samuti [...] esindajad,</w:t>
      </w:r>
    </w:p>
    <w:p w14:paraId="02B7E4CA" w14:textId="77777777" w:rsidR="00451A04" w:rsidRPr="00664E43" w:rsidRDefault="00451A04" w:rsidP="00451A04">
      <w:r w:rsidRPr="00664E43">
        <w:t>võttes arvesse Euroopa Nõukogu statuuti (ETS nr 1), mille preambulis rõhutatakse, et püüdlus õiglusel ja rahvusvahelisel koostööl põhineva rahu poole on eluliselt tähtis inimühiskonna ja tsivilisatsiooni säilitamiseks;</w:t>
      </w:r>
    </w:p>
    <w:p w14:paraId="63D0C4C4" w14:textId="77777777" w:rsidR="00451A04" w:rsidRPr="00664E43" w:rsidRDefault="00451A04" w:rsidP="00451A04">
      <w:r w:rsidRPr="00664E43">
        <w:t>meenutades Ühinenud Rahvaste Organisatsiooni põhikirja artikli 2 kohaseid kõigi riikide kohustusi, sealhulgas kohustust hoiduda oma rahvusvahelistes suhetes jõuga ähvardamisest või jõu tarvitamisest nii iga riigi territoriaalse puutumatuse, poliitilise sõltumatuse vastu kui ka mõnel muul viisil, mis ei ole kooskõlas ÜRO eesmärkidega, ning lahendada oma rahvusvahelised tülid rahulike vahenditega;</w:t>
      </w:r>
    </w:p>
    <w:p w14:paraId="5B197390" w14:textId="77777777" w:rsidR="00451A04" w:rsidRPr="00664E43" w:rsidRDefault="00451A04" w:rsidP="00451A04">
      <w:r w:rsidRPr="00664E43">
        <w:t>korrates oma vankumatut pühendumist Ukraina sõltumatusele, suveräänsusele ja territoriaalsele terviklikkusele tema rahvusvaheliselt tunnustatud piirides;</w:t>
      </w:r>
    </w:p>
    <w:p w14:paraId="7A733C6B" w14:textId="77777777" w:rsidR="00451A04" w:rsidRPr="00664E43" w:rsidRDefault="00451A04" w:rsidP="00451A04">
      <w:r w:rsidRPr="00664E43">
        <w:t>meenutades, et ÜRO Peaassamblee kutsus oma 27. märtsi 2014. aasta resolutsioonis A/RES/68/262 kõiki riike üles peatama tegevus ja hoiduma tegevusest, mille eesmärk on Ukraina riikliku ühtsuse ja territoriaalse terviklikkuse osaline või täielik kahjustamine, sealhulgas kõik katsed muuta Ukraina piire jõu või muude ebaseaduslike vahenditega ähvardamise või nende tarvitamise kaudu;</w:t>
      </w:r>
    </w:p>
    <w:p w14:paraId="31E1BE4C" w14:textId="77777777" w:rsidR="00451A04" w:rsidRPr="00664E43" w:rsidRDefault="00451A04" w:rsidP="00451A04">
      <w:r w:rsidRPr="00664E43">
        <w:t>meenutades, et ÜRO Peaassamblee kinnitas oma 19. detsembri 2016. aasta resolutsioonis A/RES/71/205 veel kord kõigi riikide kohustust hoiduda jõuga ähvardamisest või jõu tarvitamisest mis tahes riigi territoriaalse terviklikkuse või poliitilise sõltumatuse vastu ning tegutsemast mis tahes muul viisil, mis on vastuolus ÜRO eesmärkidega, ning nõudis, et  Venemaa Föderatsioon vabastaks viivitamata Ukraina kodanikud, kes on ebaseaduslikult kinni peetud ja kelle üle on õigust mõistetud õigusemõistmise elementaarseid standardeid arvesse võtmata;</w:t>
      </w:r>
    </w:p>
    <w:p w14:paraId="3C4E32F7" w14:textId="77777777" w:rsidR="00451A04" w:rsidRPr="00664E43" w:rsidRDefault="00451A04" w:rsidP="00451A04">
      <w:r w:rsidRPr="00664E43">
        <w:t xml:space="preserve">meenutades, et ÜRO Peaassamblee mõistis oma 17. detsembri 2018. aasta resolutsioonis A/RES/73/194 hukka Krimmi Autonoomse Vabariigi ja </w:t>
      </w:r>
      <w:proofErr w:type="spellStart"/>
      <w:r w:rsidRPr="00664E43">
        <w:t>Sevastopoli</w:t>
      </w:r>
      <w:proofErr w:type="spellEnd"/>
      <w:r w:rsidRPr="00664E43">
        <w:t xml:space="preserve"> linna ajutise okupeerimise ning meenutas, et see ajutine okupeerimine ning Venemaa Föderatsiooni poolt jõuga ähvardamine või jõu tarvitamine Ukraina territoriaalse terviklikkuse või poliitilise sõltumatuse vastu on vastuolus kohustustega, mis on võetud seoses Ukraina sõltumatuse ja suveräänsusega ning praeguste piiridega;</w:t>
      </w:r>
    </w:p>
    <w:p w14:paraId="1F0600E7" w14:textId="77777777" w:rsidR="00451A04" w:rsidRPr="00664E43" w:rsidRDefault="00451A04" w:rsidP="00451A04">
      <w:r w:rsidRPr="00664E43">
        <w:t>meenutades, et ÜRO Peaassamblee nõudis oma 9. detsembri 2021. aasta resolutsioonis A/RES/76/70, et Venemaa Föderatsioon viiks täielikult ja tingimusteta oma relvajõud Krimmist välja ning lõpetaks Ukraina territooriumi ajutise okupeerimise ilma viivituseta, ning rõhutas lisaks, et Venemaa vägede kohalolek Krimmis on vastuolus Ukraina riikliku suveräänsuse, poliitilise sõltumatuse ja territoriaalse terviklikkusega ning õõnestab naaberriikide ja Euroopa piirkonna julgeolekut ja stabiilsust;</w:t>
      </w:r>
    </w:p>
    <w:p w14:paraId="4E9A783D" w14:textId="77777777" w:rsidR="00451A04" w:rsidRPr="00664E43" w:rsidRDefault="00451A04" w:rsidP="00451A04">
      <w:r w:rsidRPr="00664E43">
        <w:t xml:space="preserve">meenutades, et ÜRO Peaassamblee tõdes oma 2. märtsi 2022. aasta resolutsioonis A/RES/ES-11/1, et Venemaa Föderatsiooni sõjaline tegevus Ukraina suveräänsel territooriumil on sellise ulatusega, mida rahvusvaheline kogukond ei ole Euroopas aastakümneid näinud, mõistis kõige karmimalt hukka Venemaa Föderatsiooni agressiooni Ukraina vastu, mis rikub Ühinenud Rahvaste Organisatsiooni põhikirja artikli 2 lõiget 4, nõudis, et Venemaa Föderatsioon lõpetaks </w:t>
      </w:r>
      <w:r w:rsidRPr="00664E43">
        <w:lastRenderedPageBreak/>
        <w:t>viivitamata jõu kasutamise Ukraina vastu, ning mõistis hukka Valgevene osalemise selles ebaseaduslikus jõu kasutamises Ukraina vastu;</w:t>
      </w:r>
    </w:p>
    <w:p w14:paraId="17038F69" w14:textId="77777777" w:rsidR="00451A04" w:rsidRPr="00664E43" w:rsidRDefault="00451A04" w:rsidP="00451A04">
      <w:r w:rsidRPr="00664E43">
        <w:t>meenutades, et ÜRO Peaassamblee rõhutas oma 23. veebruari 2023. aasta resolutsioonis A/RES/ES-11/6 vajadust tagada rahvusvahelise õiguse alusel vastutuse võtmine kõige raskemate kuritegude eest, mis on Ukraina territooriumil toime pandud, asjakohase, õiglase ja sõltumatu uurimise ja toimepanijate üle kohtu pidamise kaudu riigi või rahvusvahelisel tasandil ning tagada õigusemõistmine kõigi ohvrite jaoks ja ennetada tulevasi kuritegusid;</w:t>
      </w:r>
    </w:p>
    <w:p w14:paraId="7EA15B0D" w14:textId="77777777" w:rsidR="00451A04" w:rsidRPr="00664E43" w:rsidRDefault="00451A04" w:rsidP="00451A04">
      <w:r w:rsidRPr="00664E43">
        <w:t xml:space="preserve">meenutades, et ÜRO Peaassamblee mõistis oma 17. detsembri 2024. aasta resolutsioonis A/RES/79/184 hukka Venemaa Föderatsiooni agressioonisõja Ukraina vastu, millega rikutakse Ühinenud Rahvaste Organisatsiooni põhikirja artikli 2 lõiget 4, ning Krimmi kasutamise selleks ja Hersoni, </w:t>
      </w:r>
      <w:proofErr w:type="spellStart"/>
      <w:r w:rsidRPr="00664E43">
        <w:t>Zaporižžja</w:t>
      </w:r>
      <w:proofErr w:type="spellEnd"/>
      <w:r w:rsidRPr="00664E43">
        <w:t xml:space="preserve">, </w:t>
      </w:r>
      <w:proofErr w:type="spellStart"/>
      <w:r w:rsidRPr="00664E43">
        <w:t>Donestki</w:t>
      </w:r>
      <w:proofErr w:type="spellEnd"/>
      <w:r w:rsidRPr="00664E43">
        <w:t xml:space="preserve"> ja </w:t>
      </w:r>
      <w:proofErr w:type="spellStart"/>
      <w:r w:rsidRPr="00664E43">
        <w:t>Luhanski</w:t>
      </w:r>
      <w:proofErr w:type="spellEnd"/>
      <w:r w:rsidRPr="00664E43">
        <w:t xml:space="preserve"> oblastite ebaseadusliku annekteerimise katse toetamiseks;</w:t>
      </w:r>
    </w:p>
    <w:p w14:paraId="0F2EEC80" w14:textId="77777777" w:rsidR="00451A04" w:rsidRPr="00664E43" w:rsidRDefault="00451A04" w:rsidP="00451A04">
      <w:r w:rsidRPr="00664E43">
        <w:t>meenutades, et Euroopa Nõukogu Parlamentaarne Assamblee mõistis 15. märtsil 2022 arvamuse 300 (2022) kaudu kõige karmimalt hukka Venemaa Föderatsiooni agressiooni Ukraina vastu, märkides, et sõjategevuse eskaleerumine alates 24. veebruarist 2022 tähendab Venemaa Föderatsiooni agressioonisõja jätkumist Ukraina vastu alates 20. veebruarist 2014;</w:t>
      </w:r>
    </w:p>
    <w:p w14:paraId="163397D6" w14:textId="77777777" w:rsidR="00451A04" w:rsidRPr="00664E43" w:rsidRDefault="00451A04" w:rsidP="00451A04">
      <w:r w:rsidRPr="00664E43">
        <w:t>meenutades, et 16. märtsil 2022 otsustas ministrite komitee heita Venemaa Föderatsiooni Euroopa Nõukogust välja tingituna tema Ukraina-vastasest agressioonist, arvestades et see agressioon on Venemaa Föderatsiooni poolt Euroopa Nõukogu statuudi artikli 3 ja rahvusvahelise õiguse kohaste kohustuste raske rikkumine;</w:t>
      </w:r>
    </w:p>
    <w:p w14:paraId="54549C19" w14:textId="77777777" w:rsidR="00451A04" w:rsidRPr="00664E43" w:rsidRDefault="00451A04" w:rsidP="00451A04">
      <w:r w:rsidRPr="00664E43">
        <w:t>olles veendunud kindlas vajaduses tagada igakülgne vastutuse võtmine Venemaa Föderatsiooni Ukraina-vastase agressiooni kontekstis ning tunnistades Euroopa Nõukogu rolli sellele agressioonile jõuliselt reageerimisel, nagu on meenutatud Reykjaviki deklaratsioonis, mis võeti vastu Euroopa Nõukogu riigipeade ja valitsusjuhtide neljandal tippkohtumisel 16.–17. mail 2023, ja selle I lisas pealkirjaga „Deklaratsioon, millega toetatakse Venemaa Föderatsiooni Ukraina-vastase agressiooni tekitatud kahjude registrit käsitlevat laiendatud osalist kokkulepet“;</w:t>
      </w:r>
    </w:p>
    <w:p w14:paraId="4CF53D21" w14:textId="77777777" w:rsidR="00451A04" w:rsidRPr="00664E43" w:rsidRDefault="00451A04" w:rsidP="00451A04">
      <w:r w:rsidRPr="00664E43">
        <w:t>meenutades Rahvusvahelise Sõjatribunali 8. augusti 1945. aasta põhikirja, mille artikli 6 punktiga a kehtestati individuaalne kriminaalvastutus rahuvastaste kuritegude eest;</w:t>
      </w:r>
    </w:p>
    <w:p w14:paraId="7736F0DA" w14:textId="77777777" w:rsidR="00451A04" w:rsidRPr="00664E43" w:rsidRDefault="00451A04" w:rsidP="00451A04">
      <w:r w:rsidRPr="00664E43">
        <w:t>meenutades Rahvusvahelise Kriminaalkohtu Rooma statuuti ja tunnistades Rahvusvahelise Kriminaalkohtu jurisdiktsiooni Ukrainas valitseva olukorra suhtes, samas tunnistades ka, et olenemata sellest, et Ukraina ratifitseeris 25. oktoobril 2024 Rooma statuudi ja sai 1. jaanuaril 2025 selle osalisriigiks, takistab Rooma statuudis kehtestatud jurisdiktsioonirežiim agressioonikuriteo puhul Rahvusvahelisel Kriminaalkohtul kasutamast jurisdiktsiooni agressioonikuriteo suhtes selles konkreetses kontekstis;</w:t>
      </w:r>
    </w:p>
    <w:p w14:paraId="11C2E18B" w14:textId="77777777" w:rsidR="00451A04" w:rsidRPr="00664E43" w:rsidRDefault="00451A04" w:rsidP="00451A04">
      <w:r w:rsidRPr="00664E43">
        <w:t>tunnistades Ukraina vastu toime pandud agressioonikuriteo toimepanijate üle kohtu pidamise rahvusvahelise keskuse jõupingutusi Ukraina vastu toime pandud agressioonikuriteo riikliku uurimise koordineerimisel ja tugevdamisel, et tagada agressioonikuriteo asjakohane uurimine;</w:t>
      </w:r>
    </w:p>
    <w:p w14:paraId="7C535F32" w14:textId="77777777" w:rsidR="00451A04" w:rsidRPr="00664E43" w:rsidRDefault="00451A04" w:rsidP="00451A04">
      <w:r w:rsidRPr="00664E43">
        <w:t>meenutades, et ÜRO Peaassamblee tunnistas oma 16. aprilli 2025. aasta resolutsioonis A/RES/79/284 Euroopa Nõukogu panust Ukraina vastu toime pandud agressioonikuriteo eritribunali loomise tuumikrühma töös ning tema valmisolekut uurida võimalikke valikuid, et pakkuda sellise eritribunali asutamiseks ja, kui see on asjakohane, toimimiseks ekspertide ja tehnilist tuge;</w:t>
      </w:r>
    </w:p>
    <w:p w14:paraId="2577E8DE" w14:textId="77777777" w:rsidR="00451A04" w:rsidRPr="00664E43" w:rsidRDefault="00451A04" w:rsidP="00451A04">
      <w:r w:rsidRPr="00664E43">
        <w:t xml:space="preserve">võttes arvesse ministrite komitee põhikirjajärgset resolutsiooni </w:t>
      </w:r>
      <w:hyperlink r:id="rId7" w:anchor="%7B%22CoEReference%22:[%22Res(93)28%22],%22CoELanguageId%22:[%22eng%22],%22CoECollection%22:[%22COE_DOC%22],%22po%22:%7B%22ref%22:%22=%22%7D%7D" w:tgtFrame="_blank" w:tooltip="Põhikirjajärgne resolutsioon osaliste ja laiendatud kokkulepete kohta" w:history="1">
        <w:r w:rsidRPr="00664E43">
          <w:rPr>
            <w:rStyle w:val="Hyperlink"/>
          </w:rPr>
          <w:t>Res(93)28</w:t>
        </w:r>
      </w:hyperlink>
      <w:r w:rsidRPr="00664E43">
        <w:t xml:space="preserve"> osaliste ja laiendatud kokkulepete kohta;</w:t>
      </w:r>
    </w:p>
    <w:p w14:paraId="042D4F1D" w14:textId="77777777" w:rsidR="00451A04" w:rsidRPr="00664E43" w:rsidRDefault="00451A04" w:rsidP="00451A04">
      <w:r w:rsidRPr="00664E43">
        <w:lastRenderedPageBreak/>
        <w:t xml:space="preserve">võttes arvesse ministrite komitee resolutsiooni </w:t>
      </w:r>
      <w:hyperlink r:id="rId8" w:anchor="%7B%22CoEReference%22:[%22Res(96)36%22],%22CoELanguageId%22:[%22eng%22],%22CoECollection%22:[%22COE_DOC%22],%22po%22:%7B%22ref%22:%22=%22%7D%7D" w:tgtFrame="_blank" w:tooltip="millega kehtestatakse Euroopa Nõukogu osaliste ja laiendatud kokkulepete kriteeriumid;" w:history="1">
        <w:r w:rsidRPr="00664E43">
          <w:rPr>
            <w:rStyle w:val="Hyperlink"/>
          </w:rPr>
          <w:t>Res(96)36</w:t>
        </w:r>
      </w:hyperlink>
      <w:r w:rsidRPr="00664E43">
        <w:t xml:space="preserve">, millega kehtestatakse Euroopa Nõukogu osaliste ja laiendatud kokkulepete kriteeriumid ning mida on muudetud resolutsiooniga </w:t>
      </w:r>
      <w:hyperlink r:id="rId9" w:anchor="%7B%22CoEReference%22:[%22CM/Res(2010)2%22],%22CoELanguageId%22:[%22eng%22],%22CoECollection%22:[%22COE_DOC%22],%22po%22:%7B%22ref%22:%22=%22%7D%7D" w:tgtFrame="_blank" w:tooltip="Resolutsioon, millega muudetakse resolutsiooni (96)36, millega kehtestatakse Euroopa Nõukogu osaliste ja laiendatud kokkulepete kriteeriumid (mille võttis ministrite komitee vastu 5. mail 2010. aastal 1084. ministrite asetäitjate kohtumisel)" w:history="1">
        <w:r w:rsidRPr="00664E43">
          <w:rPr>
            <w:rStyle w:val="Hyperlink"/>
          </w:rPr>
          <w:t>CM/Res(2010)2</w:t>
        </w:r>
      </w:hyperlink>
      <w:r w:rsidRPr="00664E43">
        <w:t>;</w:t>
      </w:r>
    </w:p>
    <w:p w14:paraId="24964022" w14:textId="77777777" w:rsidR="00451A04" w:rsidRPr="00664E43" w:rsidRDefault="00451A04" w:rsidP="00451A04">
      <w:r w:rsidRPr="00664E43">
        <w:t>olles teadlik vajadusest luua foorum, kus ka muud isikud kui Euroopa Nõukogu liikmed saaksid osaleda Euroopa Nõukogu algatustes, et võidelda karistamatusega rahvusvaheliste kuritegude puhul;</w:t>
      </w:r>
    </w:p>
    <w:p w14:paraId="332724C8" w14:textId="509342CD" w:rsidR="00451A04" w:rsidRPr="00664E43" w:rsidRDefault="00451A04" w:rsidP="00451A04">
      <w:r w:rsidRPr="00664E43">
        <w:t xml:space="preserve">võttes arvesse […] otsust, millega ministrite komitee andis loa luua Ukraina vastu toime pandud agressioonikuriteo eritribunali </w:t>
      </w:r>
      <w:r w:rsidR="00DF5CA3">
        <w:t>haldus</w:t>
      </w:r>
      <w:r w:rsidRPr="00664E43">
        <w:t xml:space="preserve">komitee (edaspidi </w:t>
      </w:r>
      <w:r w:rsidR="007161D2">
        <w:rPr>
          <w:i/>
          <w:iCs/>
        </w:rPr>
        <w:t>haldus</w:t>
      </w:r>
      <w:r w:rsidRPr="00664E43">
        <w:rPr>
          <w:i/>
          <w:iCs/>
        </w:rPr>
        <w:t>komitee</w:t>
      </w:r>
      <w:r w:rsidRPr="00664E43">
        <w:t xml:space="preserve">) laiendatud osalise kokkuleppe vormis Euroopa Nõukogu raamistikus, ning […] otsust, millega ministrite komitee andis Euroopa Nõukogu peasekretärile (edaspidi </w:t>
      </w:r>
      <w:r w:rsidRPr="00664E43">
        <w:rPr>
          <w:i/>
          <w:iCs/>
        </w:rPr>
        <w:t>peasekretär</w:t>
      </w:r>
      <w:r w:rsidRPr="00664E43">
        <w:t xml:space="preserve">) loa allkirjastada Euroopa Nõukogu nimel Euroopa Nõukogu ja Ukraina vaheline Ukraina vastu toime pandud agressioonikuriteo eritribunali asutamise kokkulepe (edaspidi </w:t>
      </w:r>
      <w:r w:rsidRPr="00664E43">
        <w:rPr>
          <w:i/>
          <w:iCs/>
        </w:rPr>
        <w:t>kokkulepe</w:t>
      </w:r>
      <w:r w:rsidRPr="00664E43">
        <w:t>),</w:t>
      </w:r>
    </w:p>
    <w:p w14:paraId="7FBACA9E" w14:textId="1ACB50F0" w:rsidR="00451A04" w:rsidRPr="00664E43" w:rsidRDefault="00451A04" w:rsidP="00451A04">
      <w:r w:rsidRPr="00664E43">
        <w:t xml:space="preserve">otsustavad kehtestada laiendatud osalise kokkuleppe, mis käsitleb Ukraina vastu toime pandud agressioonikuriteo eritribunali </w:t>
      </w:r>
      <w:r w:rsidR="00DF5CA3">
        <w:t>haldus</w:t>
      </w:r>
      <w:r w:rsidRPr="00664E43">
        <w:t xml:space="preserve">komiteed, mida reguleerib Ukraina vastu toime pandud agressioonikuriteo eritribunali </w:t>
      </w:r>
      <w:r w:rsidR="00DF5CA3">
        <w:t>haldus</w:t>
      </w:r>
      <w:r w:rsidRPr="00664E43">
        <w:t xml:space="preserve">komitee statuut (edaspidi </w:t>
      </w:r>
      <w:r w:rsidRPr="00664E43">
        <w:rPr>
          <w:i/>
          <w:iCs/>
        </w:rPr>
        <w:t>statuut</w:t>
      </w:r>
      <w:r w:rsidRPr="00664E43">
        <w:t>), mis on sellele lisatud;</w:t>
      </w:r>
    </w:p>
    <w:p w14:paraId="3BFC17EB" w14:textId="77777777" w:rsidR="00451A04" w:rsidRPr="00664E43" w:rsidRDefault="00451A04" w:rsidP="00451A04">
      <w:r w:rsidRPr="00664E43">
        <w:t>kutsuvad kõiki Euroopa Nõukogu liikmesriike ja vaatlejariike, samuti muid riike ja rahvusvahelisi organisatsioone saama käesoleva laiendatud osalise kokkuleppe osalisteks vastavalt käesolevale statuudile;</w:t>
      </w:r>
    </w:p>
    <w:p w14:paraId="512E6A69" w14:textId="04ECC143" w:rsidR="00451A04" w:rsidRPr="00664E43" w:rsidRDefault="00451A04" w:rsidP="00451A04">
      <w:r w:rsidRPr="00664E43">
        <w:t xml:space="preserve">kutsuvad kõiki Euroopa Nõukogu liikmesriike ja vaatlejariike, Euroopa Liitu, Ühinenud Rahvaste Organisatsiooni ning muid riike ja rahvusvahelisi organisatsioone tegema koostööd </w:t>
      </w:r>
      <w:r w:rsidR="00DF5CA3">
        <w:t>haldus</w:t>
      </w:r>
      <w:r w:rsidRPr="00664E43">
        <w:t>komiteega ja eritribunaliga, et hõlbustada nende tööd ja nende mandaadi täitmist.</w:t>
      </w:r>
    </w:p>
    <w:p w14:paraId="7CB52864" w14:textId="77777777" w:rsidR="00451A04" w:rsidRPr="00664E43" w:rsidRDefault="00451A04" w:rsidP="00451A04">
      <w:r w:rsidRPr="00664E43">
        <w:rPr>
          <w:i/>
          <w:iCs/>
        </w:rPr>
        <w:t>Resolutsiooni CM/Res(2025)… lisa</w:t>
      </w:r>
    </w:p>
    <w:p w14:paraId="4CDB73E5" w14:textId="09BED20D" w:rsidR="00451A04" w:rsidRPr="00664E43" w:rsidRDefault="00451A04" w:rsidP="00451A04">
      <w:r w:rsidRPr="00664E43">
        <w:rPr>
          <w:b/>
          <w:bCs/>
        </w:rPr>
        <w:t xml:space="preserve">Ukraina vastu toime pandud agressioonikuriteo eritribunali </w:t>
      </w:r>
      <w:r w:rsidR="00DF5CA3">
        <w:rPr>
          <w:b/>
          <w:bCs/>
        </w:rPr>
        <w:t>haldus</w:t>
      </w:r>
      <w:r w:rsidRPr="00664E43">
        <w:rPr>
          <w:b/>
          <w:bCs/>
        </w:rPr>
        <w:t>komitee statuut</w:t>
      </w:r>
    </w:p>
    <w:p w14:paraId="19FA03DE" w14:textId="788D04BA" w:rsidR="00451A04" w:rsidRPr="00664E43" w:rsidRDefault="00451A04" w:rsidP="00451A04">
      <w:r w:rsidRPr="00664E43">
        <w:rPr>
          <w:b/>
          <w:bCs/>
        </w:rPr>
        <w:t xml:space="preserve">Artikkel 1. </w:t>
      </w:r>
      <w:r w:rsidR="00DF5CA3">
        <w:rPr>
          <w:b/>
          <w:bCs/>
        </w:rPr>
        <w:t>Haldus</w:t>
      </w:r>
      <w:r w:rsidRPr="00664E43">
        <w:rPr>
          <w:b/>
          <w:bCs/>
        </w:rPr>
        <w:t>komitee eesmärk</w:t>
      </w:r>
    </w:p>
    <w:p w14:paraId="27730FCD" w14:textId="54FB42C3" w:rsidR="00451A04" w:rsidRPr="00664E43" w:rsidRDefault="00451A04" w:rsidP="00451A04">
      <w:r w:rsidRPr="00664E43">
        <w:t xml:space="preserve">1.         </w:t>
      </w:r>
      <w:r w:rsidR="00DF5CA3">
        <w:t>Haldus</w:t>
      </w:r>
      <w:r w:rsidRPr="00664E43">
        <w:t xml:space="preserve">komitee luuakse </w:t>
      </w:r>
      <w:proofErr w:type="spellStart"/>
      <w:r w:rsidRPr="00664E43">
        <w:t>valitsustevahelise</w:t>
      </w:r>
      <w:proofErr w:type="spellEnd"/>
      <w:r w:rsidRPr="00664E43">
        <w:t xml:space="preserve"> koostöö platvormina, mis tegutseb Euroopa Nõukogu institutsioonilises raamistikus.</w:t>
      </w:r>
    </w:p>
    <w:p w14:paraId="0431EF23" w14:textId="463D21F5" w:rsidR="00451A04" w:rsidRPr="00664E43" w:rsidRDefault="00451A04" w:rsidP="00451A04">
      <w:r w:rsidRPr="00664E43">
        <w:t xml:space="preserve">2.         Ukraina vastu toime pandud agressioonikuriteo eritribunali </w:t>
      </w:r>
      <w:r w:rsidR="00DF5CA3">
        <w:t>haldus</w:t>
      </w:r>
      <w:r w:rsidRPr="00664E43">
        <w:t xml:space="preserve">komiteed käsitleva laiendatud osalise kokkuleppe eesmärk on rahastada Ukraina vastu toime pandud agressioonikuriteo eritribunali (edaspidi </w:t>
      </w:r>
      <w:r w:rsidRPr="00664E43">
        <w:rPr>
          <w:i/>
          <w:iCs/>
        </w:rPr>
        <w:t>eritribunal</w:t>
      </w:r>
      <w:r w:rsidRPr="00664E43">
        <w:t>) ning abistada selle tegevuse muudes haldus- ja juhtimisaspektides, et võimaldada eritribunalil täita tema mandaati, nagu on sätestatud eritribunali statuudis.</w:t>
      </w:r>
    </w:p>
    <w:p w14:paraId="0AAFC605" w14:textId="324C9C28" w:rsidR="00451A04" w:rsidRPr="00664E43" w:rsidRDefault="00451A04" w:rsidP="00451A04">
      <w:r w:rsidRPr="00664E43">
        <w:rPr>
          <w:b/>
          <w:bCs/>
        </w:rPr>
        <w:t xml:space="preserve">Artikkel 2. </w:t>
      </w:r>
      <w:r w:rsidR="00DF5CA3">
        <w:rPr>
          <w:b/>
          <w:bCs/>
        </w:rPr>
        <w:t>Haldus</w:t>
      </w:r>
      <w:r w:rsidRPr="00664E43">
        <w:rPr>
          <w:b/>
          <w:bCs/>
        </w:rPr>
        <w:t>komitee ülesanded</w:t>
      </w:r>
    </w:p>
    <w:p w14:paraId="144C590E" w14:textId="400F7071" w:rsidR="00451A04" w:rsidRPr="00664E43" w:rsidRDefault="00DF5CA3" w:rsidP="00451A04">
      <w:r>
        <w:t>Haldus</w:t>
      </w:r>
      <w:r w:rsidR="00451A04" w:rsidRPr="00664E43">
        <w:t>komitee peab:</w:t>
      </w:r>
    </w:p>
    <w:p w14:paraId="50011A25" w14:textId="2B596496" w:rsidR="00451A04" w:rsidRPr="00664E43" w:rsidRDefault="00451A04" w:rsidP="00451A04">
      <w:r w:rsidRPr="00664E43">
        <w:t xml:space="preserve">a.     tagama vajaliku rahastuse eritribunalile ja </w:t>
      </w:r>
      <w:r w:rsidR="00DF5CA3">
        <w:t>haldus</w:t>
      </w:r>
      <w:r w:rsidRPr="00664E43">
        <w:t>komiteele, sealhulgas selle sekretariaadile;</w:t>
      </w:r>
    </w:p>
    <w:p w14:paraId="5554CFC9" w14:textId="1EBDC8DD" w:rsidR="00451A04" w:rsidRPr="00664E43" w:rsidRDefault="00451A04" w:rsidP="00451A04">
      <w:proofErr w:type="spellStart"/>
      <w:r w:rsidRPr="00AC0BC0">
        <w:t>b.</w:t>
      </w:r>
      <w:proofErr w:type="spellEnd"/>
      <w:r w:rsidRPr="00AC0BC0">
        <w:t>    kiitma heaks eritribunali kulude aastaeelarve, mille on koostanud peasekretär, konsulteerides eritribunali kohtusekretäriga;</w:t>
      </w:r>
    </w:p>
    <w:p w14:paraId="31B443C3" w14:textId="396B251A" w:rsidR="00451A04" w:rsidRPr="00664E43" w:rsidRDefault="00451A04" w:rsidP="00451A04">
      <w:proofErr w:type="spellStart"/>
      <w:r w:rsidRPr="00664E43">
        <w:t>c.</w:t>
      </w:r>
      <w:proofErr w:type="spellEnd"/>
      <w:r w:rsidRPr="00664E43">
        <w:t>     võtma vastu eritribunali tegevusaruande, mille on koostanud eritribunali esimees;</w:t>
      </w:r>
    </w:p>
    <w:p w14:paraId="6B985F56" w14:textId="77777777" w:rsidR="00451A04" w:rsidRPr="00664E43" w:rsidRDefault="00451A04" w:rsidP="00451A04">
      <w:proofErr w:type="spellStart"/>
      <w:r w:rsidRPr="00664E43">
        <w:t>d.</w:t>
      </w:r>
      <w:proofErr w:type="spellEnd"/>
      <w:r w:rsidRPr="00664E43">
        <w:t>    andma kohtuvälist nõu ja poliitilisi suuniseid kõigis eritribunali tegevuse haldusaspektides, sealhulgas tõhususe küsimustes;</w:t>
      </w:r>
    </w:p>
    <w:p w14:paraId="4F8E5BBB" w14:textId="1F74978D" w:rsidR="00451A04" w:rsidRPr="00664E43" w:rsidRDefault="00451A04" w:rsidP="00451A04">
      <w:proofErr w:type="spellStart"/>
      <w:r w:rsidRPr="00664E43">
        <w:t>e.</w:t>
      </w:r>
      <w:proofErr w:type="spellEnd"/>
      <w:r w:rsidRPr="00664E43">
        <w:t xml:space="preserve">     soovitama liikmetele ja assotsieerunud liikmetele meetmeid, kuidas edendada eritribunali ja </w:t>
      </w:r>
      <w:r w:rsidR="00DF5CA3">
        <w:t>haldus</w:t>
      </w:r>
      <w:r w:rsidRPr="00664E43">
        <w:t>komitee eesmärke;</w:t>
      </w:r>
    </w:p>
    <w:p w14:paraId="2361E795" w14:textId="56E6B385" w:rsidR="00451A04" w:rsidRPr="00664E43" w:rsidRDefault="00451A04" w:rsidP="00451A04">
      <w:proofErr w:type="spellStart"/>
      <w:r w:rsidRPr="00664E43">
        <w:lastRenderedPageBreak/>
        <w:t>f.</w:t>
      </w:r>
      <w:proofErr w:type="spellEnd"/>
      <w:r w:rsidRPr="00664E43">
        <w:t xml:space="preserve">     koostama tegevuskorra, mis reguleerib </w:t>
      </w:r>
      <w:r w:rsidR="00DF5CA3">
        <w:t>haldus</w:t>
      </w:r>
      <w:r w:rsidRPr="00664E43">
        <w:t>komitee tööd, ning muud korraldused, mida on vaja tema tegevuse elluviimiseks, ning vaatama läbi menetluse ja tõendite esitamise korra, mille eritribunali kohtunikud on vastu võtnud, ning selle muudatused;</w:t>
      </w:r>
    </w:p>
    <w:p w14:paraId="7DFE0003" w14:textId="77777777" w:rsidR="00451A04" w:rsidRPr="00664E43" w:rsidRDefault="00451A04" w:rsidP="00451A04">
      <w:r w:rsidRPr="00664E43">
        <w:t>g.    arutama ja võtma vastu strateegiaid, kui see on asjakohane, et veelgi edendada piirkonnaülest toetust eritribunalile;</w:t>
      </w:r>
    </w:p>
    <w:p w14:paraId="14537ED6" w14:textId="77777777" w:rsidR="00451A04" w:rsidRPr="00664E43" w:rsidRDefault="00451A04" w:rsidP="00451A04">
      <w:r w:rsidRPr="00664E43">
        <w:t xml:space="preserve">h.     nimetama liikmeid nõuanderühma ja valima kohtunikud, eritribunali prokuröri (edaspidi </w:t>
      </w:r>
      <w:r w:rsidRPr="00664E43">
        <w:rPr>
          <w:i/>
          <w:iCs/>
        </w:rPr>
        <w:t>prokurör</w:t>
      </w:r>
      <w:r w:rsidRPr="00664E43">
        <w:t>) ja aseprokuröri(d) vastavalt eritribunali statuudis sätestatud menetlusele;</w:t>
      </w:r>
    </w:p>
    <w:p w14:paraId="62358213" w14:textId="77777777" w:rsidR="00451A04" w:rsidRPr="00664E43" w:rsidRDefault="00451A04" w:rsidP="00451A04">
      <w:r w:rsidRPr="00664E43">
        <w:t>i.      tagama liikmete ja assotsieerunud liikmete tõhusa koostöö kõigis asjaomastes sektorites, tuginedes koormuse jagamise süsteemile;</w:t>
      </w:r>
    </w:p>
    <w:p w14:paraId="39CC04CB" w14:textId="77777777" w:rsidR="00451A04" w:rsidRPr="00664E43" w:rsidRDefault="00451A04" w:rsidP="00451A04">
      <w:r w:rsidRPr="00664E43">
        <w:t>j.      võtma vastu eeskirjad, mis reguleerivad üleminekut järeltegevuse mehhanismile, eelkõige mis puudutab tunnistajate kaitset, karistuste täideviimise jälgimist, ennetähtaegse, ajutise ja lõpliku vabastamise taotluste läbivaatamist, eritribunali tõendite ja toimikute säilitamist ning nende järeltegevusega seotud ülesannete rahastamist;</w:t>
      </w:r>
    </w:p>
    <w:p w14:paraId="62E0BD2E" w14:textId="77777777" w:rsidR="00451A04" w:rsidRPr="00664E43" w:rsidRDefault="00451A04" w:rsidP="00451A04">
      <w:r w:rsidRPr="00664E43">
        <w:t>k.     arutama Euroopa Nõukogu eritribunali teatavate kohtuväliste järeltegevusega seotud funktsioonide koordineeritud ülemineku korda, eelkõige seoses toimikute ja arhiivide haldamisega;</w:t>
      </w:r>
    </w:p>
    <w:p w14:paraId="62C67AF4" w14:textId="77777777" w:rsidR="00451A04" w:rsidRPr="00664E43" w:rsidRDefault="00451A04" w:rsidP="00451A04">
      <w:r w:rsidRPr="00664E43">
        <w:t>l.      arutama mehhanisme, et abistada liikmeid ja assotsieerunud liikmeid kuludega, mis on seotud karistuste täitmisele pööramisega, süüdimõistetud isikute vabastamisega ning tunnistajate kaitsega pärast laiendatud osalise kokkuleppe lõppemist, sealhulgas võimaliku usaldusfondi asutamise kaudu; ning</w:t>
      </w:r>
    </w:p>
    <w:p w14:paraId="7367DC65" w14:textId="77777777" w:rsidR="00451A04" w:rsidRPr="00664E43" w:rsidRDefault="00451A04" w:rsidP="00451A04">
      <w:r w:rsidRPr="00664E43">
        <w:t>m.   täitma muid ülesandeid, mis on vajalikud tema mandaadi elluviimiseks.</w:t>
      </w:r>
    </w:p>
    <w:p w14:paraId="727F1543" w14:textId="77777777" w:rsidR="00451A04" w:rsidRPr="00664E43" w:rsidRDefault="00451A04" w:rsidP="00451A04">
      <w:r w:rsidRPr="00664E43">
        <w:rPr>
          <w:b/>
          <w:bCs/>
        </w:rPr>
        <w:t>Artikkel 3. Osalemine</w:t>
      </w:r>
    </w:p>
    <w:p w14:paraId="105F8DE0" w14:textId="6B81D11A" w:rsidR="00451A04" w:rsidRPr="00664E43" w:rsidRDefault="00451A04" w:rsidP="00451A04">
      <w:r w:rsidRPr="00664E43">
        <w:t xml:space="preserve">1.         Euroopa Nõukogu iga liikmesriik või vaatlejariik ja Euroopa Liit, iga muu riik, mis on hääletanud Ühinenud Rahvaste Organisatsiooni Peaassamblees 23. novembri 2023. aasta resolutsiooni A/RES/ES-11/6 poolt, või mis tahes riik ja rahvusvaheline organisatsioon, mis on osalenud Ukraina vastu toime pandud agressioonikuriteo eritribunali asutamise tuumikrühmas, võib saada </w:t>
      </w:r>
      <w:r w:rsidR="00DF5CA3">
        <w:t>haldus</w:t>
      </w:r>
      <w:r w:rsidRPr="00664E43">
        <w:t>komitee liikmeks või assotsieerunud liikmeks, teatades sellest peasekretärile.</w:t>
      </w:r>
    </w:p>
    <w:p w14:paraId="3CD27875" w14:textId="1EAF7C71" w:rsidR="00451A04" w:rsidRPr="00664E43" w:rsidRDefault="00451A04" w:rsidP="00451A04">
      <w:r w:rsidRPr="00664E43">
        <w:t xml:space="preserve">2.         </w:t>
      </w:r>
      <w:r w:rsidR="00DF5CA3">
        <w:t>Haldus</w:t>
      </w:r>
      <w:r w:rsidRPr="00664E43">
        <w:t xml:space="preserve">komitee võib lubada igal riigil või rahvusvahelisel organisatsioonil, kes on seda taotlenud, ühineda </w:t>
      </w:r>
      <w:r w:rsidR="00DF5CA3">
        <w:t>haldus</w:t>
      </w:r>
      <w:r w:rsidRPr="00664E43">
        <w:t>komiteega kui liige või assotsieerunud liige.</w:t>
      </w:r>
    </w:p>
    <w:p w14:paraId="7163EF2D" w14:textId="77777777" w:rsidR="00451A04" w:rsidRPr="00664E43" w:rsidRDefault="00451A04" w:rsidP="00451A04">
      <w:r w:rsidRPr="00664E43">
        <w:t>3.         Assotsieerunud liikmed võivad igal ajal saada liikmeks, teatades sellest peasekretärile.</w:t>
      </w:r>
    </w:p>
    <w:p w14:paraId="21DB86EA" w14:textId="77777777" w:rsidR="00451A04" w:rsidRPr="00664E43" w:rsidRDefault="00451A04" w:rsidP="00451A04">
      <w:r w:rsidRPr="00664E43">
        <w:rPr>
          <w:b/>
          <w:bCs/>
        </w:rPr>
        <w:t>Artikkel 4. Koosseis</w:t>
      </w:r>
    </w:p>
    <w:p w14:paraId="7DD37255" w14:textId="4D45ACBA" w:rsidR="00451A04" w:rsidRPr="00664E43" w:rsidRDefault="00451A04" w:rsidP="00451A04">
      <w:r w:rsidRPr="00664E43">
        <w:t xml:space="preserve">1.         Iga liige nimetab ja iga assotsieerunud liige võib nimetada </w:t>
      </w:r>
      <w:r w:rsidR="00DF5CA3">
        <w:t>haldus</w:t>
      </w:r>
      <w:r w:rsidRPr="00664E43">
        <w:t>komiteesse delegatsiooni, mis koosneb kuni kahest esindajast. Üks esindaja nimetatakse delegatsiooni juhiks.</w:t>
      </w:r>
    </w:p>
    <w:p w14:paraId="33D610FA" w14:textId="050045D3" w:rsidR="00451A04" w:rsidRPr="00664E43" w:rsidRDefault="00451A04" w:rsidP="00451A04">
      <w:r w:rsidRPr="00664E43">
        <w:t xml:space="preserve">2.         </w:t>
      </w:r>
      <w:r w:rsidR="00DF5CA3">
        <w:t>Haldus</w:t>
      </w:r>
      <w:r w:rsidRPr="00664E43">
        <w:t>komitee valib oma liikmete seast esimehe ja kaks aseesimeest mittepikendatavaks kolmeaastaseks perioodiks.</w:t>
      </w:r>
    </w:p>
    <w:p w14:paraId="36562874" w14:textId="77777777" w:rsidR="00451A04" w:rsidRPr="00664E43" w:rsidRDefault="00451A04" w:rsidP="00451A04">
      <w:r w:rsidRPr="00664E43">
        <w:rPr>
          <w:b/>
          <w:bCs/>
        </w:rPr>
        <w:t>Artikkel 5. Koosolekud</w:t>
      </w:r>
    </w:p>
    <w:p w14:paraId="225AB79E" w14:textId="5CBBEB0E" w:rsidR="00451A04" w:rsidRPr="00664E43" w:rsidRDefault="00451A04" w:rsidP="00451A04">
      <w:r w:rsidRPr="00664E43">
        <w:t xml:space="preserve">1.         </w:t>
      </w:r>
      <w:r w:rsidR="00DF5CA3">
        <w:t>Haldus</w:t>
      </w:r>
      <w:r w:rsidRPr="00664E43">
        <w:t xml:space="preserve">komitee kohtub nii sageli kui vaja, kuid vähemalt kord aastas. </w:t>
      </w:r>
      <w:r w:rsidR="00DF5CA3">
        <w:t>Haldus</w:t>
      </w:r>
      <w:r w:rsidRPr="00664E43">
        <w:t xml:space="preserve">komitee koosolekutega seotud reisi- ja majutuskulud kannab iga liige ja assotsieerunud liige. </w:t>
      </w:r>
      <w:r w:rsidR="00DF5CA3">
        <w:t>Haldus</w:t>
      </w:r>
      <w:r w:rsidRPr="00664E43">
        <w:t>komitee võib kasutada oma otsustusõigust kirjaliku menetluse kaudu ja elektroonilisel teel.</w:t>
      </w:r>
    </w:p>
    <w:p w14:paraId="0D42FB33" w14:textId="0B9FBFBA" w:rsidR="00451A04" w:rsidRPr="00664E43" w:rsidRDefault="00451A04" w:rsidP="00451A04">
      <w:r w:rsidRPr="00664E43">
        <w:t xml:space="preserve">2.         </w:t>
      </w:r>
      <w:r w:rsidR="00DF5CA3">
        <w:t>Haldus</w:t>
      </w:r>
      <w:r w:rsidRPr="00664E43">
        <w:t xml:space="preserve">komitee esimese koosoleku kutsub kokku peasekretär. Kõik edasised koosolekud ja nende asukohad määratakse kindlaks </w:t>
      </w:r>
      <w:r w:rsidR="00DF5CA3">
        <w:t>haldus</w:t>
      </w:r>
      <w:r w:rsidRPr="00664E43">
        <w:t>komitee otsusega.</w:t>
      </w:r>
    </w:p>
    <w:p w14:paraId="5DAB7BFD" w14:textId="0A8AF154" w:rsidR="00451A04" w:rsidRPr="00664E43" w:rsidRDefault="00451A04" w:rsidP="00451A04">
      <w:r w:rsidRPr="00664E43">
        <w:lastRenderedPageBreak/>
        <w:t xml:space="preserve">3.         </w:t>
      </w:r>
      <w:r w:rsidR="00DF5CA3">
        <w:t>Haldus</w:t>
      </w:r>
      <w:r w:rsidRPr="00664E43">
        <w:t xml:space="preserve">komitee võtab oma otsused vastu antud häälte </w:t>
      </w:r>
      <w:proofErr w:type="spellStart"/>
      <w:r w:rsidRPr="00664E43">
        <w:t>kahekolmandikulise</w:t>
      </w:r>
      <w:proofErr w:type="spellEnd"/>
      <w:r w:rsidRPr="00664E43">
        <w:t xml:space="preserve"> enamusega, nii et igal liikmel on üks hääl. Menetlusküsimused lahendatakse antud häälte enamusega.</w:t>
      </w:r>
    </w:p>
    <w:p w14:paraId="16C0760D" w14:textId="6036892F" w:rsidR="00451A04" w:rsidRPr="00664E43" w:rsidRDefault="00451A04" w:rsidP="00451A04">
      <w:r w:rsidRPr="00664E43">
        <w:t xml:space="preserve">4.         Ilma et see piiraks käesoleva artikli lõike 5 kohaldamist, võivad assotsieerunud liikmed osaleda </w:t>
      </w:r>
      <w:r w:rsidR="00DF5CA3">
        <w:t>haldus</w:t>
      </w:r>
      <w:r w:rsidRPr="00664E43">
        <w:t xml:space="preserve">komitee koosolekutel ilma hääleõiguseta. Assotsieerunud liikmed võivad teha </w:t>
      </w:r>
      <w:r w:rsidR="00DF5CA3">
        <w:t>haldus</w:t>
      </w:r>
      <w:r w:rsidRPr="00664E43">
        <w:t>komitee koosolekutel suulisi või kirjalikke avaldusi.</w:t>
      </w:r>
    </w:p>
    <w:p w14:paraId="707D7BBB" w14:textId="6AB1023F" w:rsidR="00451A04" w:rsidRPr="00664E43" w:rsidRDefault="00451A04" w:rsidP="00451A04">
      <w:r w:rsidRPr="00664E43">
        <w:t xml:space="preserve">5.         Assotsieerunud liikmed, kes on teinud vabatahtlikke sissemakseid </w:t>
      </w:r>
      <w:r w:rsidR="00DF5CA3">
        <w:t>haldus</w:t>
      </w:r>
      <w:r w:rsidRPr="00664E43">
        <w:t xml:space="preserve">komiteele summas, mis võrdub </w:t>
      </w:r>
      <w:r w:rsidR="00DF5CA3">
        <w:t>haldus</w:t>
      </w:r>
      <w:r w:rsidRPr="00664E43">
        <w:t>komitee kindlaks määratud summaga vastavalt käesoleva statuudi artiklile 8, omavad täielikke liikme õigusi selle majandusaasta jooksul, mille eest nad tegid sellise sissemakse.</w:t>
      </w:r>
    </w:p>
    <w:p w14:paraId="190098D1" w14:textId="356F85B0" w:rsidR="00451A04" w:rsidRPr="00664E43" w:rsidRDefault="00451A04" w:rsidP="00451A04">
      <w:r w:rsidRPr="00664E43">
        <w:t xml:space="preserve">6.         Peasekretär võib osaleda või olla esindatud </w:t>
      </w:r>
      <w:r w:rsidR="00DF5CA3">
        <w:t>haldus</w:t>
      </w:r>
      <w:r w:rsidRPr="00664E43">
        <w:t xml:space="preserve">komitee koosolekutel ilma hääleõiguseta. </w:t>
      </w:r>
      <w:r w:rsidR="00DF5CA3">
        <w:t>Haldus</w:t>
      </w:r>
      <w:r w:rsidRPr="00664E43">
        <w:t>komitee võib kutsuda Euroopa Nõukogu asjaomaste organite või rahvusvaheliste organisatsioonide esindajaid osalema oma koosolekutel või oma koosolekute osal ilma hääleõigusteta, vastavalt koosoleku päevakorrapunktidele. Ta võib kutsuda ka eksperte osalema koosoleku konkreetsete päevakorrapunktide puhul ilma hääleõiguseta.</w:t>
      </w:r>
    </w:p>
    <w:p w14:paraId="46F34259" w14:textId="77777777" w:rsidR="00451A04" w:rsidRPr="00664E43" w:rsidRDefault="00451A04" w:rsidP="00451A04">
      <w:r w:rsidRPr="00664E43">
        <w:rPr>
          <w:b/>
          <w:bCs/>
        </w:rPr>
        <w:t>Artikkel 6. Sekretariaat</w:t>
      </w:r>
    </w:p>
    <w:p w14:paraId="7D45218D" w14:textId="1268823D" w:rsidR="00451A04" w:rsidRPr="00AC0BC0" w:rsidRDefault="00451A04" w:rsidP="00451A04">
      <w:r w:rsidRPr="00664E43">
        <w:t xml:space="preserve">1.         </w:t>
      </w:r>
      <w:r w:rsidR="00DF5CA3">
        <w:t>Haldus</w:t>
      </w:r>
      <w:r w:rsidRPr="00664E43">
        <w:t xml:space="preserve">komiteed abistab peasekretäri loodud sekretariaat. Sekretariaati juhib peasekretäri nimetatud </w:t>
      </w:r>
      <w:r w:rsidRPr="00AC0BC0">
        <w:t>täitevsekretär.</w:t>
      </w:r>
    </w:p>
    <w:p w14:paraId="60251A87" w14:textId="4A7C4696" w:rsidR="00451A04" w:rsidRPr="00664E43" w:rsidRDefault="00451A04" w:rsidP="00451A04">
      <w:r w:rsidRPr="00AC0BC0">
        <w:t xml:space="preserve">2.         </w:t>
      </w:r>
      <w:proofErr w:type="spellStart"/>
      <w:r w:rsidRPr="00AC0BC0">
        <w:t>Täitevsekretäril</w:t>
      </w:r>
      <w:r w:rsidRPr="00664E43">
        <w:t>on</w:t>
      </w:r>
      <w:proofErr w:type="spellEnd"/>
      <w:r w:rsidRPr="00664E43">
        <w:t xml:space="preserve"> õigus sõlmida lepinguid ja kokkuleppeid </w:t>
      </w:r>
      <w:r w:rsidR="00DF5CA3">
        <w:t>haldus</w:t>
      </w:r>
      <w:r w:rsidRPr="00664E43">
        <w:t>komitee nimel tema heakskiidul.</w:t>
      </w:r>
    </w:p>
    <w:p w14:paraId="0A779413" w14:textId="4AC6C7E7" w:rsidR="00451A04" w:rsidRPr="00664E43" w:rsidRDefault="00451A04" w:rsidP="00451A04">
      <w:r w:rsidRPr="00664E43">
        <w:t>3.         Täitevsekretär täidab järgmisi ülesandeid:</w:t>
      </w:r>
    </w:p>
    <w:p w14:paraId="28784704" w14:textId="46EFB412" w:rsidR="00451A04" w:rsidRPr="00664E43" w:rsidRDefault="00451A04" w:rsidP="00451A04">
      <w:r w:rsidRPr="00664E43">
        <w:t>a.     </w:t>
      </w:r>
      <w:r w:rsidR="00DF5CA3">
        <w:t>haldus</w:t>
      </w:r>
      <w:r w:rsidRPr="00664E43">
        <w:t>komitee koosolekute kokkukutsumine, konsulteerides esimehega;</w:t>
      </w:r>
    </w:p>
    <w:p w14:paraId="29491B14" w14:textId="74DBF77E" w:rsidR="00451A04" w:rsidRPr="00664E43" w:rsidRDefault="00451A04" w:rsidP="00451A04">
      <w:proofErr w:type="spellStart"/>
      <w:r w:rsidRPr="00664E43">
        <w:t>b.</w:t>
      </w:r>
      <w:proofErr w:type="spellEnd"/>
      <w:r w:rsidRPr="00664E43">
        <w:t xml:space="preserve">     </w:t>
      </w:r>
      <w:r w:rsidR="00DF5CA3">
        <w:t>haldus</w:t>
      </w:r>
      <w:r w:rsidRPr="00664E43">
        <w:t>komitee sekretariaadi töö igapäevane järelevalve ja haldamine;</w:t>
      </w:r>
    </w:p>
    <w:p w14:paraId="74A091B3" w14:textId="35B29EA0" w:rsidR="00451A04" w:rsidRPr="00664E43" w:rsidRDefault="00451A04" w:rsidP="00451A04">
      <w:proofErr w:type="spellStart"/>
      <w:r w:rsidRPr="00664E43">
        <w:t>c.</w:t>
      </w:r>
      <w:proofErr w:type="spellEnd"/>
      <w:r w:rsidRPr="00664E43">
        <w:t xml:space="preserve">      koos sekretariaadiga </w:t>
      </w:r>
      <w:r w:rsidR="00DF5CA3">
        <w:t>haldus</w:t>
      </w:r>
      <w:r w:rsidRPr="00664E43">
        <w:t>komitee töö jaoks haldusliku ja korraldusliku toe tagamine, sealhulgas regulaarne suhtlus ja tema koosolekute ettevalmistamine;</w:t>
      </w:r>
    </w:p>
    <w:p w14:paraId="4F026C26" w14:textId="207C31B9" w:rsidR="00451A04" w:rsidRPr="00664E43" w:rsidRDefault="00451A04" w:rsidP="00451A04">
      <w:proofErr w:type="spellStart"/>
      <w:r w:rsidRPr="00664E43">
        <w:t>d.</w:t>
      </w:r>
      <w:proofErr w:type="spellEnd"/>
      <w:r w:rsidRPr="00664E43">
        <w:t xml:space="preserve">     suhtlus eritribunali esimehe ja kohtusekretäriga </w:t>
      </w:r>
      <w:r w:rsidR="00DF5CA3">
        <w:t>haldus</w:t>
      </w:r>
      <w:r w:rsidRPr="00664E43">
        <w:t>komitee tööga seotud küsimustes;</w:t>
      </w:r>
    </w:p>
    <w:p w14:paraId="2AFBCBD7" w14:textId="578C58A1" w:rsidR="00451A04" w:rsidRPr="00664E43" w:rsidRDefault="00451A04" w:rsidP="00451A04">
      <w:proofErr w:type="spellStart"/>
      <w:r w:rsidRPr="00664E43">
        <w:t>e.</w:t>
      </w:r>
      <w:proofErr w:type="spellEnd"/>
      <w:r w:rsidRPr="00664E43">
        <w:t xml:space="preserve">     eritribunali esimehe ja kohtusekretäri dokumentide edastamine </w:t>
      </w:r>
      <w:r w:rsidR="00DF5CA3">
        <w:t>haldus</w:t>
      </w:r>
      <w:r w:rsidRPr="00664E43">
        <w:t>komiteele;</w:t>
      </w:r>
    </w:p>
    <w:p w14:paraId="18C7CF60" w14:textId="75ADDF1E" w:rsidR="00451A04" w:rsidRPr="00664E43" w:rsidRDefault="00451A04" w:rsidP="00451A04">
      <w:proofErr w:type="spellStart"/>
      <w:r w:rsidRPr="00664E43">
        <w:t>f.</w:t>
      </w:r>
      <w:proofErr w:type="spellEnd"/>
      <w:r w:rsidRPr="00664E43">
        <w:t xml:space="preserve">      suhtlus asjaomaste riiklike ja rahvusvaheliste organi</w:t>
      </w:r>
      <w:r w:rsidR="002B6F77">
        <w:t>satsioonid</w:t>
      </w:r>
      <w:r w:rsidRPr="00664E43">
        <w:t xml:space="preserve">ega </w:t>
      </w:r>
      <w:r w:rsidR="00DF5CA3">
        <w:t>haldus</w:t>
      </w:r>
      <w:r w:rsidRPr="00664E43">
        <w:t>komitee tööga seotud mitmesugustel teemadel;</w:t>
      </w:r>
    </w:p>
    <w:p w14:paraId="446B484D" w14:textId="2A5577C3" w:rsidR="00451A04" w:rsidRPr="00664E43" w:rsidRDefault="00451A04" w:rsidP="00451A04">
      <w:proofErr w:type="spellStart"/>
      <w:r w:rsidRPr="00664E43">
        <w:t>e.</w:t>
      </w:r>
      <w:proofErr w:type="spellEnd"/>
      <w:r w:rsidRPr="00664E43">
        <w:t xml:space="preserve">     suhtlus asukohariigi valitsusega ja Ukraina valitsusega eri haldusküsimustes, mis on seotud </w:t>
      </w:r>
      <w:r w:rsidR="00DF5CA3">
        <w:t>haldus</w:t>
      </w:r>
      <w:r w:rsidRPr="00664E43">
        <w:t>komitee tööga; ning</w:t>
      </w:r>
    </w:p>
    <w:p w14:paraId="62C1952D" w14:textId="77777777" w:rsidR="00451A04" w:rsidRPr="00664E43" w:rsidRDefault="00451A04" w:rsidP="00451A04">
      <w:r w:rsidRPr="00664E43">
        <w:t>h.     muud talle käesoleva statuudiga määratud ülesanded.</w:t>
      </w:r>
    </w:p>
    <w:p w14:paraId="3784CC12" w14:textId="120E4405" w:rsidR="00451A04" w:rsidRPr="00664E43" w:rsidRDefault="00451A04" w:rsidP="00451A04">
      <w:r w:rsidRPr="00664E43">
        <w:t xml:space="preserve">4.         Täitevsekretär täidab ka muid </w:t>
      </w:r>
      <w:r w:rsidR="00DF5CA3">
        <w:t>haldus</w:t>
      </w:r>
      <w:r w:rsidRPr="00664E43">
        <w:t>komitee antud ülesandeid.</w:t>
      </w:r>
    </w:p>
    <w:p w14:paraId="7C959784" w14:textId="77777777" w:rsidR="00451A04" w:rsidRPr="00664E43" w:rsidRDefault="00451A04" w:rsidP="00451A04">
      <w:r w:rsidRPr="00664E43">
        <w:t>5.         Ilma et see piiraks käesoleva artikli lõike 6 kohaldamist, on sekretariaadil täielik halduslik autonoomia Euroopa Nõukogust ja tema organitest.</w:t>
      </w:r>
    </w:p>
    <w:p w14:paraId="11E2A003" w14:textId="77777777" w:rsidR="00451A04" w:rsidRPr="00664E43" w:rsidRDefault="00451A04" w:rsidP="00451A04">
      <w:r w:rsidRPr="00664E43">
        <w:t>6.         Sekretariaadi suhtes kohaldatakse Euroopa Nõukogu personalieeskirju vastavalt käesoleva statuudi artiklile 11.</w:t>
      </w:r>
    </w:p>
    <w:p w14:paraId="3E214CB6" w14:textId="77777777" w:rsidR="00451A04" w:rsidRPr="00664E43" w:rsidRDefault="00451A04" w:rsidP="00451A04">
      <w:r w:rsidRPr="00664E43">
        <w:rPr>
          <w:b/>
          <w:bCs/>
        </w:rPr>
        <w:t>Artikkel 7. Sõltumatus</w:t>
      </w:r>
    </w:p>
    <w:p w14:paraId="1E88AFBF" w14:textId="77777777" w:rsidR="00451A04" w:rsidRPr="00664E43" w:rsidRDefault="00451A04" w:rsidP="00451A04">
      <w:r w:rsidRPr="00664E43">
        <w:t>1.         Nagu on ette nähtud eritribunali statuudiga, on eritribunali kohtunikud, prokurör, aseprokurör(id) ja töötajad oma ülesannete täitmisel sõltumatud.</w:t>
      </w:r>
    </w:p>
    <w:p w14:paraId="7CCAECC1" w14:textId="64C0C61C" w:rsidR="00451A04" w:rsidRPr="00664E43" w:rsidRDefault="00451A04" w:rsidP="00451A04">
      <w:r w:rsidRPr="00664E43">
        <w:t xml:space="preserve">2.         Kõik </w:t>
      </w:r>
      <w:r w:rsidR="00DF5CA3">
        <w:t>haldus</w:t>
      </w:r>
      <w:r w:rsidRPr="00664E43">
        <w:t xml:space="preserve">komitee liikmed ja assotsieerunud liikmed, samuti Euroopa Nõukogu ja tema organid, kohustuvad austama eritribunali, sealhulgas selle töötajate, kohtunike, prokuröri, </w:t>
      </w:r>
      <w:r w:rsidRPr="00664E43">
        <w:lastRenderedPageBreak/>
        <w:t>aseprokuröri(de) ja ametite sõltumatust ning mitte püüdma neid mõjutada nende kohustuste täitmisel. Iga liige ja assotsieerunud liige kohustub austama sekretariaadi täie</w:t>
      </w:r>
      <w:r w:rsidR="00C85925">
        <w:t>likku</w:t>
      </w:r>
      <w:r w:rsidRPr="00664E43">
        <w:t xml:space="preserve"> sõltumatu</w:t>
      </w:r>
      <w:r w:rsidR="00C85925">
        <w:t>s</w:t>
      </w:r>
      <w:r w:rsidRPr="00664E43">
        <w:t>t ning mitte mõjuta</w:t>
      </w:r>
      <w:r w:rsidR="00C85925">
        <w:t>ma</w:t>
      </w:r>
      <w:r w:rsidRPr="00664E43">
        <w:t xml:space="preserve"> teda </w:t>
      </w:r>
      <w:r w:rsidR="00C85925">
        <w:t>oma</w:t>
      </w:r>
      <w:r w:rsidRPr="00664E43">
        <w:t xml:space="preserve"> kohustuste täitmisel.</w:t>
      </w:r>
    </w:p>
    <w:p w14:paraId="0FE99510" w14:textId="77777777" w:rsidR="00451A04" w:rsidRPr="00664E43" w:rsidRDefault="00451A04" w:rsidP="00451A04">
      <w:r w:rsidRPr="00664E43">
        <w:t>3.         Vastavalt Euroopa Nõukogu personalieeskirjadele ei või sekretariaadi liikmed oma ülesannete täitmisel küsida ega saada juhiseid üheltki valitsuselt, ametiasutuselt, valitsusväliselt organisatsioonilt ega muult kolmandalt isikult.</w:t>
      </w:r>
    </w:p>
    <w:p w14:paraId="0F083E7D" w14:textId="77777777" w:rsidR="00451A04" w:rsidRPr="00664E43" w:rsidRDefault="00451A04" w:rsidP="00451A04">
      <w:r w:rsidRPr="00664E43">
        <w:rPr>
          <w:b/>
          <w:bCs/>
        </w:rPr>
        <w:t>Artikkel 8. Rahastamine ja eelarve</w:t>
      </w:r>
    </w:p>
    <w:p w14:paraId="4A51F350" w14:textId="527D1CDA" w:rsidR="00451A04" w:rsidRPr="00664E43" w:rsidRDefault="00451A04" w:rsidP="00451A04">
      <w:r w:rsidRPr="00664E43">
        <w:t xml:space="preserve">1.         Laiendatud osalisel kokkuleppel on oma eelarve vastavalt põhikirjajärgsele resolutsioonile </w:t>
      </w:r>
      <w:hyperlink r:id="rId10" w:anchor="%7B%22CoEReference%22:[%22Res(93)28%22],%22CoELanguageId%22:[%22eng%22],%22CoECollection%22:[%22COE_DOC%22],%22po%22:%7B%22ref%22:%22=%22%7D%7D" w:tgtFrame="_blank" w:tooltip="Põhikirjajärgne resolutsioon osaliste ja laiendatud kokkulepete kohta" w:history="1">
        <w:r w:rsidRPr="00664E43">
          <w:rPr>
            <w:rStyle w:val="Hyperlink"/>
          </w:rPr>
          <w:t>Res(93)28</w:t>
        </w:r>
      </w:hyperlink>
      <w:r w:rsidRPr="00664E43">
        <w:t xml:space="preserve"> ning see koosneb eritribunali kulude ja </w:t>
      </w:r>
      <w:r w:rsidR="00DF5CA3">
        <w:t>haldus</w:t>
      </w:r>
      <w:r w:rsidRPr="00664E43">
        <w:t>komitee kulude eelarvest. Eelarvet rahastatakse liikmete iga-aastaste sissemaksete ja assotsieerunud liikmete vabatahtlike sissemaksete kaudu.</w:t>
      </w:r>
    </w:p>
    <w:p w14:paraId="44F01CDA" w14:textId="24C8BAA1" w:rsidR="00451A04" w:rsidRPr="00664E43" w:rsidRDefault="00451A04" w:rsidP="00451A04">
      <w:r w:rsidRPr="00664E43">
        <w:t xml:space="preserve">2.         </w:t>
      </w:r>
      <w:bookmarkStart w:id="0" w:name="_Hlk209521359"/>
      <w:r w:rsidR="00DF5CA3">
        <w:t>Haldus</w:t>
      </w:r>
      <w:r w:rsidRPr="00664E43">
        <w:t xml:space="preserve">komitee määrab kindlaks nii liikmete iga-aastaste sissemaksete kui ka assotsieerunud liikmete soovituslike vabatahtlike sissemaksete summad. </w:t>
      </w:r>
      <w:bookmarkEnd w:id="0"/>
      <w:r w:rsidRPr="00664E43">
        <w:t xml:space="preserve">Need sissemaksed peaksid reeglina põhinema Euroopa Nõukogu </w:t>
      </w:r>
      <w:proofErr w:type="spellStart"/>
      <w:r w:rsidRPr="00664E43">
        <w:t>üldeelarvesse</w:t>
      </w:r>
      <w:proofErr w:type="spellEnd"/>
      <w:r w:rsidRPr="00664E43">
        <w:t xml:space="preserve"> tehtavate sissemaksete iga-aastase ulatuse kindlaksmääramise kriteeriumidel ning neid võib kohandada vastavalt põhimõtetele, millel see ulatus põhineb, võttes samuti arvesse muid sissemakseid, mis on tehtud vastavalt käesoleva artikli lõikele 3.</w:t>
      </w:r>
    </w:p>
    <w:p w14:paraId="4A8FBA66" w14:textId="0350B5E6" w:rsidR="00451A04" w:rsidRPr="00664E43" w:rsidRDefault="00451A04" w:rsidP="00451A04">
      <w:r w:rsidRPr="00664E43">
        <w:t xml:space="preserve">3.         </w:t>
      </w:r>
      <w:r w:rsidR="00DF5CA3">
        <w:t>Haldus</w:t>
      </w:r>
      <w:r w:rsidRPr="00664E43">
        <w:t xml:space="preserve">komitee võib saada ja kasutada täiendavaid vabatahtlikke toetusi ja muid sissemakseid, mis on seotud tema tööga, sealhulgas mitterahalisi sissemakseid ja lähetatud töötajaid. Need sissemaksed peavad olema kooskõlas </w:t>
      </w:r>
      <w:r w:rsidR="00DF5CA3">
        <w:t>haldus</w:t>
      </w:r>
      <w:r w:rsidRPr="00664E43">
        <w:t>komitee eesmärkide ja ülesannetega.</w:t>
      </w:r>
    </w:p>
    <w:p w14:paraId="06EEC7C8" w14:textId="37359936" w:rsidR="00451A04" w:rsidRPr="00664E43" w:rsidRDefault="00451A04" w:rsidP="00451A04">
      <w:r w:rsidRPr="00664E43">
        <w:t xml:space="preserve">4.         </w:t>
      </w:r>
      <w:r w:rsidR="00DF5CA3">
        <w:t>Haldus</w:t>
      </w:r>
      <w:r w:rsidRPr="00664E43">
        <w:t xml:space="preserve">komitee peab igal aastal kiitma heaks eritribunali kulude eelarve, mille kohta on teinud ettepaneku peasekretär, konsulteerides eritribunali kohtusekretäriga. </w:t>
      </w:r>
      <w:r w:rsidR="00DF5CA3">
        <w:t>Haldus</w:t>
      </w:r>
      <w:r w:rsidRPr="00664E43">
        <w:t>komitee võtab vastu ka oma kulude ja oma sekretariaadi kulude eelarve, mille on koostanud peasekretär.</w:t>
      </w:r>
    </w:p>
    <w:p w14:paraId="1172E647" w14:textId="1C766B9D" w:rsidR="00451A04" w:rsidRPr="00664E43" w:rsidRDefault="00451A04" w:rsidP="00451A04">
      <w:r w:rsidRPr="00664E43">
        <w:t xml:space="preserve">5.         </w:t>
      </w:r>
      <w:r w:rsidR="00DF5CA3">
        <w:t>Haldus</w:t>
      </w:r>
      <w:r w:rsidRPr="00664E43">
        <w:t xml:space="preserve">komitee kiidab igal aastal heaks laiendatud osalise kokkuleppe majandusaasta aruande, mille koostab peasekretariaat vastavalt Euroopa Nõukogu finantseeskirjadele (edaspidi </w:t>
      </w:r>
      <w:r w:rsidRPr="00664E43">
        <w:rPr>
          <w:i/>
          <w:iCs/>
        </w:rPr>
        <w:t>finantseeskirjad</w:t>
      </w:r>
      <w:r w:rsidRPr="00664E43">
        <w:t xml:space="preserve">) ning mis esitatakse </w:t>
      </w:r>
      <w:r w:rsidR="00DF5CA3">
        <w:t>haldus</w:t>
      </w:r>
      <w:r w:rsidRPr="00664E43">
        <w:t xml:space="preserve">komiteele koos </w:t>
      </w:r>
      <w:proofErr w:type="spellStart"/>
      <w:r w:rsidRPr="00664E43">
        <w:t>välisaudiitori</w:t>
      </w:r>
      <w:proofErr w:type="spellEnd"/>
      <w:r w:rsidRPr="00664E43">
        <w:t xml:space="preserve"> aruandega, nagu finantseeskirjades sätestatud.</w:t>
      </w:r>
    </w:p>
    <w:p w14:paraId="7FF8E21E" w14:textId="77777777" w:rsidR="00451A04" w:rsidRPr="00664E43" w:rsidRDefault="00451A04" w:rsidP="00451A04">
      <w:r w:rsidRPr="00664E43">
        <w:t xml:space="preserve">6.         Selleks et vabastada peasekretär vastutusest asjaomase majandusaasta eest, esitab täitevsekretär ministrite komiteele laiendatud osalise kokkuleppe majandusaasta aruande koos oma kinnituse või võimalike märkustega ning </w:t>
      </w:r>
      <w:proofErr w:type="spellStart"/>
      <w:r w:rsidRPr="00664E43">
        <w:t>välisaudiitori</w:t>
      </w:r>
      <w:proofErr w:type="spellEnd"/>
      <w:r w:rsidRPr="00664E43">
        <w:t xml:space="preserve"> koostatud aruande, nagu finantseeskirjades sätestatud.</w:t>
      </w:r>
    </w:p>
    <w:p w14:paraId="0A079F2C" w14:textId="77777777" w:rsidR="00451A04" w:rsidRPr="00664E43" w:rsidRDefault="00451A04" w:rsidP="00451A04">
      <w:r w:rsidRPr="00664E43">
        <w:t>7.         Finantseeskirju kohaldatakse laiendatud osalise kokkuleppe eelarve vastuvõtmise ja haldamise suhtes, võttes arvesse käesoleva statuudi sätteid.</w:t>
      </w:r>
    </w:p>
    <w:p w14:paraId="617221A4" w14:textId="060B29B3" w:rsidR="00451A04" w:rsidRPr="00664E43" w:rsidRDefault="00451A04" w:rsidP="00451A04">
      <w:r w:rsidRPr="00664E43">
        <w:t xml:space="preserve">8.         </w:t>
      </w:r>
      <w:r w:rsidR="00DF5CA3">
        <w:t>Haldus</w:t>
      </w:r>
      <w:r w:rsidRPr="00664E43">
        <w:t xml:space="preserve">komitee rahaliste vahendite suhtes kohaldatakse Euroopa Nõukogu privileegide ja immuniteetide </w:t>
      </w:r>
      <w:proofErr w:type="spellStart"/>
      <w:r w:rsidRPr="00664E43">
        <w:t>üldkokkulepet</w:t>
      </w:r>
      <w:proofErr w:type="spellEnd"/>
      <w:r w:rsidRPr="00664E43">
        <w:t xml:space="preserve"> (ETS nr 2).</w:t>
      </w:r>
    </w:p>
    <w:p w14:paraId="7281756E" w14:textId="77777777" w:rsidR="00451A04" w:rsidRPr="00664E43" w:rsidRDefault="00451A04" w:rsidP="00451A04">
      <w:r w:rsidRPr="00664E43">
        <w:rPr>
          <w:b/>
          <w:bCs/>
        </w:rPr>
        <w:t>Artikkel 9. Koostöö</w:t>
      </w:r>
    </w:p>
    <w:p w14:paraId="6B82E988" w14:textId="754B6C53" w:rsidR="00451A04" w:rsidRPr="00664E43" w:rsidRDefault="00451A04" w:rsidP="00451A04">
      <w:r w:rsidRPr="00664E43">
        <w:t xml:space="preserve">1.         </w:t>
      </w:r>
      <w:r w:rsidR="00DF5CA3">
        <w:t>Haldus</w:t>
      </w:r>
      <w:r w:rsidRPr="00664E43">
        <w:t>komitee püüab teha koostööd asjaomaste riiklike ja rahvusvaheliste partneritega oma mandaadi täitmise eesmärgil.</w:t>
      </w:r>
    </w:p>
    <w:p w14:paraId="1845E7E4" w14:textId="13AFBF09" w:rsidR="00451A04" w:rsidRPr="00664E43" w:rsidRDefault="00451A04" w:rsidP="00451A04">
      <w:r w:rsidRPr="00664E43">
        <w:t xml:space="preserve">2.         Iga liige või assotsieerunud liige püüab teha oma riigi õigusnormide piires koostööd </w:t>
      </w:r>
      <w:r w:rsidR="00DF5CA3">
        <w:t>haldus</w:t>
      </w:r>
      <w:r w:rsidRPr="00664E43">
        <w:t xml:space="preserve">komiteega, Ukrainaga ja asukohariigiga, et täita </w:t>
      </w:r>
      <w:r w:rsidR="00DF5CA3">
        <w:t>haldus</w:t>
      </w:r>
      <w:r w:rsidRPr="00664E43">
        <w:t>komitee mandaati.</w:t>
      </w:r>
    </w:p>
    <w:p w14:paraId="4CDDD571" w14:textId="4980679B" w:rsidR="00451A04" w:rsidRPr="00664E43" w:rsidRDefault="00451A04" w:rsidP="00451A04">
      <w:r w:rsidRPr="00664E43">
        <w:t xml:space="preserve">3.         </w:t>
      </w:r>
      <w:r w:rsidR="00DF5CA3">
        <w:t>Haldus</w:t>
      </w:r>
      <w:r w:rsidRPr="00664E43">
        <w:t xml:space="preserve">komitee püüab tagada koormuse õiglase jaotuse kõigis asjaomastes eritribunaliga tehtava koostöö vormides ning arutab eelistatavaid koostööviise eritribunali ja </w:t>
      </w:r>
      <w:r w:rsidR="00DF5CA3">
        <w:t>haldus</w:t>
      </w:r>
      <w:r w:rsidRPr="00664E43">
        <w:t xml:space="preserve">komitee liikmete ja assotsieerunud liikmete vahel. </w:t>
      </w:r>
      <w:r w:rsidR="00DF5CA3">
        <w:t>Haldus</w:t>
      </w:r>
      <w:r w:rsidRPr="00664E43">
        <w:t xml:space="preserve">komitee liikmed ja assotsieerunud liikmed </w:t>
      </w:r>
      <w:r w:rsidRPr="00664E43">
        <w:lastRenderedPageBreak/>
        <w:t>püüavad sõlmida vajalikud lepingud ja kokkulepped, et hõlbustada eritribunali tõhusat toimimist, sealhulgas sellistes küsimustes nagu isikute tuvastamine ja asukoht; dokumentide kättetoimetamine; isikute vahistamine, üleandmine ja kinnipidamine; tunnistajate kaitse ja ümberpaigutamine; ning karistuste täitmisele pööramine.</w:t>
      </w:r>
    </w:p>
    <w:p w14:paraId="7552320E" w14:textId="5E1370E9" w:rsidR="00451A04" w:rsidRPr="00664E43" w:rsidRDefault="00451A04" w:rsidP="00451A04">
      <w:r w:rsidRPr="00664E43">
        <w:t xml:space="preserve">4.         </w:t>
      </w:r>
      <w:r w:rsidR="00DF5CA3">
        <w:t>Haldus</w:t>
      </w:r>
      <w:r w:rsidRPr="00664E43">
        <w:t>komitee liikmed ja assotsieerunud liikmed märgivad, et asukohariigi lepingu jõustumine, mis lubab eritribunali jurisdiktsiooni asukohariigi territooriumil ellu viia, sõltub [x] koostöölepingu sõlmimisest ja minimaalsest arvust kohustustest, mis on seotud koostööga igas järgmises valdkonnas:</w:t>
      </w:r>
    </w:p>
    <w:p w14:paraId="6D573367" w14:textId="77777777" w:rsidR="00451A04" w:rsidRPr="00664E43" w:rsidRDefault="00451A04" w:rsidP="00451A04">
      <w:r w:rsidRPr="00664E43">
        <w:t>a.     tunnistajate kaitse ja ümberpaigutamine;</w:t>
      </w:r>
    </w:p>
    <w:p w14:paraId="455BDB0C" w14:textId="77777777" w:rsidR="00451A04" w:rsidRPr="00664E43" w:rsidRDefault="00451A04" w:rsidP="00451A04">
      <w:proofErr w:type="spellStart"/>
      <w:r w:rsidRPr="00664E43">
        <w:t>b.</w:t>
      </w:r>
      <w:proofErr w:type="spellEnd"/>
      <w:r w:rsidRPr="00664E43">
        <w:t>     karistuste täitmisele pööramine;</w:t>
      </w:r>
    </w:p>
    <w:p w14:paraId="6FEF3319" w14:textId="77777777" w:rsidR="00451A04" w:rsidRPr="00664E43" w:rsidRDefault="00451A04" w:rsidP="00451A04">
      <w:proofErr w:type="spellStart"/>
      <w:r w:rsidRPr="00664E43">
        <w:t>c.</w:t>
      </w:r>
      <w:proofErr w:type="spellEnd"/>
      <w:r w:rsidRPr="00664E43">
        <w:t>     vabastamine, sealhulgas ajutine vabastamine.</w:t>
      </w:r>
    </w:p>
    <w:p w14:paraId="46883AD2" w14:textId="77777777" w:rsidR="00451A04" w:rsidRPr="00664E43" w:rsidRDefault="00451A04" w:rsidP="00451A04">
      <w:r w:rsidRPr="00664E43">
        <w:rPr>
          <w:b/>
          <w:bCs/>
        </w:rPr>
        <w:t>Artikkel 10. Konfidentsiaalsus</w:t>
      </w:r>
    </w:p>
    <w:p w14:paraId="73456420" w14:textId="2ADF7F0D" w:rsidR="00451A04" w:rsidRPr="00664E43" w:rsidRDefault="00451A04" w:rsidP="00451A04">
      <w:r w:rsidRPr="00664E43">
        <w:t xml:space="preserve">Kui </w:t>
      </w:r>
      <w:r w:rsidR="00DF5CA3">
        <w:t>haldus</w:t>
      </w:r>
      <w:r w:rsidRPr="00664E43">
        <w:t>komitee ei otsusta teisiti, siis käsitatakse tema koosolekuid ja dokumente konfidentsiaalsena.</w:t>
      </w:r>
    </w:p>
    <w:p w14:paraId="481F17A9" w14:textId="77777777" w:rsidR="00451A04" w:rsidRPr="00664E43" w:rsidRDefault="00451A04" w:rsidP="00451A04">
      <w:r w:rsidRPr="00664E43">
        <w:rPr>
          <w:b/>
          <w:bCs/>
        </w:rPr>
        <w:t>Artikkel 11. Erandid Euroopa Nõukogu eeskirjadest</w:t>
      </w:r>
    </w:p>
    <w:p w14:paraId="6BDB87EE" w14:textId="0992E0D2" w:rsidR="00451A04" w:rsidRPr="00664E43" w:rsidRDefault="00DF5CA3" w:rsidP="00451A04">
      <w:r>
        <w:t>Haldus</w:t>
      </w:r>
      <w:r w:rsidR="00451A04" w:rsidRPr="00664E43">
        <w:t xml:space="preserve">komitee võib ministrite komitee heakskiidul kalduda kõrvale kohaldatavatest Euroopa Nõukogu eeskirjadest, kui see on vajalik </w:t>
      </w:r>
      <w:r>
        <w:t>haldus</w:t>
      </w:r>
      <w:r w:rsidR="00451A04" w:rsidRPr="00664E43">
        <w:t>komitee ülesannete tõhusaks täitmiseks.</w:t>
      </w:r>
    </w:p>
    <w:p w14:paraId="5FFAB7FC" w14:textId="77777777" w:rsidR="00451A04" w:rsidRPr="00664E43" w:rsidRDefault="00451A04" w:rsidP="00451A04">
      <w:r w:rsidRPr="00664E43">
        <w:rPr>
          <w:b/>
          <w:bCs/>
        </w:rPr>
        <w:t>Artikkel 12. Muudatused</w:t>
      </w:r>
    </w:p>
    <w:p w14:paraId="30712892" w14:textId="3060B59C" w:rsidR="00451A04" w:rsidRPr="00664E43" w:rsidRDefault="00DF5CA3" w:rsidP="00451A04">
      <w:r>
        <w:t>Haldus</w:t>
      </w:r>
      <w:r w:rsidR="00451A04" w:rsidRPr="00664E43">
        <w:t xml:space="preserve">komitee statuuti võib muuta üksnes ministrite komitee otsusega, kui selle koosseisu kuuluvad üksnes </w:t>
      </w:r>
      <w:r>
        <w:t>haldus</w:t>
      </w:r>
      <w:r w:rsidR="00451A04" w:rsidRPr="00664E43">
        <w:t xml:space="preserve">komitee liikmetest riikide esindajad, Euroopa Nõukogu statuudi artikli 20 punktis d sätestatud häälteenamusega ning identselt sõnastatud </w:t>
      </w:r>
      <w:r>
        <w:t>haldus</w:t>
      </w:r>
      <w:r w:rsidR="00451A04" w:rsidRPr="00664E43">
        <w:t>komitee otsusega.</w:t>
      </w:r>
    </w:p>
    <w:p w14:paraId="002E43B5" w14:textId="77777777" w:rsidR="00451A04" w:rsidRPr="00664E43" w:rsidRDefault="00451A04" w:rsidP="00451A04">
      <w:r w:rsidRPr="00664E43">
        <w:rPr>
          <w:b/>
          <w:bCs/>
        </w:rPr>
        <w:t>Artikkel 13. Kestus</w:t>
      </w:r>
    </w:p>
    <w:p w14:paraId="09E821FE" w14:textId="77777777" w:rsidR="00451A04" w:rsidRPr="00664E43" w:rsidRDefault="00451A04" w:rsidP="00451A04">
      <w:r w:rsidRPr="00664E43">
        <w:br/>
        <w:t xml:space="preserve">1.         Selleks et kaitsta eritribunali kohtunike sõltumatust ning tagada tema mandaadi tõhus täitmine, ei kohaldata laiendatud osalise kokkuleppe suhtes kolmeaastast katseaega, mis on määratud kindlaks ministrite komitee resolutsiooni </w:t>
      </w:r>
      <w:hyperlink r:id="rId11" w:anchor="%7B%22CoEReference%22:[%22Res(96)36%22],%22CoELanguageId%22:[%22eng%22],%22CoECollection%22:[%22COE_DOC%22],%22po%22:%7B%22ref%22:%22=%22%7D%7D" w:tgtFrame="_blank" w:tooltip="millega kehtestatakse Euroopa Nõukogu osaliste ja laiendatud kokkulepete kriteeriumid;" w:history="1">
        <w:r w:rsidRPr="00664E43">
          <w:rPr>
            <w:rStyle w:val="Hyperlink"/>
          </w:rPr>
          <w:t>Res(96)36</w:t>
        </w:r>
      </w:hyperlink>
      <w:r w:rsidRPr="00664E43">
        <w:t xml:space="preserve"> (millega kehtestatakse Euroopa Nõukogu osaliste ja laiendatud kokkulepete kriteeriumid) punktis 6.</w:t>
      </w:r>
    </w:p>
    <w:p w14:paraId="296CB956" w14:textId="0923FE23" w:rsidR="00451A04" w:rsidRPr="00664E43" w:rsidRDefault="00451A04" w:rsidP="00451A04">
      <w:r w:rsidRPr="00664E43">
        <w:t xml:space="preserve">2.         Ministrite komitee võib otsustada </w:t>
      </w:r>
      <w:r w:rsidR="00DF5CA3">
        <w:t>haldus</w:t>
      </w:r>
      <w:r w:rsidRPr="00664E43">
        <w:t>komitee soovitusel laiendatud osalise kokkuleppe lõpetada.</w:t>
      </w:r>
    </w:p>
    <w:p w14:paraId="4B0ED29A" w14:textId="5D2237E7" w:rsidR="00451A04" w:rsidRPr="00664E43" w:rsidRDefault="00451A04" w:rsidP="00451A04">
      <w:r w:rsidRPr="00664E43">
        <w:t xml:space="preserve">3.         Saades eritribunali esimehelt teate eritribunali mandaadi täitmise kohta, vaatab </w:t>
      </w:r>
      <w:r w:rsidR="00DF5CA3">
        <w:t>haldus</w:t>
      </w:r>
      <w:r w:rsidRPr="00664E43">
        <w:t xml:space="preserve">komitee läbi asjakohased tingimused, et luua järeltegevuse mehhanism, mis jätkab eritribunali tööd, eraldi rahvusvahelise dokumendi kaudu. </w:t>
      </w:r>
      <w:r w:rsidR="00DF5CA3">
        <w:t>Haldus</w:t>
      </w:r>
      <w:r w:rsidRPr="00664E43">
        <w:t>komitee võib soovitada kokkuleppe osalistel lõpetada eritribunal ja asutada järeltegevuse mehhanism.</w:t>
      </w:r>
    </w:p>
    <w:p w14:paraId="12B23BA5" w14:textId="72C3CB8F" w:rsidR="00451A04" w:rsidRPr="00664E43" w:rsidRDefault="00451A04" w:rsidP="00451A04">
      <w:r w:rsidRPr="00664E43">
        <w:t xml:space="preserve">4.         Käesoleva artikli lõikes 3 kirjeldatud olukorras võtab </w:t>
      </w:r>
      <w:r w:rsidR="00DF5CA3">
        <w:t>haldus</w:t>
      </w:r>
      <w:r w:rsidRPr="00664E43">
        <w:t xml:space="preserve">komitee kokkuleppe osaliste, asukohariigi ja eritribunali eesistuja soovitusel vastu üksikasjaliku üleminekukava. See kava hõlmab eelkõige tunnistajate kaitset; karistuste täideviimise jälgimist; ennetähtaegse, ajutise ja lõpliku vabastamise taotluste läbivaatamist; eritribunali tõendite ja toimikute säilitamist ning rahastamist. </w:t>
      </w:r>
      <w:r w:rsidR="00DF5CA3">
        <w:t>Haldus</w:t>
      </w:r>
      <w:r w:rsidRPr="00664E43">
        <w:t>komitee liikmed ja assotsieerunud liikmed püüavad teha koostööd, et tagada eritribunali tegevuse nõuetekohane lõpetamine.</w:t>
      </w:r>
    </w:p>
    <w:p w14:paraId="5AA6F511" w14:textId="77777777" w:rsidR="00451A04" w:rsidRPr="00664E43" w:rsidRDefault="00451A04" w:rsidP="00451A04">
      <w:r w:rsidRPr="00664E43">
        <w:rPr>
          <w:b/>
          <w:bCs/>
        </w:rPr>
        <w:t>Artikkel 14. Vaidluste lahendamine</w:t>
      </w:r>
    </w:p>
    <w:p w14:paraId="52147BFE" w14:textId="77777777" w:rsidR="00451A04" w:rsidRPr="00664E43" w:rsidRDefault="00451A04" w:rsidP="00451A04">
      <w:r w:rsidRPr="00664E43">
        <w:t xml:space="preserve">Liikmed ja assotsieerunud liikmed püüavad lahendada kõik vaidlused, mis võivad tuleneda käesoleva statuudi sätete kohaldamisest või tõlgendamisest või seda puudutada, läbirääkimiste </w:t>
      </w:r>
      <w:r w:rsidRPr="00664E43">
        <w:lastRenderedPageBreak/>
        <w:t>teel või muul vaidluste rahumeelse lahendamise viisil, mida aktsepteeritakse nende vastastikusel kokkuleppel.</w:t>
      </w:r>
    </w:p>
    <w:p w14:paraId="76E5B1E9" w14:textId="77777777" w:rsidR="00451A04" w:rsidRPr="00664E43" w:rsidRDefault="00451A04" w:rsidP="00451A04">
      <w:r w:rsidRPr="00664E43">
        <w:rPr>
          <w:b/>
          <w:bCs/>
        </w:rPr>
        <w:t>Artikkel 15. Väljaastumine ja väljaheitmine</w:t>
      </w:r>
    </w:p>
    <w:p w14:paraId="64E73466" w14:textId="5C652702" w:rsidR="00451A04" w:rsidRPr="00664E43" w:rsidRDefault="00451A04" w:rsidP="00451A04">
      <w:r w:rsidRPr="00664E43">
        <w:t xml:space="preserve">1.         Kõik liikmed või assotsieerunud liikmed võivad </w:t>
      </w:r>
      <w:r w:rsidR="00DF5CA3">
        <w:t>haldus</w:t>
      </w:r>
      <w:r w:rsidRPr="00664E43">
        <w:t>komiteest välja astuda, teatades sellest peasekretärile.</w:t>
      </w:r>
    </w:p>
    <w:p w14:paraId="14D21788" w14:textId="2F964D85" w:rsidR="00451A04" w:rsidRPr="00664E43" w:rsidRDefault="00451A04" w:rsidP="00451A04">
      <w:r w:rsidRPr="00664E43">
        <w:t xml:space="preserve">2.         Peasekretär kinnitab teate kättesaamist ning teavitab </w:t>
      </w:r>
      <w:r w:rsidR="00DF5CA3">
        <w:t>haldus</w:t>
      </w:r>
      <w:r w:rsidRPr="00664E43">
        <w:t>komitee liikmeid ja assotsieerunud liikmeid.</w:t>
      </w:r>
    </w:p>
    <w:p w14:paraId="7CBDDB66" w14:textId="77777777" w:rsidR="00451A04" w:rsidRPr="00664E43" w:rsidRDefault="00451A04" w:rsidP="00451A04">
      <w:r w:rsidRPr="00664E43">
        <w:t>3.         Liikme väljaastumine jõustub selle majandusaasta lõpus, millal sellest teatati, kui teade esitatakse enne selle majandusaasta 1. juunit, või järgmise majandusaasta lõpus, kui tagasiastumise teade esitatakse majandusaasta 1. juunil või pärast seda. Assotsieerunud liikme väljaastumine jõustub teate kättesaamisel.</w:t>
      </w:r>
    </w:p>
    <w:p w14:paraId="1A96D317" w14:textId="3428C055" w:rsidR="00451A04" w:rsidRPr="00664E43" w:rsidRDefault="00451A04" w:rsidP="00451A04">
      <w:r w:rsidRPr="00664E43">
        <w:t xml:space="preserve">4.         </w:t>
      </w:r>
      <w:r w:rsidR="00DF5CA3">
        <w:t>Haldus</w:t>
      </w:r>
      <w:r w:rsidRPr="00664E43">
        <w:t>komitee kontrollib vastavalt finantseeskirjade kohaldatavatele sätetele liikme või assotsieerunud liikme väljaastumise või väljaheitmise finantstagajärgi ning teeb asjakohased korraldused.</w:t>
      </w:r>
    </w:p>
    <w:p w14:paraId="272CD6B9" w14:textId="77777777" w:rsidR="00451A04" w:rsidRPr="00664E43" w:rsidRDefault="00451A04" w:rsidP="00451A04">
      <w:r w:rsidRPr="00664E43">
        <w:t>5.         Peasekretär teavitab viivitamata asjaomast liiget tema väljaastumise tagajärgedest vastavalt käesoleva artikli lõikele 3.</w:t>
      </w:r>
    </w:p>
    <w:p w14:paraId="7AA9BA41" w14:textId="69BB4710" w:rsidR="002C5A38" w:rsidRPr="00664E43" w:rsidRDefault="00451A04">
      <w:r w:rsidRPr="00664E43">
        <w:t xml:space="preserve">6.         </w:t>
      </w:r>
      <w:r w:rsidR="00DF5CA3">
        <w:t>Haldus</w:t>
      </w:r>
      <w:r w:rsidRPr="00664E43">
        <w:t xml:space="preserve">komitee võib otsustada, et mis tahes liige või assotsieerunud liige, kes tegutseb </w:t>
      </w:r>
      <w:r w:rsidR="00DF5CA3">
        <w:t>haldus</w:t>
      </w:r>
      <w:r w:rsidRPr="00664E43">
        <w:t xml:space="preserve">komitee volitustega vastuolus või takistab </w:t>
      </w:r>
      <w:r w:rsidR="00DF5CA3">
        <w:t>haldus</w:t>
      </w:r>
      <w:r w:rsidRPr="00664E43">
        <w:t xml:space="preserve">komitee ülesandeid, peatub olemast </w:t>
      </w:r>
      <w:r w:rsidR="00DF5CA3">
        <w:t>haldus</w:t>
      </w:r>
      <w:r w:rsidRPr="00664E43">
        <w:t xml:space="preserve">komitee liige või assotsieerunud liige alates kuupäevast, mille määrab kindlaks </w:t>
      </w:r>
      <w:r w:rsidR="00DF5CA3">
        <w:t>haldus</w:t>
      </w:r>
      <w:r w:rsidRPr="00664E43">
        <w:t>komitee.</w:t>
      </w:r>
    </w:p>
    <w:sectPr w:rsidR="002C5A38" w:rsidRPr="00664E43" w:rsidSect="00F521EA">
      <w:pgSz w:w="11906" w:h="16838" w:code="9"/>
      <w:pgMar w:top="1417" w:right="1417" w:bottom="1417" w:left="141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264D82" w14:textId="77777777" w:rsidR="00F50516" w:rsidRDefault="00F50516" w:rsidP="00530A50">
      <w:pPr>
        <w:spacing w:after="0"/>
      </w:pPr>
      <w:r>
        <w:separator/>
      </w:r>
    </w:p>
  </w:endnote>
  <w:endnote w:type="continuationSeparator" w:id="0">
    <w:p w14:paraId="7EAEF506" w14:textId="77777777" w:rsidR="00F50516" w:rsidRDefault="00F50516" w:rsidP="00530A5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AFF" w:usb1="C0007843"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1CB388" w14:textId="77777777" w:rsidR="00F50516" w:rsidRDefault="00F50516" w:rsidP="00530A50">
      <w:pPr>
        <w:spacing w:after="0"/>
      </w:pPr>
      <w:r>
        <w:separator/>
      </w:r>
    </w:p>
  </w:footnote>
  <w:footnote w:type="continuationSeparator" w:id="0">
    <w:p w14:paraId="66F58A61" w14:textId="77777777" w:rsidR="00F50516" w:rsidRDefault="00F50516" w:rsidP="00530A50">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1A04"/>
    <w:rsid w:val="00224DDD"/>
    <w:rsid w:val="0027237D"/>
    <w:rsid w:val="002B6F77"/>
    <w:rsid w:val="002C5A38"/>
    <w:rsid w:val="003159C5"/>
    <w:rsid w:val="00354FD5"/>
    <w:rsid w:val="003671EC"/>
    <w:rsid w:val="00451A04"/>
    <w:rsid w:val="004D5B29"/>
    <w:rsid w:val="00530A50"/>
    <w:rsid w:val="00664E43"/>
    <w:rsid w:val="006C2F45"/>
    <w:rsid w:val="006E7473"/>
    <w:rsid w:val="007161D2"/>
    <w:rsid w:val="007635FE"/>
    <w:rsid w:val="009A1A92"/>
    <w:rsid w:val="00A17736"/>
    <w:rsid w:val="00AA3939"/>
    <w:rsid w:val="00AC0BC0"/>
    <w:rsid w:val="00C85925"/>
    <w:rsid w:val="00D86866"/>
    <w:rsid w:val="00DF5CA3"/>
    <w:rsid w:val="00E434D7"/>
    <w:rsid w:val="00F45779"/>
    <w:rsid w:val="00F50516"/>
    <w:rsid w:val="00F521EA"/>
    <w:rsid w:val="00F549FA"/>
    <w:rsid w:val="00F557BA"/>
    <w:rsid w:val="00F8044B"/>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C067EC"/>
  <w15:chartTrackingRefBased/>
  <w15:docId w15:val="{4E6D8F0C-2C62-4D0C-AC94-A0179EE40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2"/>
        <w:lang w:val="et-EE" w:eastAsia="en-US" w:bidi="ar-SA"/>
        <w14:ligatures w14:val="standardContextual"/>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51A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51A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51A0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51A0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451A04"/>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451A04"/>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51A04"/>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51A04"/>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51A04"/>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1A0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51A0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51A04"/>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51A04"/>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451A04"/>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451A0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51A0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51A0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51A0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51A0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1A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1A04"/>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1A0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51A0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51A04"/>
    <w:rPr>
      <w:i/>
      <w:iCs/>
      <w:color w:val="404040" w:themeColor="text1" w:themeTint="BF"/>
    </w:rPr>
  </w:style>
  <w:style w:type="paragraph" w:styleId="ListParagraph">
    <w:name w:val="List Paragraph"/>
    <w:basedOn w:val="Normal"/>
    <w:uiPriority w:val="34"/>
    <w:qFormat/>
    <w:rsid w:val="00451A04"/>
    <w:pPr>
      <w:ind w:left="720"/>
      <w:contextualSpacing/>
    </w:pPr>
  </w:style>
  <w:style w:type="character" w:styleId="IntenseEmphasis">
    <w:name w:val="Intense Emphasis"/>
    <w:basedOn w:val="DefaultParagraphFont"/>
    <w:uiPriority w:val="21"/>
    <w:qFormat/>
    <w:rsid w:val="00451A04"/>
    <w:rPr>
      <w:i/>
      <w:iCs/>
      <w:color w:val="0F4761" w:themeColor="accent1" w:themeShade="BF"/>
    </w:rPr>
  </w:style>
  <w:style w:type="paragraph" w:styleId="IntenseQuote">
    <w:name w:val="Intense Quote"/>
    <w:basedOn w:val="Normal"/>
    <w:next w:val="Normal"/>
    <w:link w:val="IntenseQuoteChar"/>
    <w:uiPriority w:val="30"/>
    <w:qFormat/>
    <w:rsid w:val="00451A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51A04"/>
    <w:rPr>
      <w:i/>
      <w:iCs/>
      <w:color w:val="0F4761" w:themeColor="accent1" w:themeShade="BF"/>
    </w:rPr>
  </w:style>
  <w:style w:type="character" w:styleId="IntenseReference">
    <w:name w:val="Intense Reference"/>
    <w:basedOn w:val="DefaultParagraphFont"/>
    <w:uiPriority w:val="32"/>
    <w:qFormat/>
    <w:rsid w:val="00451A04"/>
    <w:rPr>
      <w:b/>
      <w:bCs/>
      <w:smallCaps/>
      <w:color w:val="0F4761" w:themeColor="accent1" w:themeShade="BF"/>
      <w:spacing w:val="5"/>
    </w:rPr>
  </w:style>
  <w:style w:type="character" w:styleId="Hyperlink">
    <w:name w:val="Hyperlink"/>
    <w:basedOn w:val="DefaultParagraphFont"/>
    <w:uiPriority w:val="99"/>
    <w:unhideWhenUsed/>
    <w:rsid w:val="00451A04"/>
    <w:rPr>
      <w:color w:val="467886" w:themeColor="hyperlink"/>
      <w:u w:val="single"/>
    </w:rPr>
  </w:style>
  <w:style w:type="character" w:styleId="UnresolvedMention">
    <w:name w:val="Unresolved Mention"/>
    <w:basedOn w:val="DefaultParagraphFont"/>
    <w:uiPriority w:val="99"/>
    <w:semiHidden/>
    <w:unhideWhenUsed/>
    <w:rsid w:val="00451A04"/>
    <w:rPr>
      <w:color w:val="605E5C"/>
      <w:shd w:val="clear" w:color="auto" w:fill="E1DFDD"/>
    </w:rPr>
  </w:style>
  <w:style w:type="paragraph" w:styleId="Header">
    <w:name w:val="header"/>
    <w:basedOn w:val="Normal"/>
    <w:link w:val="HeaderChar"/>
    <w:uiPriority w:val="99"/>
    <w:unhideWhenUsed/>
    <w:rsid w:val="00530A50"/>
    <w:pPr>
      <w:tabs>
        <w:tab w:val="center" w:pos="4680"/>
        <w:tab w:val="right" w:pos="9360"/>
      </w:tabs>
      <w:spacing w:after="0"/>
    </w:pPr>
  </w:style>
  <w:style w:type="character" w:customStyle="1" w:styleId="HeaderChar">
    <w:name w:val="Header Char"/>
    <w:basedOn w:val="DefaultParagraphFont"/>
    <w:link w:val="Header"/>
    <w:uiPriority w:val="99"/>
    <w:rsid w:val="00530A50"/>
  </w:style>
  <w:style w:type="paragraph" w:styleId="Footer">
    <w:name w:val="footer"/>
    <w:basedOn w:val="Normal"/>
    <w:link w:val="FooterChar"/>
    <w:uiPriority w:val="99"/>
    <w:unhideWhenUsed/>
    <w:rsid w:val="00530A50"/>
    <w:pPr>
      <w:tabs>
        <w:tab w:val="center" w:pos="4680"/>
        <w:tab w:val="right" w:pos="9360"/>
      </w:tabs>
      <w:spacing w:after="0"/>
    </w:pPr>
  </w:style>
  <w:style w:type="character" w:customStyle="1" w:styleId="FooterChar">
    <w:name w:val="Footer Char"/>
    <w:basedOn w:val="DefaultParagraphFont"/>
    <w:link w:val="Footer"/>
    <w:uiPriority w:val="99"/>
    <w:rsid w:val="00530A50"/>
  </w:style>
  <w:style w:type="paragraph" w:styleId="Revision">
    <w:name w:val="Revision"/>
    <w:hidden/>
    <w:uiPriority w:val="99"/>
    <w:semiHidden/>
    <w:rsid w:val="00DF5CA3"/>
    <w:pPr>
      <w:spacing w:after="0"/>
      <w:jc w:val="left"/>
    </w:pPr>
  </w:style>
  <w:style w:type="character" w:styleId="CommentReference">
    <w:name w:val="annotation reference"/>
    <w:basedOn w:val="DefaultParagraphFont"/>
    <w:uiPriority w:val="99"/>
    <w:semiHidden/>
    <w:unhideWhenUsed/>
    <w:rsid w:val="004D5B29"/>
    <w:rPr>
      <w:sz w:val="16"/>
      <w:szCs w:val="16"/>
    </w:rPr>
  </w:style>
  <w:style w:type="paragraph" w:styleId="CommentText">
    <w:name w:val="annotation text"/>
    <w:basedOn w:val="Normal"/>
    <w:link w:val="CommentTextChar"/>
    <w:uiPriority w:val="99"/>
    <w:semiHidden/>
    <w:unhideWhenUsed/>
    <w:rsid w:val="004D5B29"/>
    <w:rPr>
      <w:sz w:val="20"/>
      <w:szCs w:val="20"/>
    </w:rPr>
  </w:style>
  <w:style w:type="character" w:customStyle="1" w:styleId="CommentTextChar">
    <w:name w:val="Comment Text Char"/>
    <w:basedOn w:val="DefaultParagraphFont"/>
    <w:link w:val="CommentText"/>
    <w:uiPriority w:val="99"/>
    <w:semiHidden/>
    <w:rsid w:val="004D5B29"/>
    <w:rPr>
      <w:sz w:val="20"/>
      <w:szCs w:val="20"/>
    </w:rPr>
  </w:style>
  <w:style w:type="paragraph" w:styleId="CommentSubject">
    <w:name w:val="annotation subject"/>
    <w:basedOn w:val="CommentText"/>
    <w:next w:val="CommentText"/>
    <w:link w:val="CommentSubjectChar"/>
    <w:uiPriority w:val="99"/>
    <w:semiHidden/>
    <w:unhideWhenUsed/>
    <w:rsid w:val="004D5B29"/>
    <w:rPr>
      <w:b/>
      <w:bCs/>
    </w:rPr>
  </w:style>
  <w:style w:type="character" w:customStyle="1" w:styleId="CommentSubjectChar">
    <w:name w:val="Comment Subject Char"/>
    <w:basedOn w:val="CommentTextChar"/>
    <w:link w:val="CommentSubject"/>
    <w:uiPriority w:val="99"/>
    <w:semiHidden/>
    <w:rsid w:val="004D5B2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0640324">
      <w:bodyDiv w:val="1"/>
      <w:marLeft w:val="0"/>
      <w:marRight w:val="0"/>
      <w:marTop w:val="0"/>
      <w:marBottom w:val="0"/>
      <w:divBdr>
        <w:top w:val="none" w:sz="0" w:space="0" w:color="auto"/>
        <w:left w:val="none" w:sz="0" w:space="0" w:color="auto"/>
        <w:bottom w:val="none" w:sz="0" w:space="0" w:color="auto"/>
        <w:right w:val="none" w:sz="0" w:space="0" w:color="auto"/>
      </w:divBdr>
    </w:div>
    <w:div w:id="1564023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coe.int/cm/en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search.coe.int/cm/en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search.coe.int/cm/eng" TargetMode="External"/><Relationship Id="rId5" Type="http://schemas.openxmlformats.org/officeDocument/2006/relationships/footnotes" Target="footnotes.xml"/><Relationship Id="rId10" Type="http://schemas.openxmlformats.org/officeDocument/2006/relationships/hyperlink" Target="https://search.coe.int/cm/eng" TargetMode="External"/><Relationship Id="rId4" Type="http://schemas.openxmlformats.org/officeDocument/2006/relationships/webSettings" Target="webSettings.xml"/><Relationship Id="rId9" Type="http://schemas.openxmlformats.org/officeDocument/2006/relationships/hyperlink" Target="https://search.coe.int/cm/e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2E0CC0-45FB-4B9F-A8D4-3718743931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3738</Words>
  <Characters>21684</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MFA</Company>
  <LinksUpToDate>false</LinksUpToDate>
  <CharactersWithSpaces>25372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René Värk</dc:creator>
  <cp:keywords/>
  <dc:description/>
  <cp:lastModifiedBy>Mai Hion</cp:lastModifiedBy>
  <cp:revision>4</cp:revision>
  <dcterms:created xsi:type="dcterms:W3CDTF">2025-10-23T07:57:00Z</dcterms:created>
  <dcterms:modified xsi:type="dcterms:W3CDTF">2025-10-23T10:27:00Z</dcterms:modified>
</cp:coreProperties>
</file>