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993D0D" w:rsidRDefault="001950D6" w:rsidP="00B94694">
      <w:pPr>
        <w:pStyle w:val="Title"/>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9-15/2022</w:t>
      </w:r>
      <w:r w:rsidR="0069701E" w:rsidRPr="00993D0D">
        <w:rPr>
          <w:lang w:val="en-AU"/>
        </w:rPr>
        <w:t>/</w:t>
      </w:r>
      <w:r w:rsidR="00934F51">
        <w:rPr>
          <w:lang w:val="en-AU"/>
        </w:rPr>
        <w:t>28</w:t>
      </w:r>
    </w:p>
    <w:p w:rsidR="00B94694" w:rsidRPr="00993D0D" w:rsidRDefault="00B94694" w:rsidP="00B94694">
      <w:pPr>
        <w:jc w:val="both"/>
        <w:rPr>
          <w:spacing w:val="0"/>
          <w:szCs w:val="18"/>
        </w:rPr>
      </w:pPr>
    </w:p>
    <w:p w:rsidR="00B94694" w:rsidRPr="00993D0D" w:rsidRDefault="00B94694" w:rsidP="008D247D">
      <w:pPr>
        <w:tabs>
          <w:tab w:val="right" w:pos="9000"/>
        </w:tabs>
        <w:jc w:val="both"/>
        <w:rPr>
          <w:spacing w:val="0"/>
          <w:szCs w:val="18"/>
        </w:rPr>
      </w:pPr>
    </w:p>
    <w:p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rsidR="00B94694" w:rsidRPr="00993D0D" w:rsidRDefault="00B94694" w:rsidP="00B94694">
      <w:pPr>
        <w:jc w:val="both"/>
        <w:rPr>
          <w:spacing w:val="0"/>
        </w:rPr>
      </w:pPr>
    </w:p>
    <w:p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030.06.2020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rsidR="00175BE9" w:rsidRPr="00993D0D" w:rsidRDefault="00175BE9" w:rsidP="00175BE9">
      <w:pPr>
        <w:tabs>
          <w:tab w:val="left" w:pos="851"/>
        </w:tabs>
        <w:suppressAutoHyphens/>
        <w:spacing w:before="120"/>
        <w:jc w:val="both"/>
      </w:pPr>
    </w:p>
    <w:p w:rsidR="00B94694" w:rsidRPr="00993D0D" w:rsidRDefault="005F32F1" w:rsidP="005F32F1">
      <w:pPr>
        <w:spacing w:after="240"/>
        <w:jc w:val="both"/>
        <w:rPr>
          <w:spacing w:val="0"/>
        </w:rPr>
      </w:pPr>
      <w:r w:rsidRPr="00993D0D">
        <w:rPr>
          <w:spacing w:val="0"/>
        </w:rPr>
        <w:t xml:space="preserve">ja </w:t>
      </w:r>
      <w:r w:rsidR="00934F51">
        <w:rPr>
          <w:b/>
          <w:szCs w:val="20"/>
        </w:rPr>
        <w:t>GMK Grupp OÜ</w:t>
      </w:r>
      <w:r w:rsidR="001B629C" w:rsidRPr="00F90FF7">
        <w:rPr>
          <w:b/>
          <w:szCs w:val="2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934F51">
        <w:rPr>
          <w:b/>
          <w:szCs w:val="20"/>
        </w:rPr>
        <w:t>Taimo Rikma</w:t>
      </w:r>
      <w:r w:rsidRPr="00993D0D">
        <w:rPr>
          <w:spacing w:val="0"/>
        </w:rPr>
        <w:t xml:space="preserve">, kes tegutseb </w:t>
      </w:r>
      <w:r w:rsidR="0069701E" w:rsidRPr="00993D0D">
        <w:rPr>
          <w:b/>
          <w:spacing w:val="0"/>
        </w:rPr>
        <w:t>põhikirja</w:t>
      </w:r>
      <w:r w:rsidRPr="00993D0D">
        <w:rPr>
          <w:spacing w:val="0"/>
        </w:rPr>
        <w:t xml:space="preserve"> alusel, teiselt poolt, </w:t>
      </w:r>
    </w:p>
    <w:p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r w:rsidR="001B629C">
        <w:rPr>
          <w:b/>
          <w:bCs/>
          <w:caps/>
          <w:spacing w:val="0"/>
          <w:szCs w:val="20"/>
        </w:rPr>
        <w:t xml:space="preserve"> </w:t>
      </w:r>
    </w:p>
    <w:p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934F51">
        <w:rPr>
          <w:b/>
          <w:spacing w:val="0"/>
          <w:szCs w:val="18"/>
        </w:rPr>
        <w:t xml:space="preserve">RMK </w:t>
      </w:r>
      <w:proofErr w:type="spellStart"/>
      <w:r w:rsidR="00934F51">
        <w:rPr>
          <w:b/>
          <w:spacing w:val="0"/>
          <w:szCs w:val="18"/>
        </w:rPr>
        <w:t>Imastu</w:t>
      </w:r>
      <w:proofErr w:type="spellEnd"/>
      <w:r w:rsidR="00934F51">
        <w:rPr>
          <w:b/>
          <w:spacing w:val="0"/>
          <w:szCs w:val="18"/>
        </w:rPr>
        <w:t xml:space="preserve"> seniitraketibaasi hoonete ja rajatiste lammutus ning prügi utiliseerimine</w:t>
      </w:r>
      <w:r w:rsidR="00B92976">
        <w:rPr>
          <w:b/>
          <w:spacing w:val="0"/>
          <w:szCs w:val="18"/>
        </w:rPr>
        <w:t xml:space="preserve"> (kinnisvara objekti kood KV</w:t>
      </w:r>
      <w:r w:rsidR="00934F51">
        <w:rPr>
          <w:b/>
          <w:spacing w:val="0"/>
          <w:szCs w:val="18"/>
        </w:rPr>
        <w:t>5760</w:t>
      </w:r>
      <w:r w:rsidR="00B92976">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B92976">
        <w:rPr>
          <w:b/>
          <w:spacing w:val="0"/>
          <w:szCs w:val="18"/>
        </w:rPr>
        <w:t xml:space="preserve">lammutustööd </w:t>
      </w:r>
      <w:r w:rsidR="00BC2113">
        <w:rPr>
          <w:spacing w:val="0"/>
          <w:szCs w:val="18"/>
        </w:rPr>
        <w:t xml:space="preserve">vastavalt </w:t>
      </w:r>
      <w:r w:rsidR="00B92976">
        <w:rPr>
          <w:spacing w:val="0"/>
          <w:szCs w:val="18"/>
        </w:rPr>
        <w:t>,,</w:t>
      </w:r>
      <w:proofErr w:type="spellStart"/>
      <w:r w:rsidR="00934F51">
        <w:rPr>
          <w:spacing w:val="0"/>
          <w:szCs w:val="18"/>
        </w:rPr>
        <w:t>Imastu</w:t>
      </w:r>
      <w:proofErr w:type="spellEnd"/>
      <w:r w:rsidR="00934F51">
        <w:rPr>
          <w:spacing w:val="0"/>
          <w:szCs w:val="18"/>
        </w:rPr>
        <w:t xml:space="preserve"> seniitraketibaasi hoonete ja rajatiste lammutusprojektile töö nr 434</w:t>
      </w:r>
      <w:r w:rsidR="00B92976">
        <w:rPr>
          <w:spacing w:val="0"/>
          <w:szCs w:val="18"/>
        </w:rPr>
        <w:t xml:space="preserve">“ </w:t>
      </w:r>
      <w:r w:rsidR="00934F51">
        <w:rPr>
          <w:spacing w:val="0"/>
          <w:szCs w:val="18"/>
        </w:rPr>
        <w:t xml:space="preserve">ja tellija lähteülesande </w:t>
      </w:r>
      <w:r w:rsidR="00B92976">
        <w:rPr>
          <w:spacing w:val="0"/>
          <w:szCs w:val="18"/>
        </w:rPr>
        <w:t>järgi,</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 xml:space="preserve">„Ehituse töövõtu </w:t>
      </w:r>
      <w:proofErr w:type="spellStart"/>
      <w:r w:rsidR="001D7643" w:rsidRPr="00993D0D">
        <w:rPr>
          <w:spacing w:val="0"/>
        </w:rPr>
        <w:t>üldtingimustest</w:t>
      </w:r>
      <w:proofErr w:type="spellEnd"/>
      <w:r w:rsidR="001D7643" w:rsidRPr="00993D0D">
        <w:rPr>
          <w:spacing w:val="0"/>
        </w:rPr>
        <w:t>“ (ETÜ 2013).</w:t>
      </w:r>
    </w:p>
    <w:p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rsidR="00543444" w:rsidRDefault="00934F51"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alustab lammutus</w:t>
      </w:r>
      <w:r w:rsidR="00543444" w:rsidRPr="00993D0D">
        <w:rPr>
          <w:spacing w:val="0"/>
        </w:rPr>
        <w:t xml:space="preserve">tööde teostamist </w:t>
      </w:r>
      <w:r>
        <w:rPr>
          <w:b/>
          <w:spacing w:val="0"/>
        </w:rPr>
        <w:t>novembris</w:t>
      </w:r>
      <w:r w:rsidR="00B92976">
        <w:rPr>
          <w:b/>
          <w:spacing w:val="0"/>
        </w:rPr>
        <w:t xml:space="preserve"> </w:t>
      </w:r>
      <w:r w:rsidR="00BC2113">
        <w:rPr>
          <w:b/>
          <w:spacing w:val="0"/>
        </w:rPr>
        <w:t>2022</w:t>
      </w:r>
      <w:r w:rsidR="00543444" w:rsidRPr="00993D0D">
        <w:rPr>
          <w:spacing w:val="0"/>
        </w:rPr>
        <w:t>.</w:t>
      </w:r>
    </w:p>
    <w:p w:rsidR="00934F51" w:rsidRPr="00993D0D" w:rsidRDefault="00934F51"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Füüsilised lammutustööd on lõpetatud hiljemalt </w:t>
      </w:r>
      <w:r w:rsidRPr="00934F51">
        <w:rPr>
          <w:b/>
          <w:spacing w:val="0"/>
        </w:rPr>
        <w:t>16.12.2022</w:t>
      </w:r>
      <w:r>
        <w:rPr>
          <w:spacing w:val="0"/>
        </w:rPr>
        <w:t xml:space="preserve"> </w:t>
      </w:r>
    </w:p>
    <w:p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934F51">
        <w:rPr>
          <w:b/>
          <w:spacing w:val="0"/>
          <w:lang w:val="en-AU"/>
        </w:rPr>
        <w:t>30.12</w:t>
      </w:r>
      <w:r w:rsidR="00773CF5" w:rsidRPr="00993D0D">
        <w:rPr>
          <w:b/>
          <w:spacing w:val="0"/>
          <w:lang w:val="en-AU"/>
        </w:rPr>
        <w:t>.20</w:t>
      </w:r>
      <w:r w:rsidR="00BC2113">
        <w:rPr>
          <w:b/>
          <w:spacing w:val="0"/>
          <w:lang w:val="en-AU"/>
        </w:rPr>
        <w:t>22</w:t>
      </w:r>
      <w:r w:rsidR="00580820" w:rsidRPr="00993D0D">
        <w:rPr>
          <w:b/>
          <w:spacing w:val="0"/>
          <w:szCs w:val="18"/>
        </w:rPr>
        <w:t>.</w:t>
      </w:r>
    </w:p>
    <w:p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rsidR="00727DC2" w:rsidRPr="00934F51"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lastRenderedPageBreak/>
        <w:t>üldmaksumus</w:t>
      </w:r>
      <w:proofErr w:type="spellEnd"/>
      <w:r w:rsidR="009E4BBE" w:rsidRPr="006713B6">
        <w:rPr>
          <w:spacing w:val="0"/>
        </w:rPr>
        <w:t>)</w:t>
      </w:r>
      <w:r w:rsidR="006713B6" w:rsidRPr="006713B6">
        <w:rPr>
          <w:spacing w:val="0"/>
          <w:lang w:eastAsia="et-EE"/>
        </w:rPr>
        <w:t xml:space="preserve"> </w:t>
      </w:r>
      <w:r w:rsidR="00934F51">
        <w:rPr>
          <w:b/>
          <w:spacing w:val="0"/>
          <w:lang w:eastAsia="et-EE"/>
        </w:rPr>
        <w:t>12 500</w:t>
      </w:r>
      <w:r w:rsidR="006713B6" w:rsidRPr="006713B6">
        <w:rPr>
          <w:b/>
          <w:spacing w:val="0"/>
        </w:rPr>
        <w:t xml:space="preserve"> </w:t>
      </w:r>
      <w:r w:rsidR="00934F51">
        <w:rPr>
          <w:b/>
          <w:spacing w:val="0"/>
        </w:rPr>
        <w:t xml:space="preserve">(kaksteis </w:t>
      </w:r>
      <w:r w:rsidR="00B92976">
        <w:rPr>
          <w:b/>
          <w:spacing w:val="0"/>
        </w:rPr>
        <w:t>tuhat</w:t>
      </w:r>
      <w:r w:rsidR="006713B6" w:rsidRPr="006713B6">
        <w:rPr>
          <w:b/>
          <w:spacing w:val="0"/>
        </w:rPr>
        <w:t xml:space="preserve"> </w:t>
      </w:r>
      <w:r w:rsidR="00934F51">
        <w:rPr>
          <w:b/>
          <w:spacing w:val="0"/>
        </w:rPr>
        <w:t xml:space="preserve">viis sada </w:t>
      </w:r>
      <w:r w:rsidR="006713B6" w:rsidRPr="006713B6">
        <w:rPr>
          <w:b/>
          <w:spacing w:val="0"/>
        </w:rPr>
        <w:t>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w:t>
      </w:r>
      <w:proofErr w:type="spellStart"/>
      <w:r w:rsidRPr="00993D0D">
        <w:rPr>
          <w:spacing w:val="0"/>
          <w:szCs w:val="18"/>
        </w:rPr>
        <w:t>alltöövõtjate</w:t>
      </w:r>
      <w:proofErr w:type="spellEnd"/>
      <w:r w:rsidRPr="00993D0D">
        <w:rPr>
          <w:spacing w:val="0"/>
          <w:szCs w:val="18"/>
        </w:rPr>
        <w:t xml:space="preserv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rsidR="00934F51" w:rsidRPr="00993D0D" w:rsidRDefault="00934F51"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w:t>
      </w:r>
      <w:proofErr w:type="spellStart"/>
      <w:r w:rsidRPr="009D2603">
        <w:rPr>
          <w:b/>
          <w:spacing w:val="0"/>
          <w:szCs w:val="18"/>
        </w:rPr>
        <w:t>üldmaksumusele</w:t>
      </w:r>
      <w:proofErr w:type="spellEnd"/>
      <w:r w:rsidRPr="009D2603">
        <w:rPr>
          <w:b/>
          <w:spacing w:val="0"/>
          <w:szCs w:val="18"/>
        </w:rPr>
        <w:t xml:space="preserv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5F3F87">
        <w:rPr>
          <w:b/>
          <w:spacing w:val="0"/>
        </w:rPr>
        <w:t>1875</w:t>
      </w:r>
      <w:r w:rsidRPr="009D2603">
        <w:rPr>
          <w:spacing w:val="0"/>
          <w:szCs w:val="18"/>
        </w:rPr>
        <w:t xml:space="preserve"> (</w:t>
      </w:r>
      <w:r w:rsidR="005F3F87">
        <w:rPr>
          <w:spacing w:val="0"/>
          <w:szCs w:val="18"/>
        </w:rPr>
        <w:t xml:space="preserve">tuhat </w:t>
      </w:r>
      <w:r w:rsidR="005F3F87">
        <w:rPr>
          <w:spacing w:val="0"/>
        </w:rPr>
        <w:t>kaheksa</w:t>
      </w:r>
      <w:r>
        <w:rPr>
          <w:spacing w:val="0"/>
        </w:rPr>
        <w:t xml:space="preserve">sada </w:t>
      </w:r>
      <w:r w:rsidR="005F3F87">
        <w:rPr>
          <w:spacing w:val="0"/>
        </w:rPr>
        <w:t>seitse</w:t>
      </w:r>
      <w:r>
        <w:rPr>
          <w:spacing w:val="0"/>
        </w:rPr>
        <w:t xml:space="preserve">kümmend </w:t>
      </w:r>
      <w:r w:rsidR="005F3F87">
        <w:rPr>
          <w:spacing w:val="0"/>
        </w:rPr>
        <w:t>viis</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w:t>
      </w:r>
      <w:r w:rsidR="002527AE">
        <w:rPr>
          <w:spacing w:val="0"/>
          <w:szCs w:val="18"/>
        </w:rPr>
        <w:t>amiseks vajalikud lähteandmed, ametkondlikud kooskõlastused</w:t>
      </w:r>
      <w:r w:rsidR="008816FB" w:rsidRPr="00993D0D">
        <w:rPr>
          <w:spacing w:val="0"/>
          <w:szCs w:val="18"/>
        </w:rPr>
        <w:t xml:space="preserve">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2527AE">
        <w:rPr>
          <w:spacing w:val="0"/>
          <w:szCs w:val="18"/>
        </w:rPr>
        <w:t>masolu.</w:t>
      </w:r>
      <w:r w:rsidR="001F336C">
        <w:rPr>
          <w:spacing w:val="0"/>
          <w:szCs w:val="18"/>
        </w:rPr>
        <w:t xml:space="preserve"> Esitada omavalitusele vajalikud teatised ja kustutama hooned ehitusregistrist. </w:t>
      </w:r>
    </w:p>
    <w:p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002527AE">
        <w:rPr>
          <w:spacing w:val="0"/>
          <w:szCs w:val="18"/>
        </w:rPr>
        <w:t>lammutus</w:t>
      </w:r>
      <w:r w:rsidR="0010269D" w:rsidRPr="00993D0D">
        <w:rPr>
          <w:spacing w:val="0"/>
          <w:szCs w:val="18"/>
        </w:rPr>
        <w:t xml:space="preserve">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proofErr w:type="spellStart"/>
      <w:r w:rsidR="0010269D" w:rsidRPr="00993D0D">
        <w:rPr>
          <w:spacing w:val="0"/>
          <w:szCs w:val="18"/>
        </w:rPr>
        <w:t>alltöövõtjatele</w:t>
      </w:r>
      <w:proofErr w:type="spellEnd"/>
      <w:r w:rsidR="0010269D" w:rsidRPr="00993D0D">
        <w:rPr>
          <w:spacing w:val="0"/>
          <w:szCs w:val="18"/>
        </w:rPr>
        <w:t xml:space="preserv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 xml:space="preserve">a </w:t>
      </w:r>
      <w:r w:rsidR="002527AE">
        <w:rPr>
          <w:spacing w:val="0"/>
          <w:szCs w:val="18"/>
        </w:rPr>
        <w:t>lammutus</w:t>
      </w:r>
      <w:r w:rsidR="0010269D" w:rsidRPr="00993D0D">
        <w:rPr>
          <w:spacing w:val="0"/>
          <w:szCs w:val="18"/>
        </w:rPr>
        <w:t xml:space="preserve">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 xml:space="preserve">a andmed tööde vahetute teostajate ja </w:t>
      </w:r>
      <w:proofErr w:type="spellStart"/>
      <w:r w:rsidR="0010269D" w:rsidRPr="00993D0D">
        <w:rPr>
          <w:spacing w:val="0"/>
          <w:szCs w:val="18"/>
        </w:rPr>
        <w:t>alltö</w:t>
      </w:r>
      <w:r w:rsidR="008319DC" w:rsidRPr="00993D0D">
        <w:rPr>
          <w:spacing w:val="0"/>
          <w:szCs w:val="18"/>
        </w:rPr>
        <w:t>övõtjate</w:t>
      </w:r>
      <w:proofErr w:type="spellEnd"/>
      <w:r w:rsidR="008319DC" w:rsidRPr="00993D0D">
        <w:rPr>
          <w:spacing w:val="0"/>
          <w:szCs w:val="18"/>
        </w:rPr>
        <w:t xml:space="preserve"> kvalifikatsiooni kohta.</w:t>
      </w:r>
    </w:p>
    <w:p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proofErr w:type="spellStart"/>
      <w:r w:rsidR="00BF5FC2" w:rsidRPr="00993D0D">
        <w:rPr>
          <w:spacing w:val="0"/>
          <w:szCs w:val="18"/>
        </w:rPr>
        <w:t>p</w:t>
      </w:r>
      <w:r w:rsidRPr="00993D0D">
        <w:rPr>
          <w:spacing w:val="0"/>
          <w:szCs w:val="18"/>
        </w:rPr>
        <w:t>ooltevaheline</w:t>
      </w:r>
      <w:proofErr w:type="spellEnd"/>
      <w:r w:rsidRPr="00993D0D">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rsidR="0010269D" w:rsidRPr="00993D0D" w:rsidRDefault="0010269D" w:rsidP="00764277">
      <w:pPr>
        <w:numPr>
          <w:ilvl w:val="2"/>
          <w:numId w:val="1"/>
        </w:numPr>
        <w:spacing w:after="120"/>
        <w:jc w:val="both"/>
        <w:rPr>
          <w:spacing w:val="0"/>
          <w:szCs w:val="18"/>
        </w:rPr>
      </w:pPr>
      <w:r w:rsidRPr="00993D0D">
        <w:rPr>
          <w:spacing w:val="0"/>
          <w:szCs w:val="18"/>
        </w:rPr>
        <w:lastRenderedPageBreak/>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002527AE">
        <w:rPr>
          <w:spacing w:val="0"/>
          <w:szCs w:val="18"/>
        </w:rPr>
        <w:t xml:space="preserve">, fikseerides jooksvalt </w:t>
      </w:r>
      <w:proofErr w:type="spellStart"/>
      <w:r w:rsidR="002527AE">
        <w:rPr>
          <w:spacing w:val="0"/>
          <w:szCs w:val="18"/>
        </w:rPr>
        <w:t>ülammutu</w:t>
      </w:r>
      <w:r w:rsidR="0010269D" w:rsidRPr="00993D0D">
        <w:rPr>
          <w:spacing w:val="0"/>
          <w:szCs w:val="18"/>
        </w:rPr>
        <w:t>stööde</w:t>
      </w:r>
      <w:proofErr w:type="spellEnd"/>
      <w:r w:rsidR="0010269D" w:rsidRPr="00993D0D">
        <w:rPr>
          <w:spacing w:val="0"/>
          <w:szCs w:val="18"/>
        </w:rPr>
        <w:t xml:space="preserv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w:t>
      </w:r>
      <w:r w:rsidR="002527AE">
        <w:rPr>
          <w:spacing w:val="0"/>
          <w:szCs w:val="18"/>
        </w:rPr>
        <w:t>lammutamise</w:t>
      </w:r>
      <w:r w:rsidR="006E493A" w:rsidRPr="00993D0D">
        <w:rPr>
          <w:spacing w:val="0"/>
          <w:szCs w:val="18"/>
        </w:rPr>
        <w:t xml:space="preserv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w:t>
      </w:r>
      <w:r w:rsidR="002527AE">
        <w:rPr>
          <w:spacing w:val="0"/>
          <w:szCs w:val="18"/>
        </w:rPr>
        <w:t>lammutustööde</w:t>
      </w:r>
      <w:r w:rsidR="0010269D" w:rsidRPr="00993D0D">
        <w:rPr>
          <w:spacing w:val="0"/>
          <w:szCs w:val="18"/>
        </w:rPr>
        <w:t xml:space="preserv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rsidR="000C10F1" w:rsidRPr="00993D0D" w:rsidRDefault="002527AE" w:rsidP="000C10F1">
      <w:pPr>
        <w:numPr>
          <w:ilvl w:val="1"/>
          <w:numId w:val="1"/>
        </w:numPr>
        <w:spacing w:after="120"/>
        <w:jc w:val="both"/>
        <w:rPr>
          <w:spacing w:val="0"/>
          <w:szCs w:val="18"/>
        </w:rPr>
      </w:pPr>
      <w:r>
        <w:rPr>
          <w:spacing w:val="0"/>
          <w:szCs w:val="18"/>
        </w:rPr>
        <w:t>Lammutus</w:t>
      </w:r>
      <w:r w:rsidR="000C10F1" w:rsidRPr="00993D0D">
        <w:rPr>
          <w:spacing w:val="0"/>
          <w:szCs w:val="18"/>
        </w:rPr>
        <w:t>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000C10F1" w:rsidRPr="00993D0D">
        <w:rPr>
          <w:spacing w:val="0"/>
          <w:szCs w:val="18"/>
        </w:rPr>
        <w:t>tu</w:t>
      </w:r>
      <w:r w:rsidR="00BF42DA" w:rsidRPr="00993D0D">
        <w:rPr>
          <w:spacing w:val="0"/>
          <w:szCs w:val="18"/>
        </w:rPr>
        <w:t>d nõuetest</w:t>
      </w:r>
      <w:r w:rsidR="000C10F1" w:rsidRPr="00993D0D">
        <w:rPr>
          <w:spacing w:val="0"/>
          <w:szCs w:val="18"/>
        </w:rPr>
        <w:t>.</w:t>
      </w:r>
    </w:p>
    <w:p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w:t>
      </w:r>
      <w:r w:rsidR="0010269D" w:rsidRPr="00993D0D">
        <w:rPr>
          <w:spacing w:val="0"/>
          <w:szCs w:val="18"/>
        </w:rPr>
        <w:t>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lastRenderedPageBreak/>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w:t>
      </w:r>
      <w:proofErr w:type="spellStart"/>
      <w:r w:rsidR="003D2F9D" w:rsidRPr="00993D0D">
        <w:rPr>
          <w:spacing w:val="0"/>
          <w:szCs w:val="18"/>
        </w:rPr>
        <w:t>alltöövõtjate</w:t>
      </w:r>
      <w:proofErr w:type="spellEnd"/>
      <w:r w:rsidR="003D2F9D" w:rsidRPr="00993D0D">
        <w:rPr>
          <w:spacing w:val="0"/>
          <w:szCs w:val="18"/>
        </w:rPr>
        <w:t xml:space="preserv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rsidR="006713B6" w:rsidRPr="00993D0D" w:rsidRDefault="006713B6" w:rsidP="006713B6">
      <w:pPr>
        <w:tabs>
          <w:tab w:val="left" w:pos="1152"/>
        </w:tabs>
        <w:spacing w:after="120"/>
        <w:jc w:val="both"/>
        <w:rPr>
          <w:spacing w:val="0"/>
          <w:szCs w:val="18"/>
        </w:rPr>
      </w:pPr>
    </w:p>
    <w:p w:rsidR="00543444" w:rsidRPr="00993D0D" w:rsidRDefault="00543444" w:rsidP="00543444">
      <w:pPr>
        <w:numPr>
          <w:ilvl w:val="0"/>
          <w:numId w:val="1"/>
        </w:numPr>
        <w:spacing w:after="120"/>
        <w:jc w:val="both"/>
        <w:rPr>
          <w:spacing w:val="0"/>
          <w:szCs w:val="18"/>
        </w:rPr>
      </w:pPr>
      <w:r w:rsidRPr="00993D0D">
        <w:rPr>
          <w:b/>
          <w:spacing w:val="0"/>
          <w:szCs w:val="18"/>
        </w:rPr>
        <w:lastRenderedPageBreak/>
        <w:t>KAETUD TÖÖD</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003D7D70" w:rsidRPr="00993D0D">
        <w:rPr>
          <w:spacing w:val="0"/>
          <w:szCs w:val="18"/>
        </w:rPr>
        <w:t>ülevaatamine</w:t>
      </w:r>
      <w:proofErr w:type="spellEnd"/>
      <w:r w:rsidR="003D7D70" w:rsidRPr="00993D0D">
        <w:rPr>
          <w:spacing w:val="0"/>
          <w:szCs w:val="18"/>
        </w:rPr>
        <w:t xml:space="preserv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rsidR="009603AB" w:rsidRPr="00993D0D" w:rsidRDefault="009603AB" w:rsidP="009603AB">
      <w:pPr>
        <w:spacing w:after="120"/>
        <w:ind w:left="397"/>
        <w:jc w:val="both"/>
        <w:rPr>
          <w:spacing w:val="0"/>
          <w:szCs w:val="18"/>
        </w:rPr>
      </w:pPr>
    </w:p>
    <w:p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rsidR="00A04F72" w:rsidRPr="00993D0D" w:rsidRDefault="005103AC" w:rsidP="009D7ADD">
      <w:pPr>
        <w:numPr>
          <w:ilvl w:val="1"/>
          <w:numId w:val="1"/>
        </w:numPr>
        <w:spacing w:after="120"/>
        <w:jc w:val="both"/>
        <w:rPr>
          <w:spacing w:val="0"/>
          <w:szCs w:val="18"/>
        </w:rPr>
      </w:pPr>
      <w:r w:rsidRPr="00993D0D">
        <w:rPr>
          <w:spacing w:val="0"/>
          <w:szCs w:val="18"/>
        </w:rPr>
        <w:lastRenderedPageBreak/>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 xml:space="preserve">epingu igal ajal olenemata põhjusest </w:t>
      </w:r>
      <w:proofErr w:type="spellStart"/>
      <w:r w:rsidRPr="00993D0D">
        <w:rPr>
          <w:spacing w:val="0"/>
          <w:szCs w:val="18"/>
        </w:rPr>
        <w:t>etteteat</w:t>
      </w:r>
      <w:r w:rsidR="00A07880" w:rsidRPr="00993D0D">
        <w:rPr>
          <w:spacing w:val="0"/>
          <w:szCs w:val="18"/>
        </w:rPr>
        <w:t>amistähtajata</w:t>
      </w:r>
      <w:proofErr w:type="spellEnd"/>
      <w:r w:rsidR="00A07880" w:rsidRPr="00993D0D">
        <w:rPr>
          <w:spacing w:val="0"/>
          <w:szCs w:val="18"/>
        </w:rPr>
        <w:t xml:space="preserve">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yperlink"/>
            <w:spacing w:val="0"/>
            <w:szCs w:val="18"/>
          </w:rPr>
          <w:t>tarmo.pokka@rmk.ee</w:t>
        </w:r>
      </w:hyperlink>
      <w:r w:rsidR="005272CA" w:rsidRPr="00993D0D">
        <w:rPr>
          <w:spacing w:val="0"/>
          <w:szCs w:val="18"/>
        </w:rPr>
        <w:t xml:space="preserve"> </w:t>
      </w:r>
    </w:p>
    <w:p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r w:rsidR="00683387">
        <w:rPr>
          <w:spacing w:val="0"/>
        </w:rPr>
        <w:t>Taimo Rikma</w:t>
      </w:r>
      <w:r>
        <w:rPr>
          <w:spacing w:val="0"/>
        </w:rPr>
        <w:t xml:space="preserve">. Telefon </w:t>
      </w:r>
      <w:r w:rsidR="00683387">
        <w:t>53081705</w:t>
      </w:r>
      <w:r>
        <w:rPr>
          <w:spacing w:val="0"/>
        </w:rPr>
        <w:t xml:space="preserve">, e-mail </w:t>
      </w:r>
      <w:hyperlink r:id="rId9" w:tgtFrame="_blank" w:history="1">
        <w:r w:rsidR="00683387">
          <w:rPr>
            <w:rStyle w:val="Hyperlink"/>
            <w:rFonts w:ascii="Calibri" w:hAnsi="Calibri" w:cs="Calibri"/>
            <w:sz w:val="22"/>
            <w:szCs w:val="22"/>
            <w:lang w:val="en-US"/>
          </w:rPr>
          <w:t>avggrupp@gmail.com</w:t>
        </w:r>
      </w:hyperlink>
      <w:r>
        <w:rPr>
          <w:spacing w:val="0"/>
        </w:rPr>
        <w:t xml:space="preserve"> .</w:t>
      </w:r>
    </w:p>
    <w:p w:rsidR="00106734" w:rsidRPr="00BC273C" w:rsidRDefault="00106734" w:rsidP="00106734">
      <w:pPr>
        <w:numPr>
          <w:ilvl w:val="2"/>
          <w:numId w:val="1"/>
        </w:numPr>
        <w:tabs>
          <w:tab w:val="left" w:pos="851"/>
        </w:tabs>
        <w:suppressAutoHyphens/>
        <w:spacing w:before="120"/>
        <w:jc w:val="both"/>
        <w:rPr>
          <w:spacing w:val="0"/>
        </w:rPr>
      </w:pPr>
      <w:r w:rsidRPr="00BC273C">
        <w:rPr>
          <w:spacing w:val="-3"/>
        </w:rPr>
        <w:t>Töövõtja esindaja, kes on volitatud ehitustöid lepinguobjektil juhtima:</w:t>
      </w:r>
      <w:r>
        <w:rPr>
          <w:spacing w:val="-3"/>
        </w:rPr>
        <w:t xml:space="preserve"> objektijuht</w:t>
      </w:r>
      <w:r w:rsidR="00492367">
        <w:rPr>
          <w:spacing w:val="-3"/>
        </w:rPr>
        <w:t xml:space="preserve"> Gunnar </w:t>
      </w:r>
      <w:proofErr w:type="spellStart"/>
      <w:r w:rsidR="00492367">
        <w:rPr>
          <w:spacing w:val="-3"/>
        </w:rPr>
        <w:t>Kekkonen</w:t>
      </w:r>
      <w:proofErr w:type="spellEnd"/>
      <w:r w:rsidR="00492367">
        <w:rPr>
          <w:spacing w:val="-3"/>
        </w:rPr>
        <w:t xml:space="preserve"> </w:t>
      </w:r>
      <w:r>
        <w:rPr>
          <w:spacing w:val="-3"/>
        </w:rPr>
        <w:t xml:space="preserve">Telefon </w:t>
      </w:r>
      <w:r w:rsidR="00492367">
        <w:rPr>
          <w:spacing w:val="-3"/>
        </w:rPr>
        <w:t>53 08 1705</w:t>
      </w:r>
      <w:r>
        <w:rPr>
          <w:spacing w:val="-3"/>
        </w:rPr>
        <w:t xml:space="preserve"> e-mail</w:t>
      </w:r>
      <w:r w:rsidRPr="004C7CDD">
        <w:rPr>
          <w:spacing w:val="-3"/>
        </w:rPr>
        <w:t xml:space="preserve"> </w:t>
      </w:r>
      <w:hyperlink r:id="rId10" w:tgtFrame="_blank" w:history="1">
        <w:r w:rsidR="00492367">
          <w:rPr>
            <w:rStyle w:val="Hyperlink"/>
            <w:rFonts w:ascii="Calibri" w:hAnsi="Calibri" w:cs="Calibri"/>
            <w:sz w:val="22"/>
            <w:szCs w:val="22"/>
            <w:lang w:val="en-US"/>
          </w:rPr>
          <w:t>avggrupp@gmail.com</w:t>
        </w:r>
      </w:hyperlink>
    </w:p>
    <w:p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bookmarkStart w:id="0" w:name="_GoBack"/>
      <w:bookmarkEnd w:id="0"/>
    </w:p>
    <w:p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Lepinguga seotud teated edastatakse telefoni teel või </w:t>
      </w:r>
      <w:proofErr w:type="spellStart"/>
      <w:r w:rsidRPr="00993D0D">
        <w:rPr>
          <w:spacing w:val="-3"/>
        </w:rPr>
        <w:t>e-kirja</w:t>
      </w:r>
      <w:proofErr w:type="spellEnd"/>
      <w:r w:rsidRPr="00993D0D">
        <w:rPr>
          <w:spacing w:val="-3"/>
        </w:rPr>
        <w:t xml:space="preserve"> teel poole lepingus märgitud e-posti aadressile. Aadressi muutusest on pool kohustatud koheselt informeerima teist poolt.</w:t>
      </w:r>
    </w:p>
    <w:p w:rsidR="00C448C0" w:rsidRPr="00993D0D" w:rsidRDefault="00C448C0" w:rsidP="002E558B">
      <w:pPr>
        <w:numPr>
          <w:ilvl w:val="1"/>
          <w:numId w:val="1"/>
        </w:numPr>
        <w:tabs>
          <w:tab w:val="left" w:pos="851"/>
        </w:tabs>
        <w:suppressAutoHyphens/>
        <w:spacing w:before="120"/>
        <w:jc w:val="both"/>
        <w:rPr>
          <w:spacing w:val="-3"/>
        </w:rPr>
      </w:pPr>
      <w:proofErr w:type="spellStart"/>
      <w:r w:rsidRPr="00993D0D">
        <w:rPr>
          <w:spacing w:val="-3"/>
        </w:rPr>
        <w:t>E-kirja</w:t>
      </w:r>
      <w:proofErr w:type="spellEnd"/>
      <w:r w:rsidRPr="00993D0D">
        <w:rPr>
          <w:spacing w:val="-3"/>
        </w:rPr>
        <w:t xml:space="preserve">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rsidR="00A12AF5"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993D0D">
        <w:rPr>
          <w:spacing w:val="-3"/>
        </w:rPr>
        <w:t>e-kirja</w:t>
      </w:r>
      <w:proofErr w:type="spellEnd"/>
      <w:r w:rsidRPr="00993D0D">
        <w:rPr>
          <w:spacing w:val="-3"/>
        </w:rPr>
        <w:t xml:space="preserve"> teel</w:t>
      </w:r>
      <w:r w:rsidR="003D2132" w:rsidRPr="00993D0D">
        <w:rPr>
          <w:spacing w:val="-3"/>
        </w:rPr>
        <w:t>.</w:t>
      </w:r>
    </w:p>
    <w:p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rsidR="0040040D" w:rsidRPr="00993D0D" w:rsidRDefault="00B94694" w:rsidP="0040040D">
      <w:pPr>
        <w:numPr>
          <w:ilvl w:val="1"/>
          <w:numId w:val="1"/>
        </w:numPr>
        <w:spacing w:after="120"/>
        <w:jc w:val="both"/>
        <w:rPr>
          <w:spacing w:val="0"/>
          <w:szCs w:val="18"/>
        </w:rPr>
      </w:pPr>
      <w:r w:rsidRPr="00993D0D">
        <w:rPr>
          <w:spacing w:val="0"/>
          <w:szCs w:val="18"/>
        </w:rPr>
        <w:lastRenderedPageBreak/>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rsidTr="005E2123">
        <w:trPr>
          <w:trHeight w:val="230"/>
        </w:trPr>
        <w:tc>
          <w:tcPr>
            <w:tcW w:w="4536" w:type="dxa"/>
          </w:tcPr>
          <w:p w:rsidR="00561311" w:rsidRPr="00993D0D" w:rsidRDefault="00561311" w:rsidP="00561311">
            <w:pPr>
              <w:tabs>
                <w:tab w:val="left" w:pos="4320"/>
              </w:tabs>
              <w:jc w:val="both"/>
              <w:rPr>
                <w:b/>
                <w:spacing w:val="0"/>
              </w:rPr>
            </w:pPr>
            <w:r w:rsidRPr="00993D0D">
              <w:rPr>
                <w:b/>
                <w:spacing w:val="0"/>
              </w:rPr>
              <w:t>Tellija</w:t>
            </w:r>
          </w:p>
        </w:tc>
        <w:tc>
          <w:tcPr>
            <w:tcW w:w="4464" w:type="dxa"/>
          </w:tcPr>
          <w:p w:rsidR="00561311" w:rsidRPr="00993D0D" w:rsidRDefault="00561311" w:rsidP="00561311">
            <w:pPr>
              <w:tabs>
                <w:tab w:val="left" w:pos="4320"/>
              </w:tabs>
              <w:jc w:val="both"/>
              <w:rPr>
                <w:b/>
                <w:spacing w:val="0"/>
              </w:rPr>
            </w:pPr>
            <w:r w:rsidRPr="00993D0D">
              <w:rPr>
                <w:b/>
                <w:spacing w:val="0"/>
              </w:rPr>
              <w:t>Töövõtja</w:t>
            </w:r>
          </w:p>
        </w:tc>
      </w:tr>
      <w:tr w:rsidR="00561311" w:rsidRPr="005A3A33" w:rsidTr="005E2123">
        <w:trPr>
          <w:trHeight w:val="1097"/>
        </w:trPr>
        <w:tc>
          <w:tcPr>
            <w:tcW w:w="4536" w:type="dxa"/>
          </w:tcPr>
          <w:p w:rsidR="00561311" w:rsidRPr="00993D0D" w:rsidRDefault="00561311" w:rsidP="00561311">
            <w:pPr>
              <w:tabs>
                <w:tab w:val="left" w:pos="4320"/>
              </w:tabs>
              <w:jc w:val="both"/>
              <w:rPr>
                <w:spacing w:val="0"/>
              </w:rPr>
            </w:pPr>
            <w:r w:rsidRPr="00993D0D">
              <w:rPr>
                <w:spacing w:val="0"/>
              </w:rPr>
              <w:t>Riigimetsa Majandamise Keskus</w:t>
            </w:r>
          </w:p>
          <w:p w:rsidR="002D125D" w:rsidRPr="00993D0D" w:rsidRDefault="002D125D" w:rsidP="002D125D">
            <w:pPr>
              <w:tabs>
                <w:tab w:val="left" w:pos="4320"/>
              </w:tabs>
              <w:jc w:val="both"/>
              <w:rPr>
                <w:spacing w:val="0"/>
              </w:rPr>
            </w:pPr>
            <w:r w:rsidRPr="00993D0D">
              <w:rPr>
                <w:spacing w:val="0"/>
              </w:rPr>
              <w:t>Sagadi küla, 45403 Haljala vald,</w:t>
            </w:r>
          </w:p>
          <w:p w:rsidR="00561311" w:rsidRPr="00993D0D" w:rsidRDefault="002D125D" w:rsidP="002D125D">
            <w:pPr>
              <w:tabs>
                <w:tab w:val="left" w:pos="4320"/>
              </w:tabs>
              <w:jc w:val="both"/>
              <w:rPr>
                <w:spacing w:val="0"/>
              </w:rPr>
            </w:pPr>
            <w:r w:rsidRPr="00993D0D">
              <w:rPr>
                <w:spacing w:val="0"/>
              </w:rPr>
              <w:t>Lääne-Viru maakond</w:t>
            </w:r>
          </w:p>
          <w:p w:rsidR="00561311" w:rsidRPr="00993D0D" w:rsidRDefault="00561311" w:rsidP="00561311">
            <w:pPr>
              <w:tabs>
                <w:tab w:val="left" w:pos="4320"/>
              </w:tabs>
              <w:jc w:val="both"/>
              <w:rPr>
                <w:spacing w:val="0"/>
              </w:rPr>
            </w:pPr>
            <w:r w:rsidRPr="00993D0D">
              <w:rPr>
                <w:spacing w:val="0"/>
              </w:rPr>
              <w:t>Registrikood 70004459</w:t>
            </w:r>
          </w:p>
          <w:p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rsidR="00E621FE" w:rsidRPr="00993D0D" w:rsidRDefault="00E621FE" w:rsidP="00561311">
            <w:pPr>
              <w:tabs>
                <w:tab w:val="left" w:pos="4320"/>
              </w:tabs>
              <w:jc w:val="both"/>
              <w:rPr>
                <w:spacing w:val="0"/>
              </w:rPr>
            </w:pPr>
            <w:r w:rsidRPr="00993D0D">
              <w:rPr>
                <w:spacing w:val="0"/>
              </w:rPr>
              <w:t xml:space="preserve">E-post </w:t>
            </w:r>
            <w:hyperlink r:id="rId11" w:history="1">
              <w:r w:rsidRPr="00993D0D">
                <w:rPr>
                  <w:rStyle w:val="Hyperlink"/>
                  <w:spacing w:val="0"/>
                </w:rPr>
                <w:t>rmk@rmk.ee</w:t>
              </w:r>
            </w:hyperlink>
          </w:p>
        </w:tc>
        <w:tc>
          <w:tcPr>
            <w:tcW w:w="4464" w:type="dxa"/>
          </w:tcPr>
          <w:p w:rsidR="00683387" w:rsidRDefault="00683387" w:rsidP="00683387">
            <w:pPr>
              <w:rPr>
                <w:spacing w:val="0"/>
                <w:lang w:eastAsia="et-EE"/>
              </w:rPr>
            </w:pPr>
            <w:proofErr w:type="spellStart"/>
            <w:r>
              <w:t>Gmk</w:t>
            </w:r>
            <w:proofErr w:type="spellEnd"/>
            <w:r>
              <w:t xml:space="preserve"> Grupp </w:t>
            </w:r>
            <w:proofErr w:type="spellStart"/>
            <w:r>
              <w:t>oü</w:t>
            </w:r>
            <w:proofErr w:type="spellEnd"/>
          </w:p>
          <w:p w:rsidR="00C7478B" w:rsidRDefault="00683387" w:rsidP="00561311">
            <w:pPr>
              <w:tabs>
                <w:tab w:val="left" w:pos="4320"/>
              </w:tabs>
              <w:jc w:val="both"/>
              <w:rPr>
                <w:spacing w:val="-3"/>
              </w:rPr>
            </w:pPr>
            <w:r>
              <w:rPr>
                <w:spacing w:val="-3"/>
              </w:rPr>
              <w:t>Lääne tn 4 Rakvere</w:t>
            </w:r>
          </w:p>
          <w:p w:rsidR="00561311" w:rsidRPr="00993D0D" w:rsidRDefault="00683387" w:rsidP="00561311">
            <w:pPr>
              <w:tabs>
                <w:tab w:val="left" w:pos="4320"/>
              </w:tabs>
              <w:jc w:val="both"/>
              <w:rPr>
                <w:iCs/>
                <w:spacing w:val="0"/>
              </w:rPr>
            </w:pPr>
            <w:r>
              <w:rPr>
                <w:spacing w:val="-3"/>
              </w:rPr>
              <w:t>Lääne Virumaakond</w:t>
            </w:r>
          </w:p>
          <w:p w:rsidR="00FF2E0D" w:rsidRPr="00993D0D" w:rsidRDefault="004A4BF3" w:rsidP="00561311">
            <w:pPr>
              <w:tabs>
                <w:tab w:val="left" w:pos="4320"/>
              </w:tabs>
              <w:jc w:val="both"/>
              <w:rPr>
                <w:iCs/>
                <w:spacing w:val="0"/>
              </w:rPr>
            </w:pPr>
            <w:r w:rsidRPr="00993D0D">
              <w:rPr>
                <w:spacing w:val="0"/>
                <w:szCs w:val="18"/>
              </w:rPr>
              <w:t>Registrikood</w:t>
            </w:r>
            <w:r w:rsidR="00C7478B">
              <w:rPr>
                <w:spacing w:val="0"/>
                <w:szCs w:val="18"/>
              </w:rPr>
              <w:t xml:space="preserve"> </w:t>
            </w:r>
            <w:r w:rsidR="00683387">
              <w:rPr>
                <w:color w:val="646464"/>
                <w:lang w:eastAsia="et-EE"/>
              </w:rPr>
              <w:t>16134702</w:t>
            </w:r>
          </w:p>
          <w:p w:rsidR="00561311" w:rsidRPr="00993D0D" w:rsidRDefault="004A4BF3" w:rsidP="002B09A1">
            <w:pPr>
              <w:tabs>
                <w:tab w:val="left" w:pos="4320"/>
              </w:tabs>
              <w:jc w:val="both"/>
              <w:rPr>
                <w:spacing w:val="-3"/>
              </w:rPr>
            </w:pPr>
            <w:r w:rsidRPr="00993D0D">
              <w:rPr>
                <w:spacing w:val="0"/>
                <w:szCs w:val="18"/>
              </w:rPr>
              <w:t>Telefon</w:t>
            </w:r>
            <w:r w:rsidR="00C7478B">
              <w:rPr>
                <w:spacing w:val="0"/>
                <w:szCs w:val="18"/>
              </w:rPr>
              <w:t xml:space="preserve"> </w:t>
            </w:r>
            <w:r w:rsidR="00683387">
              <w:t>53081705</w:t>
            </w:r>
          </w:p>
          <w:p w:rsidR="00E621FE" w:rsidRPr="005A3A33" w:rsidRDefault="00E621FE" w:rsidP="00BC273C">
            <w:pPr>
              <w:tabs>
                <w:tab w:val="left" w:pos="4320"/>
              </w:tabs>
              <w:jc w:val="both"/>
              <w:rPr>
                <w:iCs/>
                <w:spacing w:val="0"/>
              </w:rPr>
            </w:pPr>
            <w:r w:rsidRPr="00993D0D">
              <w:rPr>
                <w:spacing w:val="-3"/>
              </w:rPr>
              <w:t xml:space="preserve">E-post </w:t>
            </w:r>
            <w:hyperlink r:id="rId12" w:tgtFrame="_blank" w:history="1">
              <w:r w:rsidR="00683387">
                <w:rPr>
                  <w:rStyle w:val="Hyperlink"/>
                  <w:rFonts w:ascii="Calibri" w:hAnsi="Calibri" w:cs="Calibri"/>
                  <w:sz w:val="22"/>
                  <w:szCs w:val="22"/>
                  <w:lang w:val="en-US"/>
                </w:rPr>
                <w:t>avggrupp@gmail.com</w:t>
              </w:r>
            </w:hyperlink>
          </w:p>
        </w:tc>
      </w:tr>
      <w:tr w:rsidR="00E621FE" w:rsidRPr="005A3A33" w:rsidTr="005E2123">
        <w:trPr>
          <w:trHeight w:val="1097"/>
        </w:trPr>
        <w:tc>
          <w:tcPr>
            <w:tcW w:w="4536" w:type="dxa"/>
          </w:tcPr>
          <w:p w:rsidR="00E621FE" w:rsidRPr="005A3A33" w:rsidRDefault="00E621FE"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788" w:rsidRDefault="003C7788">
      <w:r>
        <w:separator/>
      </w:r>
    </w:p>
  </w:endnote>
  <w:endnote w:type="continuationSeparator" w:id="0">
    <w:p w:rsidR="003C7788" w:rsidRDefault="003C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788" w:rsidRDefault="003C7788">
      <w:r>
        <w:separator/>
      </w:r>
    </w:p>
  </w:footnote>
  <w:footnote w:type="continuationSeparator" w:id="0">
    <w:p w:rsidR="003C7788" w:rsidRDefault="003C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12" w:rsidRPr="00413C7B" w:rsidRDefault="002A6512">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492367">
      <w:rPr>
        <w:rStyle w:val="PageNumber"/>
        <w:noProof/>
        <w:color w:val="808080"/>
        <w:sz w:val="20"/>
        <w:szCs w:val="20"/>
      </w:rPr>
      <w:t>7</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07CE"/>
    <w:rsid w:val="00024C33"/>
    <w:rsid w:val="000310AC"/>
    <w:rsid w:val="000314D3"/>
    <w:rsid w:val="000470C0"/>
    <w:rsid w:val="000521CE"/>
    <w:rsid w:val="00060081"/>
    <w:rsid w:val="0006341C"/>
    <w:rsid w:val="0007111D"/>
    <w:rsid w:val="0007601E"/>
    <w:rsid w:val="00083543"/>
    <w:rsid w:val="00084BA6"/>
    <w:rsid w:val="00085556"/>
    <w:rsid w:val="00086A22"/>
    <w:rsid w:val="00094513"/>
    <w:rsid w:val="000C10F1"/>
    <w:rsid w:val="000D2592"/>
    <w:rsid w:val="001023BF"/>
    <w:rsid w:val="0010269D"/>
    <w:rsid w:val="00106734"/>
    <w:rsid w:val="00110912"/>
    <w:rsid w:val="0013298D"/>
    <w:rsid w:val="00134E00"/>
    <w:rsid w:val="001362F7"/>
    <w:rsid w:val="0014066D"/>
    <w:rsid w:val="001515C2"/>
    <w:rsid w:val="00156025"/>
    <w:rsid w:val="00161B84"/>
    <w:rsid w:val="0017504A"/>
    <w:rsid w:val="00175BE9"/>
    <w:rsid w:val="001950D6"/>
    <w:rsid w:val="001A375B"/>
    <w:rsid w:val="001A7DC6"/>
    <w:rsid w:val="001B0DD7"/>
    <w:rsid w:val="001B3B92"/>
    <w:rsid w:val="001B629C"/>
    <w:rsid w:val="001D7643"/>
    <w:rsid w:val="001E0346"/>
    <w:rsid w:val="001E45E2"/>
    <w:rsid w:val="001F336C"/>
    <w:rsid w:val="001F694C"/>
    <w:rsid w:val="002171BB"/>
    <w:rsid w:val="002222FF"/>
    <w:rsid w:val="00226FE0"/>
    <w:rsid w:val="00243153"/>
    <w:rsid w:val="00250113"/>
    <w:rsid w:val="002527AE"/>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537F"/>
    <w:rsid w:val="003C7788"/>
    <w:rsid w:val="003D2132"/>
    <w:rsid w:val="003D2F9D"/>
    <w:rsid w:val="003D7D70"/>
    <w:rsid w:val="003F68D6"/>
    <w:rsid w:val="0040040D"/>
    <w:rsid w:val="00407EB4"/>
    <w:rsid w:val="00413C7B"/>
    <w:rsid w:val="00425102"/>
    <w:rsid w:val="0043036B"/>
    <w:rsid w:val="0045429A"/>
    <w:rsid w:val="00470DE8"/>
    <w:rsid w:val="00477BE3"/>
    <w:rsid w:val="004812F1"/>
    <w:rsid w:val="00492367"/>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5F3F87"/>
    <w:rsid w:val="006034AC"/>
    <w:rsid w:val="00605DC9"/>
    <w:rsid w:val="00610B3B"/>
    <w:rsid w:val="006302B5"/>
    <w:rsid w:val="00641EBD"/>
    <w:rsid w:val="00644EEE"/>
    <w:rsid w:val="006713B6"/>
    <w:rsid w:val="00675252"/>
    <w:rsid w:val="00680884"/>
    <w:rsid w:val="00683387"/>
    <w:rsid w:val="0069701E"/>
    <w:rsid w:val="006A2FA8"/>
    <w:rsid w:val="006D1FB2"/>
    <w:rsid w:val="006D2CFA"/>
    <w:rsid w:val="006D5CD2"/>
    <w:rsid w:val="006E493A"/>
    <w:rsid w:val="006F11F5"/>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7C2995"/>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DA5"/>
    <w:rsid w:val="008B68D6"/>
    <w:rsid w:val="008C2178"/>
    <w:rsid w:val="008C7512"/>
    <w:rsid w:val="008D247D"/>
    <w:rsid w:val="009109EE"/>
    <w:rsid w:val="00912267"/>
    <w:rsid w:val="0091421C"/>
    <w:rsid w:val="00925DB6"/>
    <w:rsid w:val="009311E2"/>
    <w:rsid w:val="009325FD"/>
    <w:rsid w:val="00933BFC"/>
    <w:rsid w:val="00934F51"/>
    <w:rsid w:val="00954F57"/>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209BA"/>
    <w:rsid w:val="00B25009"/>
    <w:rsid w:val="00B25834"/>
    <w:rsid w:val="00B2644F"/>
    <w:rsid w:val="00B31366"/>
    <w:rsid w:val="00B40651"/>
    <w:rsid w:val="00B41EBA"/>
    <w:rsid w:val="00B51ED3"/>
    <w:rsid w:val="00B5699C"/>
    <w:rsid w:val="00B81DF9"/>
    <w:rsid w:val="00B90994"/>
    <w:rsid w:val="00B92976"/>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7478B"/>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D2D98"/>
    <w:rsid w:val="00DD3F10"/>
    <w:rsid w:val="00DD7F36"/>
    <w:rsid w:val="00DF51C2"/>
    <w:rsid w:val="00E01ADB"/>
    <w:rsid w:val="00E03F91"/>
    <w:rsid w:val="00E04B90"/>
    <w:rsid w:val="00E2059B"/>
    <w:rsid w:val="00E20A15"/>
    <w:rsid w:val="00E30997"/>
    <w:rsid w:val="00E621FE"/>
    <w:rsid w:val="00E659E8"/>
    <w:rsid w:val="00E66062"/>
    <w:rsid w:val="00E71096"/>
    <w:rsid w:val="00E71C8B"/>
    <w:rsid w:val="00E768F7"/>
    <w:rsid w:val="00EB6921"/>
    <w:rsid w:val="00EC1837"/>
    <w:rsid w:val="00EC39BF"/>
    <w:rsid w:val="00ED074F"/>
    <w:rsid w:val="00EF2A87"/>
    <w:rsid w:val="00EF41D6"/>
    <w:rsid w:val="00F16BE3"/>
    <w:rsid w:val="00F238C2"/>
    <w:rsid w:val="00F26104"/>
    <w:rsid w:val="00F33294"/>
    <w:rsid w:val="00F343EA"/>
    <w:rsid w:val="00F421B5"/>
    <w:rsid w:val="00F57EA5"/>
    <w:rsid w:val="00F71A83"/>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7B5D"/>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663701493">
      <w:bodyDiv w:val="1"/>
      <w:marLeft w:val="0"/>
      <w:marRight w:val="0"/>
      <w:marTop w:val="0"/>
      <w:marBottom w:val="0"/>
      <w:divBdr>
        <w:top w:val="none" w:sz="0" w:space="0" w:color="auto"/>
        <w:left w:val="none" w:sz="0" w:space="0" w:color="auto"/>
        <w:bottom w:val="none" w:sz="0" w:space="0" w:color="auto"/>
        <w:right w:val="none" w:sz="0" w:space="0" w:color="auto"/>
      </w:divBdr>
    </w:div>
    <w:div w:id="84046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ggrup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vggrupp@gmail.com" TargetMode="External"/><Relationship Id="rId4" Type="http://schemas.openxmlformats.org/officeDocument/2006/relationships/settings" Target="settings.xml"/><Relationship Id="rId9" Type="http://schemas.openxmlformats.org/officeDocument/2006/relationships/hyperlink" Target="mailto:avggrupp@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B019-C0B4-41CD-B8B2-AAC1E497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2678</Words>
  <Characters>15536</Characters>
  <Application>Microsoft Office Word</Application>
  <DocSecurity>0</DocSecurity>
  <Lines>129</Lines>
  <Paragraphs>36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7</cp:revision>
  <cp:lastPrinted>2012-01-19T11:15:00Z</cp:lastPrinted>
  <dcterms:created xsi:type="dcterms:W3CDTF">2022-11-02T07:11:00Z</dcterms:created>
  <dcterms:modified xsi:type="dcterms:W3CDTF">2022-11-04T10:01:00Z</dcterms:modified>
</cp:coreProperties>
</file>