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PROJEKTITOETUSE TAOTLUS</w:t>
      </w:r>
    </w:p>
    <w:p>
      <w:pPr>
        <w:pStyle w:val="Body A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114"/>
        <w:gridCol w:w="5948"/>
      </w:tblGrid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Taotleja nimi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Ulm O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nimetus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Telesari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Liitlased</w:t>
            </w:r>
            <w:r>
              <w:rPr>
                <w:rFonts w:ascii="Arial Unicode MS" w:hAnsi="Arial Unicode MS" w:hint="default"/>
                <w:sz w:val="24"/>
                <w:szCs w:val="24"/>
                <w:shd w:val="nil" w:color="auto" w:fill="auto"/>
                <w:rtl w:val="1"/>
                <w:lang w:val="ar-SA" w:bidi="ar-SA"/>
              </w:rPr>
              <w:t>“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Projekti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ldmaksumus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50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000.-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sh taotletav summa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45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000.-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sh omafinantseering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0.-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sh kaasfinantseering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5000.-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toimumise aeg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2026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Toetuse kasutamise periood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2026</w:t>
            </w:r>
          </w:p>
        </w:tc>
      </w:tr>
    </w:tbl>
    <w:p>
      <w:pPr>
        <w:pStyle w:val="Body A"/>
        <w:widowControl w:val="0"/>
        <w:ind w:left="108" w:hanging="108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TAOTLEJA ANDMED</w:t>
      </w:r>
    </w:p>
    <w:p>
      <w:pPr>
        <w:pStyle w:val="Body A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681"/>
        <w:gridCol w:w="5381"/>
      </w:tblGrid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Juriidiline nimetus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Ulm O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Registrikood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12488337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Postiaadress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Volta 26-6, Tallinn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E-post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"mailto:anatoli@ulm.ee"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</w:rPr>
              <w:t>anatoli@ulm.ee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Telefon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+372 5546934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Kodulehek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"http://www.ulm.ee"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</w:rPr>
              <w:t>www.ulm.ee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ibemaksukohustuslase number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EE101643463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Taotleja p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hikirjalised tegevused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5911 - Kinofilmide, videote ja telesaadete tootmine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906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jc w:val="center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Pangakonto andmed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Kontoomaniku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Ulm O</w:t>
            </w: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Pangakonto number (IBAN)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EE907700771001136451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Viitenumber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 xml:space="preserve"> (vajadusel)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SWIFT kood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 xml:space="preserve"> (vajadusel)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906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jc w:val="center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Kontaktisikute andmed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Allkirja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igusliku isiku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Anatoli Tafit</w:t>
            </w: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š</w:t>
            </w: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uk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E-post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"mailto:anatoli@ulm.ee"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</w:rPr>
              <w:t>anatoli@ulm.ee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Telefon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+372 5546923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Projektijuhi/kontaktisiku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Anatoli Tafit</w:t>
            </w: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š</w:t>
            </w: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uk</w:t>
            </w:r>
          </w:p>
        </w:tc>
      </w:tr>
    </w:tbl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s-ES_tradnl"/>
        </w:rPr>
        <w:t>TAOTLEMISE EESM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  <w:lang w:val="sv-SE"/>
        </w:rPr>
        <w:t>Ä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</w:rPr>
        <w:t>RK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</w:rPr>
        <w:t>Taotlus vastab j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</w:rPr>
        <w:t>ä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nl-NL"/>
        </w:rPr>
        <w:t>rgmistele eesm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</w:rPr>
        <w:t>ä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</w:rPr>
        <w:t>rkidele</w:t>
      </w:r>
      <w:r>
        <w:rPr>
          <w:rStyle w:val="None"/>
          <w:rFonts w:ascii="Times New Roman" w:hAnsi="Times New Roman"/>
          <w:sz w:val="24"/>
          <w:szCs w:val="24"/>
          <w:rtl w:val="0"/>
        </w:rPr>
        <w:t>: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M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</w:rPr>
        <w:t>ää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ratlege taotluse eesm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</w:rPr>
        <w:t>ä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rk 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i eesm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</w:rPr>
        <w:t>ä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rgid. Lisaks seostage, millistele konkursi eesm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</w:rPr>
        <w:t>ä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rkidele taotlus vastab. (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ige variant alla joonida.)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val="single"/>
          <w:rtl w:val="0"/>
          <w:lang w:val="en-US"/>
        </w:rPr>
        <w:t>NATO kollektiivkaitse olulisuse tutvustamine Eesti riigikaitses</w:t>
      </w:r>
      <w:r>
        <w:rPr>
          <w:rStyle w:val="None"/>
          <w:rFonts w:ascii="Times New Roman" w:hAnsi="Times New Roman"/>
          <w:sz w:val="24"/>
          <w:szCs w:val="24"/>
          <w:u w:val="single"/>
          <w:rtl w:val="0"/>
          <w:lang w:val="en-US"/>
        </w:rPr>
        <w:t xml:space="preserve"> nii eesti kui vene keeles noortele vanuses 15</w:t>
      </w:r>
      <w:r>
        <w:rPr>
          <w:rStyle w:val="None"/>
          <w:rFonts w:ascii="Times New Roman" w:hAnsi="Times New Roman" w:hint="default"/>
          <w:sz w:val="24"/>
          <w:szCs w:val="24"/>
          <w:u w:val="single"/>
          <w:rtl w:val="0"/>
          <w:lang w:val="en-US"/>
        </w:rPr>
        <w:t>–</w:t>
      </w:r>
      <w:r>
        <w:rPr>
          <w:rStyle w:val="None"/>
          <w:rFonts w:ascii="Times New Roman" w:hAnsi="Times New Roman"/>
          <w:sz w:val="24"/>
          <w:szCs w:val="24"/>
          <w:u w:val="single"/>
          <w:rtl w:val="0"/>
          <w:lang w:val="en-US"/>
        </w:rPr>
        <w:t>19 eluaastat ja/v</w:t>
      </w:r>
      <w:r>
        <w:rPr>
          <w:rStyle w:val="None"/>
          <w:rFonts w:ascii="Times New Roman" w:hAnsi="Times New Roman" w:hint="default"/>
          <w:sz w:val="24"/>
          <w:szCs w:val="24"/>
          <w:u w:val="single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u w:val="single"/>
          <w:rtl w:val="0"/>
          <w:lang w:val="en-US"/>
        </w:rPr>
        <w:t xml:space="preserve">i kesk- ja kutseharidusasutuste </w:t>
      </w:r>
      <w:r>
        <w:rPr>
          <w:rStyle w:val="None"/>
          <w:rFonts w:ascii="Times New Roman" w:hAnsi="Times New Roman" w:hint="default"/>
          <w:sz w:val="24"/>
          <w:szCs w:val="24"/>
          <w:u w:val="single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u w:val="single"/>
          <w:rtl w:val="0"/>
          <w:lang w:val="en-US"/>
        </w:rPr>
        <w:t>petajatele;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val="single"/>
          <w:rtl w:val="0"/>
          <w:lang w:val="en-US"/>
        </w:rPr>
        <w:t>Eesti s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  <w:lang w:val="en-US"/>
        </w:rPr>
        <w:t>õ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u w:val="single"/>
          <w:rtl w:val="0"/>
          <w:lang w:val="en-US"/>
        </w:rPr>
        <w:t>jalise riigikaitse ja selle eesm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  <w:lang w:val="en-US"/>
        </w:rPr>
        <w:t>ä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u w:val="single"/>
          <w:rtl w:val="0"/>
          <w:lang w:val="en-US"/>
        </w:rPr>
        <w:t>rkide</w:t>
      </w:r>
      <w:r>
        <w:rPr>
          <w:rStyle w:val="None"/>
          <w:rFonts w:ascii="Times New Roman" w:hAnsi="Times New Roman"/>
          <w:sz w:val="24"/>
          <w:szCs w:val="24"/>
          <w:u w:val="single"/>
          <w:rtl w:val="0"/>
          <w:lang w:val="en-US"/>
        </w:rPr>
        <w:t xml:space="preserve"> (kaitsetahe, kaitsevalmidus, liitlassuhted, sh Eestis teenivad NATO liitlasv</w:t>
      </w:r>
      <w:r>
        <w:rPr>
          <w:rStyle w:val="None"/>
          <w:rFonts w:ascii="Times New Roman" w:hAnsi="Times New Roman" w:hint="default"/>
          <w:sz w:val="24"/>
          <w:szCs w:val="24"/>
          <w:u w:val="single"/>
          <w:rtl w:val="0"/>
          <w:lang w:val="en-US"/>
        </w:rPr>
        <w:t>ä</w:t>
      </w:r>
      <w:r>
        <w:rPr>
          <w:rStyle w:val="None"/>
          <w:rFonts w:ascii="Times New Roman" w:hAnsi="Times New Roman"/>
          <w:sz w:val="24"/>
          <w:szCs w:val="24"/>
          <w:u w:val="single"/>
          <w:rtl w:val="0"/>
          <w:lang w:val="en-US"/>
        </w:rPr>
        <w:t xml:space="preserve">ed) 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u w:val="single"/>
          <w:rtl w:val="0"/>
          <w:lang w:val="en-US"/>
        </w:rPr>
        <w:t>tutvustamine</w:t>
      </w:r>
      <w:r>
        <w:rPr>
          <w:rStyle w:val="None"/>
          <w:rFonts w:ascii="Times New Roman" w:hAnsi="Times New Roman"/>
          <w:sz w:val="24"/>
          <w:szCs w:val="24"/>
          <w:u w:val="single"/>
          <w:rtl w:val="0"/>
          <w:lang w:val="en-US"/>
        </w:rPr>
        <w:t>, mh vene keeles, Ida-Virumaa ja/v</w:t>
      </w:r>
      <w:r>
        <w:rPr>
          <w:rStyle w:val="None"/>
          <w:rFonts w:ascii="Times New Roman" w:hAnsi="Times New Roman" w:hint="default"/>
          <w:sz w:val="24"/>
          <w:szCs w:val="24"/>
          <w:u w:val="single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u w:val="single"/>
          <w:rtl w:val="0"/>
          <w:lang w:val="en-US"/>
        </w:rPr>
        <w:t>i Tallinna/Maardu eestivene noortele vanuses 10</w:t>
      </w:r>
      <w:r>
        <w:rPr>
          <w:rStyle w:val="None"/>
          <w:rFonts w:ascii="Times New Roman" w:hAnsi="Times New Roman" w:hint="default"/>
          <w:sz w:val="24"/>
          <w:szCs w:val="24"/>
          <w:u w:val="single"/>
          <w:rtl w:val="0"/>
          <w:lang w:val="en-US"/>
        </w:rPr>
        <w:t>–</w:t>
      </w:r>
      <w:r>
        <w:rPr>
          <w:rStyle w:val="None"/>
          <w:rFonts w:ascii="Times New Roman" w:hAnsi="Times New Roman"/>
          <w:sz w:val="24"/>
          <w:szCs w:val="24"/>
          <w:u w:val="single"/>
          <w:rtl w:val="0"/>
          <w:lang w:val="en-US"/>
        </w:rPr>
        <w:t>19 eluaastat;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v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ää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rinfo paljastamise ja faktikontrolli kaudu Eesti elanike meediap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ä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devuse t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stmine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.</w:t>
      </w:r>
    </w:p>
    <w:p>
      <w:pPr>
        <w:pStyle w:val="Body A"/>
        <w:jc w:val="both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</w:rPr>
        <w:t>PROJEKTI EESM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  <w:lang w:val="sv-SE"/>
        </w:rPr>
        <w:t>Ä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RK JA TEGEVUSED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18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eesm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rk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Kirjeldage, mida soovite projekti l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biviimisega saavutada, ja selgitage, kuidas see on seotud riigikaitse eesm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rkidega.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Eesti avalikkuse teavitamine liitlaste tegevusest Eestis, nende integreerumisest Eesti Kaitsev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nl-NL"/>
              </w:rPr>
              <w:t>e tegevustesse k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ikidel tasanditel. Eesti riigikaitse maine tugevdamine ja elanikkonna kindlustunde kasvatamine. </w:t>
            </w:r>
          </w:p>
        </w:tc>
      </w:tr>
      <w:tr>
        <w:tblPrEx>
          <w:shd w:val="clear" w:color="auto" w:fill="d0ddef"/>
        </w:tblPrEx>
        <w:trPr>
          <w:trHeight w:val="126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l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hikokkuv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l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hidalt projekti tegevusi ja partnereid, samuti kuidas kavandatud eesm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rke ja oodatavaid tulemusi saavutatakse. Kui projekt jaguneb allprojektideks, siis allprojektide kaupa ja tegevuste puhul tegevussuundade kaupa.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4-osalise telesarja tootmine. Selles sarjas n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itame Eestis baseeruvate Suurbritannia, Prantsusmaa ja USA 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ekontingenti (ja ka 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huturbega seotud teiste riikide 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ksustesse) kuuluvate 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da-DK"/>
              </w:rPr>
              <w:t>ksuste igap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evaelu, koostegevusi  ja tutvustame nende liikmeid. Uurime, kuidas nad siin end tunnevad, kui motiveeritud nad on ja mida uut saavad nad siin omandada oma s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jalise ettevalmistuse t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hustamiseks, mida nende kodumaal pole olnud 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imalik harjutada. Otsime ka vastuseid k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simustele, mis on muutunud viimaste aastate jooksul, mil nad siin koos Eesti kaitsev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ega on toimetanud. N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itame liitlaste ja kohalike kogukondade vahelisi suhteid ja nende arenemist.</w:t>
            </w:r>
          </w:p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T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siasi on, et mitmetes kohalikes kogukondades on aeg-ajalt lahvatanud pingeid ja esinenud umbusku ning vastseisu riigikaitseliste objektide (n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iteks harjutusv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ljad 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 uued liitlastele m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eldud militaarrajatised) rajamise vastu. Vastuseisu on m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da-DK"/>
              </w:rPr>
              <w:t>nede aktivistide poolt 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imendatud poolt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dede ja lausa valefaktide esitamisega. See ei aita kuidagi kaasa Eesti kaitsev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ime suurendamisele ja sujuvale ning harmoonilisele koost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le Eesti ja siin baseeruvate liitlasv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da-DK"/>
              </w:rPr>
              <w:t xml:space="preserve">gede 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ksuste vahel.</w:t>
            </w:r>
          </w:p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ETV tunnustatud ja EFTA auhinnaga p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rjatud ajakirjanik Mirjam M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ttus avab oma empaatilise ja nn tavalisele televaatajale arusaadava jutustamise stiiliga militaar- ja julgeolekuvaldkonna keerukad teemad selliselt, et umbusku 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pt-PT"/>
              </w:rPr>
              <w:t>hendada, poolt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desid 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mber l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kata ja pingeid leevendada. Mirjami l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henemine ei ole tehnitsistlik vaid inimesekeskne ja aitab kaitsetahte ja kaitsevalmiduse ning liitlassuhete parandamisele, eelk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ige kogukonnatasandil, kaasa parimal 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nl-NL"/>
              </w:rPr>
              <w:t>imalikul moel.</w:t>
            </w:r>
          </w:p>
        </w:tc>
      </w:tr>
      <w:tr>
        <w:tblPrEx>
          <w:shd w:val="clear" w:color="auto" w:fill="d0ddef"/>
        </w:tblPrEx>
        <w:trPr>
          <w:trHeight w:val="6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toimumise koht/piirkond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Tapa, 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ru, 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sv-SE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mari, KV harjutusv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ljad. Kohalikud kogukonnakeskused.</w:t>
            </w:r>
          </w:p>
        </w:tc>
      </w:tr>
      <w:tr>
        <w:tblPrEx>
          <w:shd w:val="clear" w:color="auto" w:fill="d0ddef"/>
        </w:tblPrEx>
        <w:trPr>
          <w:trHeight w:val="21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sihtr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hm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ratlege t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pne sihtr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hm ehk inimesed, kellele projekti tegevused on suunatud, iseloomustage sihtr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de-DE"/>
              </w:rPr>
              <w:t xml:space="preserve">hma 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v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s-ES_tradnl"/>
              </w:rPr>
              <w:t>imalusel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ratlege arv, vanus jne.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Lai l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bil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ige Eesti elanikest, nii eesti- kui ka venekeelsetest inimestest, kes on ERRi kui Eesti suurima meediamaja m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juv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ljas. ETV, ETV+ ja voogedastusplatvormi Jupiter vaatajad. 4-osalise saate 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he episoodi vaatajaskond ulatub esmaesitluse ja korduste kombinatsioonina 150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000 vaatajani.</w:t>
            </w:r>
          </w:p>
        </w:tc>
      </w:tr>
      <w:tr>
        <w:tblPrEx>
          <w:shd w:val="clear" w:color="auto" w:fill="d0ddef"/>
        </w:tblPrEx>
        <w:trPr>
          <w:trHeight w:val="9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tegevused ja ajakava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tegevusi, mida tehakse projekti elluviimiseks ning millises ajalises plaanis.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Sarja tootmisperiood kevad-suvi 2026, montaa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ž 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it-IT"/>
              </w:rPr>
              <w:t>hilissuvi 2026, esmaeeter s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gishooaeg 2026.</w:t>
            </w:r>
          </w:p>
        </w:tc>
      </w:tr>
      <w:tr>
        <w:tblPrEx>
          <w:shd w:val="clear" w:color="auto" w:fill="d0ddef"/>
        </w:tblPrEx>
        <w:trPr>
          <w:trHeight w:val="6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27"/>
              <w:bottom w:type="dxa" w:w="80"/>
              <w:right w:type="dxa" w:w="80"/>
            </w:tcMar>
            <w:vAlign w:val="top"/>
          </w:tcPr>
          <w:p>
            <w:pPr>
              <w:pStyle w:val="Body A"/>
              <w:ind w:left="447" w:firstLine="0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Aeg (kuu ja aasta) ning tegevus ja selle kirjeldus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(lahtreid v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ib lisada)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4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v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i tegevuste elluviijate nimed ja nende l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hitutvustus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it-IT"/>
              </w:rPr>
              <w:t>Anatoli Tafit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uk, produtsent, kellel on ulatuslik kogemus telesaadete ja draamasarjade loomisel; tema tugevus on sisukate projektide arendamine ja elluviimine Eesti telemaastikul.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Liis Lindmaa, telere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ž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iss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r, kelle t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de hulka kuuluvad mitmed olulised saated, sh Mirjam M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ttuse autorisaate 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„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Siin me oleme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de-DE"/>
              </w:rPr>
              <w:t xml:space="preserve">“ 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re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ž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ii.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Mirjam M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ttus, saatejuht. ERRi pikaajalise kogemusega teleajakirjanik, kelle suurim tugevus on n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ö 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it-IT"/>
              </w:rPr>
              <w:t>tavalise inimese k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netamine ja oluliste teemade inimlik jutustamine.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Peep Kala, ERRi p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evakajaliste saadete peatoimetaja, pikaajalise kogemusega ajakirjanik, kelle vastutusalas ERRis on kaitse- ja julgeolekupoliitika selgitamine.</w:t>
            </w:r>
          </w:p>
        </w:tc>
      </w:tr>
      <w:tr>
        <w:tblPrEx>
          <w:shd w:val="clear" w:color="auto" w:fill="d0ddef"/>
        </w:tblPrEx>
        <w:trPr>
          <w:trHeight w:val="12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Meediaplaan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millistes Eesti meediakanalites kavatsete projekti tutvustada ning teavitage v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imalikust meediakajastusest.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K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ik ERRi kanalid, sh sotsiaalmeedia.</w:t>
            </w:r>
          </w:p>
        </w:tc>
      </w:tr>
      <w:tr>
        <w:tblPrEx>
          <w:shd w:val="clear" w:color="auto" w:fill="d0ddef"/>
        </w:tblPrEx>
        <w:trPr>
          <w:trHeight w:val="9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Lisateave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T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ita juhul, kui on t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iendavaid andmeid, mis on vajalikud projekti sisukuse hindamiseks.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KOOST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</w:rPr>
        <w:t>ÖÖ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PARTNERITE NIMEKIRI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Loetlege peamised koost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</w:rPr>
        <w:t>öö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 xml:space="preserve">partnerid ning kirjeldage nende 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</w:rPr>
        <w:t>ü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lesannet projektis. Koost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</w:rPr>
        <w:t>öö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partner on juriidiline isik, kes omab arvestatavat rolli projekti tegevuste elluviimises (v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ib, aga ei pruugi olla kaasfinantseerija).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(vajadusel tabelit korrata)</w:t>
      </w:r>
    </w:p>
    <w:tbl>
      <w:tblPr>
        <w:tblW w:w="906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partneri nimi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Eesti Rahvusringh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ling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Kodulehek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err@err.ee</w:t>
            </w:r>
          </w:p>
        </w:tc>
      </w:tr>
      <w:tr>
        <w:tblPrEx>
          <w:shd w:val="clear" w:color="auto" w:fill="d0ddef"/>
        </w:tblPrEx>
        <w:trPr>
          <w:trHeight w:val="9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a-DK"/>
              </w:rPr>
              <w:t>lesanne projektis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partner sarja tootmiseks. Kanal sarja esitamiseks (ETV, ETV+ venekeelsete subtiitritega, voogedastusplatvorm Jupiter). </w:t>
            </w:r>
          </w:p>
        </w:tc>
      </w:tr>
    </w:tbl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PROJEKTI OODATAVAD TULEMUSED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0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Oodatav valdkondlik m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ju ja tulemused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ratlege projekti tegevuste tagaj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rjel tekkivad konkreetsed tulemused. Kirjeldage projekti tulemuste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 xml:space="preserve">ju riigikaitse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eesm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rkidele laiemalt - valdkonnale, sihtr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hmale, partnerorganisatsioonidele, piirkonnale, kogukonnale jne.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Paraneb Eesti elanike arusaam kollektiivkaitsest ja selle tugevusest.</w:t>
            </w:r>
          </w:p>
          <w:p>
            <w:pPr>
              <w:pStyle w:val="List Paragraph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Suureneb 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hiskonna kindlustunne praeguses keerulises julgeolekupoliitilises olukorras.</w:t>
            </w:r>
          </w:p>
          <w:p>
            <w:pPr>
              <w:pStyle w:val="List Paragraph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Kasvab 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hiskonna kaitsetahe ja noorsoo huvi kaitsev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e karj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rimudelite vastu.</w:t>
            </w:r>
          </w:p>
          <w:p>
            <w:pPr>
              <w:pStyle w:val="List Paragraph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Paraneb kogukondade ja kaitsev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e (sh liitlaste) koost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valmidus.</w:t>
            </w:r>
          </w:p>
        </w:tc>
      </w:tr>
      <w:tr>
        <w:tblPrEx>
          <w:shd w:val="clear" w:color="auto" w:fill="d0ddef"/>
        </w:tblPrEx>
        <w:trPr>
          <w:trHeight w:val="27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Oodatav m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ju taotleja edasistele tegevustele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projekti tulemuste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ju teie organisatsiooni tegevusele (n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iteks: edasised tegevused, projekti j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tkusuutlikkus,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liikmete v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i vabatahtlike kaasamine, p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devuse suurenemine, organisatsiooni tulubaasi laienemine, maine paranemine vms).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Kasvab meie inimeste arusaamine kaitseteemade k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sitlemiseks j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rgnevate kaitse- ja julgeoleku alaste saadete ja sarjade tootmisel ja selle temaatika tutvustamisel Eesti elanikkonnale. </w:t>
            </w:r>
          </w:p>
        </w:tc>
      </w:tr>
      <w:tr>
        <w:tblPrEx>
          <w:shd w:val="clear" w:color="auto" w:fill="d0ddef"/>
        </w:tblPrEx>
        <w:trPr>
          <w:trHeight w:val="36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detavad tulemused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projekti eeldatavaid tulemusi koos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detava mahuga (n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 xml:space="preserve">iteks: 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ritustest osasaajate arv, tr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kiste maht jne)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4"/>
              </w:numPr>
              <w:rPr>
                <w:rFonts w:ascii="Times New Roman" w:hAnsi="Times New Roman" w:hint="default"/>
                <w:sz w:val="24"/>
                <w:szCs w:val="24"/>
                <w:lang w:val="de-DE"/>
              </w:rPr>
            </w:pP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he 4-osalise l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hisarja tootmine.</w:t>
            </w:r>
          </w:p>
          <w:p>
            <w:pPr>
              <w:pStyle w:val="List Paragraph"/>
              <w:numPr>
                <w:ilvl w:val="0"/>
                <w:numId w:val="4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Artiklid portaalis err.ee saate tootmisest ja saadete sisust.</w:t>
            </w:r>
          </w:p>
          <w:p>
            <w:pPr>
              <w:pStyle w:val="List Paragraph"/>
              <w:numPr>
                <w:ilvl w:val="0"/>
                <w:numId w:val="4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Sarja osade jagamine ERRi voogedatustplatvormi Jupiter vahendusel.</w:t>
            </w:r>
          </w:p>
          <w:p>
            <w:pPr>
              <w:pStyle w:val="List Paragraph"/>
              <w:numPr>
                <w:ilvl w:val="0"/>
                <w:numId w:val="4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Sarja iga osa vaatajaskonna m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tmine eraldi ETV-s ja ETV+-is.  Tulemuste jagamine kaitseministeeriumi ning kaitsev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it-IT"/>
              </w:rPr>
              <w:t>e inimestega.</w:t>
            </w:r>
          </w:p>
        </w:tc>
      </w:tr>
    </w:tbl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</w:rPr>
        <w:t>TULUD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Tulude ja kulude koondsumma peab olema 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rdne (ehk eelarve tasakaalus).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>(vajadusel lisada ridu)</w:t>
      </w:r>
    </w:p>
    <w:tbl>
      <w:tblPr>
        <w:tblW w:w="906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106"/>
        <w:gridCol w:w="1935"/>
        <w:gridCol w:w="3021"/>
      </w:tblGrid>
      <w:tr>
        <w:tblPrEx>
          <w:shd w:val="clear" w:color="auto" w:fill="d0ddef"/>
        </w:tblPrEx>
        <w:trPr>
          <w:trHeight w:val="18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sv-SE"/>
              </w:rPr>
              <w:t>Summa /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% kogusummast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2040"/>
              </w:tabs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Selgitused</w:t>
            </w:r>
          </w:p>
          <w:p>
            <w:pPr>
              <w:pStyle w:val="Body A"/>
              <w:tabs>
                <w:tab w:val="left" w:pos="204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(kaasfinantseerijate poolt eraldatud toetustel otsuse kuup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ev, taotlemisel olevatel toetustel orienteeruv otsuse tegemise aeg)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Tulud kokku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50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000.-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Taotletav toetus Kaitseministeeriumilt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45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000.-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Omafinantseering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0.-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gitulu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0.-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Muu tulu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0.-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Mitterahaline panus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Ei ole m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pt-PT"/>
              </w:rPr>
              <w:t>õõ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it-IT"/>
              </w:rPr>
              <w:t>detav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Kaasfinantseering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5000.-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de-DE"/>
              </w:rPr>
              <w:t>ERR</w:t>
            </w:r>
          </w:p>
        </w:tc>
      </w:tr>
      <w:tr>
        <w:tblPrEx>
          <w:shd w:val="clear" w:color="auto" w:fill="d0ddef"/>
        </w:tblPrEx>
        <w:trPr>
          <w:trHeight w:val="12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Toetused Eesti kohalikelt omavalitsustelt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(erinevate KOVide toetused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rkida nimeliselt)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Puuduvad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2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Muud toetused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(toetajate l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ikes - nt Kaitseministeeriumi muu taotlusvoor, koost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partnerid, sponsorid jm)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Puuduvad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</w:rPr>
        <w:t>KULUD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Tulude ja kulude koondsumma peab olema 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rdne (ehk eelarve tasakaalus)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>(vajadusel lisada ridu)</w:t>
      </w:r>
    </w:p>
    <w:tbl>
      <w:tblPr>
        <w:tblW w:w="906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84"/>
        <w:gridCol w:w="1545"/>
        <w:gridCol w:w="1699"/>
        <w:gridCol w:w="1468"/>
        <w:gridCol w:w="1470"/>
      </w:tblGrid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28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3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2040"/>
              </w:tabs>
              <w:jc w:val="center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Finantseerimisallikad</w:t>
            </w:r>
          </w:p>
        </w:tc>
      </w:tr>
      <w:tr>
        <w:tblPrEx>
          <w:shd w:val="clear" w:color="auto" w:fill="d0ddef"/>
        </w:tblPrEx>
        <w:trPr>
          <w:trHeight w:val="610" w:hRule="atLeast"/>
        </w:trPr>
        <w:tc>
          <w:tcPr>
            <w:tcW w:type="dxa" w:w="28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KOKKU</w:t>
            </w:r>
          </w:p>
        </w:tc>
        <w:tc>
          <w:tcPr>
            <w:tcW w:type="dxa" w:w="16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Taotlus Kaitse-ministeeriumilt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nl-NL"/>
              </w:rPr>
              <w:t>Oma-finantseering</w:t>
            </w:r>
          </w:p>
        </w:tc>
        <w:tc>
          <w:tcPr>
            <w:tcW w:type="dxa" w:w="14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nl-NL"/>
              </w:rPr>
              <w:t>Kaas-finantseering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28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Kulud kokku</w:t>
            </w:r>
          </w:p>
        </w:tc>
        <w:tc>
          <w:tcPr>
            <w:tcW w:type="dxa" w:w="15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50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000.-</w:t>
            </w:r>
          </w:p>
        </w:tc>
        <w:tc>
          <w:tcPr>
            <w:tcW w:type="dxa" w:w="16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45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000.-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0.-</w:t>
            </w:r>
          </w:p>
        </w:tc>
        <w:tc>
          <w:tcPr>
            <w:tcW w:type="dxa" w:w="14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5000.-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28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Personalikulud kokku</w:t>
            </w:r>
          </w:p>
        </w:tc>
        <w:tc>
          <w:tcPr>
            <w:tcW w:type="dxa" w:w="15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7000.-</w:t>
            </w:r>
          </w:p>
        </w:tc>
        <w:tc>
          <w:tcPr>
            <w:tcW w:type="dxa" w:w="16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7000.-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0.-</w:t>
            </w:r>
          </w:p>
        </w:tc>
        <w:tc>
          <w:tcPr>
            <w:tcW w:type="dxa" w:w="14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0.-</w:t>
            </w:r>
          </w:p>
        </w:tc>
      </w:tr>
      <w:tr>
        <w:tblPrEx>
          <w:shd w:val="clear" w:color="auto" w:fill="d0ddef"/>
        </w:tblPrEx>
        <w:trPr>
          <w:trHeight w:val="910" w:hRule="atLeast"/>
        </w:trPr>
        <w:tc>
          <w:tcPr>
            <w:tcW w:type="dxa" w:w="28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Personalikulud suuremate kulugruppide kaupa.</w:t>
            </w:r>
          </w:p>
        </w:tc>
        <w:tc>
          <w:tcPr>
            <w:tcW w:type="dxa" w:w="15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7000.-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Ajakirjaniku t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öö</w:t>
            </w:r>
          </w:p>
        </w:tc>
        <w:tc>
          <w:tcPr>
            <w:tcW w:type="dxa" w:w="16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28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Majandamiskulud kokku</w:t>
            </w:r>
          </w:p>
        </w:tc>
        <w:tc>
          <w:tcPr>
            <w:tcW w:type="dxa" w:w="15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38 000.-</w:t>
            </w:r>
          </w:p>
        </w:tc>
        <w:tc>
          <w:tcPr>
            <w:tcW w:type="dxa" w:w="16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38 000.-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0.-</w:t>
            </w:r>
          </w:p>
        </w:tc>
        <w:tc>
          <w:tcPr>
            <w:tcW w:type="dxa" w:w="14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5000.-</w:t>
            </w:r>
          </w:p>
        </w:tc>
      </w:tr>
      <w:tr>
        <w:tblPrEx>
          <w:shd w:val="clear" w:color="auto" w:fill="d0ddef"/>
        </w:tblPrEx>
        <w:trPr>
          <w:trHeight w:val="4510" w:hRule="atLeast"/>
        </w:trPr>
        <w:tc>
          <w:tcPr>
            <w:tcW w:type="dxa" w:w="28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Majandamiskulud suuremate kulugruppide kaupa.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Siin kajastatakse need tellitud t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d ja teenused ning kaupade ostud, mida makstakse FIE v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 firma arvete alusel, samuti litsentsitasud ja p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evarahad. S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idupiletite korral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rkida kindlasti inimeste arv ning majutuskulude ja p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sv-SE"/>
              </w:rPr>
              <w:t>evarahade korral inimeste ja p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evade arv.</w:t>
            </w:r>
          </w:p>
        </w:tc>
        <w:tc>
          <w:tcPr>
            <w:tcW w:type="dxa" w:w="15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8000.-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Eelproduktsioon</w:t>
            </w:r>
          </w:p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27 000.-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Produktsioon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8000.-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Postproduktsioon</w:t>
            </w:r>
          </w:p>
        </w:tc>
        <w:tc>
          <w:tcPr>
            <w:tcW w:type="dxa" w:w="16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</w:p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</w:p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</w:p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</w:p>
          <w:p>
            <w:pPr>
              <w:pStyle w:val="Body A"/>
            </w:pPr>
            <w:r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r>
          </w:p>
        </w:tc>
      </w:tr>
    </w:tbl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TAOTLEJA MEETMED RISKIDE ENNETAMISEKS V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</w:rPr>
        <w:t>Õ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I NENDE MAANDAMISEKS</w:t>
      </w:r>
    </w:p>
    <w:p>
      <w:pPr>
        <w:pStyle w:val="Body A"/>
        <w:jc w:val="both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Hinnata 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imalikke riske, olukordi 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i s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</w:rPr>
        <w:t>ü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ndmuseid, mis 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ivad takistada projekti eesm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</w:rPr>
        <w:t>ä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rgini j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</w:rPr>
        <w:t>udmist planeeritud aja, -ressursside ja -eelarvega.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TAOTLEJA KINNITUS</w:t>
      </w:r>
    </w:p>
    <w:p>
      <w:pPr>
        <w:pStyle w:val="Body A"/>
        <w:jc w:val="both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jc w:val="both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Allkirjaga kinnitan j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ä</w:t>
      </w: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>rgnevat: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k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ik k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 xml:space="preserve">esolevas taotluses esitatud andmed on 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iged ning esitatud dokumendid on kehtivad ning vajadusel 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imaldan neid kontrollida;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taotleja ei ole raskustes olev ettev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tja Euroopa Komisjoni m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ää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ruse (EL) nr 651/2014 artikli 2 punkti 18 t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henduses;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taotlejal ei ole maksuv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lga riiklike ja kohalike maksude osas 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 see on ajatatud ning maksed on tasutud kokkulepitud ajakava j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rgi;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kui taotleja on varem saanud toetust riigieelarvelistest vahenditest 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 Euroopa Liidu 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 muudest 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lisvahenditest, mis on kuulunud tagasimaksmisele, on tagasimaksed tehtud t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htaegselt ja n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utud summas;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taotlejale ei ole esitatud seni t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itmata korraldust Euroopa Komisjoni 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 Euroopa Kohtu poolt riigiabi tagasimaksmiseks;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taotleja suhtes ei ole algatatud pankroti- 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 likvideerimismenetlust;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taotlejal ei ole majandusaasta aruande esitamise 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lga;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taotlejal ei ole t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itmata kohustusi Kaitseministeeriumi ees;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taotlejal on taotluses kavandatud vahendid projekti omafinantseeringu tagamiseks;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taotleja esindajaks ei ole isik, keda on karistatud majandusalase, ametialase, varavastase 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 avaliku usalduse vastase s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üü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teo eest ja tema karistusandmed ei ole karistusregistrist kustutatud.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Allkirja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igusliku esindja ees- ja perenimi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Anatoli Tafti</w:t>
            </w: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š</w:t>
            </w: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uk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Isikukood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38502254928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Ametikoht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Produtsent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Allkiri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digitaalselt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Kuup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ev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1.12.2025</w:t>
            </w:r>
          </w:p>
        </w:tc>
      </w:tr>
    </w:tbl>
    <w:p>
      <w:pPr>
        <w:pStyle w:val="Body A"/>
        <w:widowControl w:val="0"/>
        <w:ind w:left="108" w:hanging="108"/>
      </w:pPr>
      <w:r>
        <w:rPr>
          <w:rStyle w:val="None"/>
          <w:rFonts w:ascii="Times New Roman" w:cs="Times New Roman" w:hAnsi="Times New Roman" w:eastAsia="Times New Roman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560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046"/>
        <w:tab w:val="clear" w:pos="9072"/>
      </w:tabs>
      <w:jc w:val="right"/>
    </w:pPr>
    <w:r>
      <w:rPr>
        <w:rFonts w:ascii="Times New Roman" w:hAnsi="Times New Roman"/>
        <w:sz w:val="24"/>
        <w:szCs w:val="24"/>
      </w:rPr>
      <w:fldChar w:fldCharType="begin" w:fldLock="0"/>
    </w:r>
    <w:r>
      <w:rPr>
        <w:rFonts w:ascii="Times New Roman" w:hAnsi="Times New Roman"/>
        <w:sz w:val="24"/>
        <w:szCs w:val="24"/>
      </w:rPr>
      <w:instrText xml:space="preserve"> PAGE </w:instrText>
    </w:r>
    <w:r>
      <w:rPr>
        <w:rFonts w:ascii="Times New Roman" w:hAnsi="Times New Roman"/>
        <w:sz w:val="24"/>
        <w:szCs w:val="24"/>
      </w:rPr>
      <w:fldChar w:fldCharType="separate" w:fldLock="0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  <w:fldChar w:fldCharType="end" w:fldLock="0"/>
    </w:r>
    <w:r>
      <w:rPr>
        <w:rFonts w:ascii="Times New Roman" w:hAnsi="Times New Roman"/>
        <w:sz w:val="24"/>
        <w:szCs w:val="24"/>
        <w:rtl w:val="0"/>
        <w:lang w:val="en-US"/>
      </w:rPr>
      <w:t xml:space="preserve"> / </w:t>
    </w:r>
    <w:r>
      <w:rPr>
        <w:rFonts w:ascii="Times New Roman" w:cs="Times New Roman" w:hAnsi="Times New Roman" w:eastAsia="Times New Roman"/>
        <w:sz w:val="24"/>
        <w:szCs w:val="24"/>
      </w:rPr>
      <w:fldChar w:fldCharType="begin" w:fldLock="0"/>
    </w:r>
    <w:r>
      <w:rPr>
        <w:rFonts w:ascii="Times New Roman" w:cs="Times New Roman" w:hAnsi="Times New Roman" w:eastAsia="Times New Roman"/>
        <w:sz w:val="24"/>
        <w:szCs w:val="24"/>
      </w:rPr>
      <w:instrText xml:space="preserve"> NUMPAGES </w:instrText>
    </w:r>
    <w:r>
      <w:rPr>
        <w:rFonts w:ascii="Times New Roman" w:cs="Times New Roman" w:hAnsi="Times New Roman" w:eastAsia="Times New Roman"/>
        <w:sz w:val="24"/>
        <w:szCs w:val="24"/>
      </w:rPr>
      <w:fldChar w:fldCharType="separate" w:fldLock="0"/>
    </w:r>
    <w:r>
      <w:rPr>
        <w:rFonts w:ascii="Times New Roman" w:cs="Times New Roman" w:hAnsi="Times New Roman" w:eastAsia="Times New Roman"/>
        <w:sz w:val="24"/>
        <w:szCs w:val="24"/>
      </w:rPr>
    </w:r>
    <w:r>
      <w:rPr>
        <w:rFonts w:ascii="Times New Roman" w:cs="Times New Roman" w:hAnsi="Times New Roman" w:eastAsia="Times New Roman"/>
        <w:sz w:val="24"/>
        <w:szCs w:val="24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outline w:val="0"/>
      <w:color w:val="0563c1"/>
      <w:u w:val="single" w:color="0563c1"/>
      <w:shd w:val="nil" w:color="auto" w:fill="auto"/>
      <w:lang w:val="en-US"/>
      <w14:textOutline w14:w="12700" w14:cap="flat">
        <w14:noFill/>
        <w14:miter w14:lim="400000"/>
      </w14:textOutline>
      <w14:textFill>
        <w14:solidFill>
          <w14:srgbClr w14:val="0563C1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3">
    <w:name w:val="Imported Style 3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